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511" w:rsidRDefault="00AE3511" w:rsidP="00AE3511">
      <w:bookmarkStart w:id="0" w:name="_Toc381865901"/>
      <w:bookmarkStart w:id="1" w:name="_Toc359503799"/>
      <w:bookmarkStart w:id="2" w:name="_Toc358372280"/>
    </w:p>
    <w:p w:rsidR="00AE3511" w:rsidRPr="006652C4" w:rsidRDefault="00AE3511" w:rsidP="00AE3511">
      <w:pPr>
        <w:jc w:val="center"/>
        <w:rPr>
          <w:b/>
          <w:bCs/>
          <w:sz w:val="44"/>
          <w:szCs w:val="44"/>
        </w:rPr>
      </w:pPr>
    </w:p>
    <w:p w:rsidR="00AE3511" w:rsidRDefault="00AE3511" w:rsidP="00AE3511">
      <w:pPr>
        <w:tabs>
          <w:tab w:val="left" w:pos="3552"/>
        </w:tabs>
        <w:jc w:val="center"/>
        <w:rPr>
          <w:b/>
          <w:bCs/>
          <w:sz w:val="44"/>
          <w:szCs w:val="44"/>
        </w:rPr>
      </w:pPr>
    </w:p>
    <w:p w:rsidR="00AE3511" w:rsidRPr="006652C4" w:rsidRDefault="00AE3511" w:rsidP="00AE3511">
      <w:pPr>
        <w:jc w:val="center"/>
        <w:rPr>
          <w:b/>
          <w:bCs/>
          <w:sz w:val="44"/>
          <w:szCs w:val="44"/>
        </w:rPr>
      </w:pPr>
    </w:p>
    <w:p w:rsidR="00AE3511" w:rsidRDefault="00AE3511" w:rsidP="00AE3511">
      <w:pPr>
        <w:jc w:val="center"/>
        <w:rPr>
          <w:b/>
          <w:bCs/>
          <w:sz w:val="40"/>
          <w:szCs w:val="40"/>
        </w:rPr>
      </w:pPr>
    </w:p>
    <w:p w:rsidR="00AE3511" w:rsidRPr="007701F7" w:rsidRDefault="00AE3511" w:rsidP="00AE3511">
      <w:pPr>
        <w:jc w:val="center"/>
        <w:rPr>
          <w:b/>
          <w:bCs/>
          <w:szCs w:val="40"/>
        </w:rPr>
      </w:pPr>
    </w:p>
    <w:p w:rsidR="00AE3511" w:rsidRPr="0074708C" w:rsidRDefault="00AE3511" w:rsidP="00AE3511">
      <w:pPr>
        <w:jc w:val="center"/>
        <w:rPr>
          <w:b/>
          <w:bCs/>
          <w:sz w:val="40"/>
          <w:szCs w:val="40"/>
        </w:rPr>
      </w:pPr>
      <w:r>
        <w:rPr>
          <w:b/>
          <w:bCs/>
          <w:sz w:val="40"/>
          <w:szCs w:val="40"/>
        </w:rPr>
        <w:t xml:space="preserve">Integrated Science </w:t>
      </w:r>
      <w:r w:rsidRPr="0074708C">
        <w:rPr>
          <w:b/>
          <w:bCs/>
          <w:sz w:val="40"/>
          <w:szCs w:val="40"/>
        </w:rPr>
        <w:t xml:space="preserve">General </w:t>
      </w:r>
      <w:r>
        <w:rPr>
          <w:b/>
          <w:bCs/>
          <w:sz w:val="40"/>
          <w:szCs w:val="40"/>
        </w:rPr>
        <w:t xml:space="preserve">Course </w:t>
      </w:r>
      <w:r w:rsidRPr="0074708C">
        <w:rPr>
          <w:b/>
          <w:bCs/>
          <w:sz w:val="40"/>
          <w:szCs w:val="40"/>
        </w:rPr>
        <w:t>Year 12</w:t>
      </w:r>
    </w:p>
    <w:p w:rsidR="00AE3511" w:rsidRPr="0065454B" w:rsidRDefault="00AE3511" w:rsidP="00AE3511">
      <w:pPr>
        <w:jc w:val="center"/>
        <w:rPr>
          <w:rStyle w:val="Strong"/>
        </w:rPr>
      </w:pPr>
    </w:p>
    <w:p w:rsidR="00AE3511" w:rsidRPr="0074708C" w:rsidRDefault="00AE3511" w:rsidP="00AE3511">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AE3511" w:rsidRPr="00E0618D" w:rsidRDefault="00AE3511" w:rsidP="00AE3511">
      <w:pPr>
        <w:jc w:val="center"/>
        <w:rPr>
          <w:rStyle w:val="Strong"/>
        </w:rPr>
      </w:pPr>
    </w:p>
    <w:p w:rsidR="00AE3511" w:rsidRPr="0074708C" w:rsidRDefault="00AE3511" w:rsidP="00AE3511">
      <w:pPr>
        <w:jc w:val="center"/>
        <w:rPr>
          <w:b/>
          <w:bCs/>
          <w:sz w:val="40"/>
          <w:szCs w:val="40"/>
        </w:rPr>
      </w:pPr>
      <w:r w:rsidRPr="0074708C">
        <w:rPr>
          <w:b/>
          <w:bCs/>
          <w:sz w:val="40"/>
          <w:szCs w:val="40"/>
        </w:rPr>
        <w:t>Externally set task 2017</w:t>
      </w:r>
    </w:p>
    <w:p w:rsidR="00AE3511" w:rsidRDefault="00AE3511" w:rsidP="00AE3511">
      <w:pPr>
        <w:rPr>
          <w:b/>
          <w:bCs/>
          <w:sz w:val="44"/>
          <w:szCs w:val="44"/>
        </w:rPr>
      </w:pPr>
    </w:p>
    <w:p w:rsidR="00AE3511" w:rsidRDefault="00AE3511" w:rsidP="00AE3511">
      <w:pPr>
        <w:rPr>
          <w:b/>
          <w:bCs/>
          <w:sz w:val="44"/>
          <w:szCs w:val="44"/>
        </w:rPr>
      </w:pPr>
    </w:p>
    <w:p w:rsidR="00AE3511" w:rsidRDefault="00AE3511" w:rsidP="00AE3511">
      <w:pPr>
        <w:rPr>
          <w:b/>
          <w:bCs/>
          <w:sz w:val="44"/>
          <w:szCs w:val="44"/>
        </w:rPr>
      </w:pPr>
    </w:p>
    <w:p w:rsidR="00AE3511" w:rsidRDefault="00AE3511" w:rsidP="00AE3511">
      <w:pPr>
        <w:rPr>
          <w:b/>
          <w:bCs/>
          <w:sz w:val="44"/>
          <w:szCs w:val="44"/>
        </w:rPr>
      </w:pPr>
    </w:p>
    <w:p w:rsidR="00AE3511" w:rsidRPr="0074708C" w:rsidRDefault="00AE3511" w:rsidP="00AE3511">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5C83CA14" wp14:editId="46EC4DFD">
                <wp:simplePos x="0" y="0"/>
                <wp:positionH relativeFrom="column">
                  <wp:posOffset>346166</wp:posOffset>
                </wp:positionH>
                <wp:positionV relativeFrom="paragraph">
                  <wp:posOffset>144780</wp:posOffset>
                </wp:positionV>
                <wp:extent cx="5693410" cy="2351314"/>
                <wp:effectExtent l="0" t="0" r="2159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AE3511" w:rsidRPr="002A6754" w:rsidRDefault="00AE3511" w:rsidP="00AE3511">
                            <w:pPr>
                              <w:spacing w:after="0"/>
                            </w:pPr>
                            <w:r w:rsidRPr="002A6754">
                              <w:t xml:space="preserve">This document is an extract from the </w:t>
                            </w:r>
                            <w:r w:rsidRPr="00AE3511">
                              <w:rPr>
                                <w:i/>
                              </w:rPr>
                              <w:t xml:space="preserve">Integrated Science </w:t>
                            </w:r>
                            <w:r w:rsidRPr="002A6754">
                              <w:rPr>
                                <w:i/>
                              </w:rPr>
                              <w:t>General Course Year 12 syllabus</w:t>
                            </w:r>
                            <w:r w:rsidRPr="002A6754">
                              <w:t>, featuring all of the content for Unit 3. The content that has been highlighted in the document is the content on which the Externally set task (EST) for 2017 will be based.</w:t>
                            </w:r>
                          </w:p>
                          <w:p w:rsidR="00AE3511" w:rsidRPr="002A6754" w:rsidRDefault="00AE3511" w:rsidP="00AE3511">
                            <w:pPr>
                              <w:spacing w:after="0"/>
                            </w:pPr>
                          </w:p>
                          <w:p w:rsidR="00AE3511" w:rsidRPr="002A6754" w:rsidRDefault="00AE3511" w:rsidP="00AE3511">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AE3511" w:rsidRPr="002A6754" w:rsidRDefault="00AE3511" w:rsidP="00AE3511">
                            <w:pPr>
                              <w:spacing w:after="0"/>
                            </w:pPr>
                          </w:p>
                          <w:p w:rsidR="00AE3511" w:rsidRPr="002A6754" w:rsidRDefault="00AE3511" w:rsidP="00AE3511">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3CA14"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OFdk2YrAgAAUQQAAA4AAAAAAAAAAAAAAAAALgIAAGRy&#10;cy9lMm9Eb2MueG1sUEsBAi0AFAAGAAgAAAAhAJtWfEDgAAAACQEAAA8AAAAAAAAAAAAAAAAAhQQA&#10;AGRycy9kb3ducmV2LnhtbFBLBQYAAAAABAAEAPMAAACSBQAAAAA=&#10;">
                <v:textbox>
                  <w:txbxContent>
                    <w:p w:rsidR="00AE3511" w:rsidRPr="002A6754" w:rsidRDefault="00AE3511" w:rsidP="00AE3511">
                      <w:pPr>
                        <w:spacing w:after="0"/>
                      </w:pPr>
                      <w:r w:rsidRPr="002A6754">
                        <w:t xml:space="preserve">This document is an extract from the </w:t>
                      </w:r>
                      <w:r w:rsidRPr="00AE3511">
                        <w:rPr>
                          <w:i/>
                        </w:rPr>
                        <w:t xml:space="preserve">Integrated Science </w:t>
                      </w:r>
                      <w:r w:rsidRPr="002A6754">
                        <w:rPr>
                          <w:i/>
                        </w:rPr>
                        <w:t>General Course Year 12 syllabus</w:t>
                      </w:r>
                      <w:r w:rsidRPr="002A6754">
                        <w:t>, featuring all of the content for Unit 3. The content that has been highlighted in the document is the content on which the Externally set task (EST) for 2017 will be based.</w:t>
                      </w:r>
                    </w:p>
                    <w:p w:rsidR="00AE3511" w:rsidRPr="002A6754" w:rsidRDefault="00AE3511" w:rsidP="00AE3511">
                      <w:pPr>
                        <w:spacing w:after="0"/>
                      </w:pPr>
                    </w:p>
                    <w:p w:rsidR="00AE3511" w:rsidRPr="002A6754" w:rsidRDefault="00AE3511" w:rsidP="00AE3511">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AE3511" w:rsidRPr="002A6754" w:rsidRDefault="00AE3511" w:rsidP="00AE3511">
                      <w:pPr>
                        <w:spacing w:after="0"/>
                      </w:pPr>
                    </w:p>
                    <w:p w:rsidR="00AE3511" w:rsidRPr="002A6754" w:rsidRDefault="00AE3511" w:rsidP="00AE3511">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AE3511" w:rsidRDefault="00AE3511" w:rsidP="003566C9">
      <w:pPr>
        <w:pStyle w:val="Heading1"/>
        <w:rPr>
          <w:color w:val="auto"/>
        </w:rPr>
        <w:sectPr w:rsidR="00AE3511" w:rsidSect="00AE3511">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9"/>
          <w:titlePg/>
          <w:docGrid w:linePitch="360"/>
        </w:sectPr>
      </w:pPr>
    </w:p>
    <w:p w:rsidR="008743F4" w:rsidRPr="004126B0" w:rsidRDefault="008743F4" w:rsidP="003566C9">
      <w:pPr>
        <w:pStyle w:val="Heading1"/>
        <w:rPr>
          <w:color w:val="auto"/>
        </w:rPr>
      </w:pPr>
      <w:r w:rsidRPr="004126B0">
        <w:rPr>
          <w:color w:val="auto"/>
        </w:rPr>
        <w:lastRenderedPageBreak/>
        <w:t>Unit 3</w:t>
      </w:r>
      <w:bookmarkEnd w:id="0"/>
      <w:r w:rsidRPr="004126B0">
        <w:rPr>
          <w:color w:val="auto"/>
        </w:rPr>
        <w:t xml:space="preserve"> </w:t>
      </w:r>
    </w:p>
    <w:p w:rsidR="00E44502" w:rsidRPr="003566C9" w:rsidRDefault="00E44502" w:rsidP="006854CE">
      <w:pPr>
        <w:pStyle w:val="Heading2"/>
      </w:pPr>
      <w:bookmarkStart w:id="3" w:name="_Toc381865902"/>
      <w:r w:rsidRPr="003566C9">
        <w:t>Unit description</w:t>
      </w:r>
      <w:bookmarkEnd w:id="1"/>
      <w:bookmarkEnd w:id="3"/>
    </w:p>
    <w:p w:rsidR="007D19D2" w:rsidRDefault="007D19D2" w:rsidP="007D19D2">
      <w:pPr>
        <w:pStyle w:val="Paragraph"/>
      </w:pPr>
      <w:bookmarkStart w:id="4" w:name="_Toc360700414"/>
      <w:r>
        <w:t xml:space="preserve">In this unit, students </w:t>
      </w:r>
      <w:r w:rsidR="00F75DE0">
        <w:t>integrate ideas relating to</w:t>
      </w:r>
      <w:r w:rsidRPr="001E78F2">
        <w:t xml:space="preserve"> the processes involved in the movement of energy and matter in ecosystems</w:t>
      </w:r>
      <w:r>
        <w:t>. They investigate and describe a number of diverse ecosystems, exploring the range of living and non-living components</w:t>
      </w:r>
      <w:r w:rsidR="00723986">
        <w:t>,</w:t>
      </w:r>
      <w:r>
        <w:t xml:space="preserve"> to understand the dynamics, diversity and interrelationships of these systems.</w:t>
      </w:r>
    </w:p>
    <w:p w:rsidR="00723986" w:rsidRDefault="007D19D2" w:rsidP="007D19D2">
      <w:pPr>
        <w:pStyle w:val="Paragraph"/>
      </w:pPr>
      <w:r>
        <w:t>They investigate ecosystem dynamics, including interactions within and between species, and interactions between living and non-living components of ecosystems. They also investigate how measurements of population numbers, species diversity, and descriptions of species interactions, can form the basis for comparisons between ecosystems</w:t>
      </w:r>
      <w:r w:rsidR="00723986">
        <w:t>.</w:t>
      </w:r>
    </w:p>
    <w:p w:rsidR="007D19D2" w:rsidRDefault="007D19D2" w:rsidP="007D19D2">
      <w:pPr>
        <w:pStyle w:val="Paragraph"/>
      </w:pPr>
      <w:r>
        <w:t xml:space="preserve">Fieldwork is an important part of this </w:t>
      </w:r>
      <w:r w:rsidR="00BD7327">
        <w:t>course</w:t>
      </w:r>
      <w:r>
        <w:t>. Fieldwork provides valuable opportunities for students to work together to collect first-hand data and to experience local ecosystem interactions. In order to understand the interconnectedness of organisms, the physical environment and human activity, students analyse and interpret data collected through investigation of a local environment. They will also use sources relating to other Australian, regional and global environments.</w:t>
      </w:r>
    </w:p>
    <w:p w:rsidR="008F7D5F" w:rsidRPr="003566C9" w:rsidRDefault="008F7D5F" w:rsidP="008F7D5F">
      <w:pPr>
        <w:pStyle w:val="Heading2"/>
      </w:pPr>
      <w:bookmarkStart w:id="5" w:name="_Toc381865903"/>
      <w:r w:rsidRPr="00FF6D70">
        <w:t>Suggested contexts</w:t>
      </w:r>
      <w:bookmarkEnd w:id="5"/>
    </w:p>
    <w:p w:rsidR="008F7D5F" w:rsidRDefault="00FF6D70" w:rsidP="007D19D2">
      <w:pPr>
        <w:pStyle w:val="Paragraph"/>
      </w:pPr>
      <w:r>
        <w:t>Possible context</w:t>
      </w:r>
      <w:r w:rsidR="0077633D">
        <w:t>s</w:t>
      </w:r>
      <w:r>
        <w:t xml:space="preserve"> </w:t>
      </w:r>
      <w:r w:rsidR="00974290">
        <w:t xml:space="preserve">(this list is not exhaustive) </w:t>
      </w:r>
      <w:r>
        <w:t>which may be used for teaching the content of this unit could be:</w:t>
      </w:r>
    </w:p>
    <w:p w:rsidR="00974290" w:rsidRDefault="00974290" w:rsidP="00FF6D70">
      <w:pPr>
        <w:pStyle w:val="ListItem"/>
        <w:numPr>
          <w:ilvl w:val="0"/>
          <w:numId w:val="20"/>
        </w:numPr>
        <w:ind w:left="357" w:hanging="357"/>
      </w:pPr>
      <w:r>
        <w:t>local ecosystem studies</w:t>
      </w:r>
    </w:p>
    <w:p w:rsidR="00974290" w:rsidRDefault="00974290" w:rsidP="00FF6D70">
      <w:pPr>
        <w:pStyle w:val="ListItem"/>
        <w:numPr>
          <w:ilvl w:val="0"/>
          <w:numId w:val="20"/>
        </w:numPr>
        <w:ind w:left="357" w:hanging="357"/>
      </w:pPr>
      <w:r>
        <w:t>wetland eco</w:t>
      </w:r>
      <w:r w:rsidR="00F75DE0">
        <w:t>logy</w:t>
      </w:r>
    </w:p>
    <w:p w:rsidR="00FF6D70" w:rsidRDefault="00FF6D70" w:rsidP="00FF6D70">
      <w:pPr>
        <w:pStyle w:val="ListItem"/>
        <w:numPr>
          <w:ilvl w:val="0"/>
          <w:numId w:val="20"/>
        </w:numPr>
        <w:ind w:left="357" w:hanging="357"/>
      </w:pPr>
      <w:r>
        <w:t xml:space="preserve">marine </w:t>
      </w:r>
      <w:r w:rsidR="00F75DE0">
        <w:t>ecology</w:t>
      </w:r>
    </w:p>
    <w:p w:rsidR="00FF6D70" w:rsidRDefault="00FF6D70" w:rsidP="00FF6D70">
      <w:pPr>
        <w:pStyle w:val="ListItem"/>
        <w:numPr>
          <w:ilvl w:val="0"/>
          <w:numId w:val="20"/>
        </w:numPr>
        <w:ind w:left="357" w:hanging="357"/>
      </w:pPr>
      <w:r>
        <w:t>aquaculture</w:t>
      </w:r>
    </w:p>
    <w:p w:rsidR="00FF6D70" w:rsidRDefault="00FF6D70" w:rsidP="00FF6D70">
      <w:pPr>
        <w:pStyle w:val="ListItem"/>
        <w:numPr>
          <w:ilvl w:val="0"/>
          <w:numId w:val="20"/>
        </w:numPr>
        <w:ind w:left="357" w:hanging="357"/>
      </w:pPr>
      <w:r>
        <w:t>viticulture</w:t>
      </w:r>
    </w:p>
    <w:p w:rsidR="00FF6D70" w:rsidRPr="00042703" w:rsidRDefault="00FF6D70" w:rsidP="00FF6D70">
      <w:pPr>
        <w:pStyle w:val="ListItem"/>
        <w:numPr>
          <w:ilvl w:val="0"/>
          <w:numId w:val="20"/>
        </w:numPr>
        <w:ind w:left="357" w:hanging="357"/>
      </w:pPr>
      <w:r>
        <w:t>horticulture.</w:t>
      </w:r>
    </w:p>
    <w:p w:rsidR="008E32B1" w:rsidRPr="003566C9" w:rsidRDefault="008E32B1" w:rsidP="006854CE">
      <w:pPr>
        <w:pStyle w:val="Heading2"/>
      </w:pPr>
      <w:bookmarkStart w:id="6" w:name="_Toc381865904"/>
      <w:bookmarkEnd w:id="4"/>
      <w:r w:rsidRPr="003566C9">
        <w:t>Unit content</w:t>
      </w:r>
      <w:bookmarkEnd w:id="2"/>
      <w:bookmarkEnd w:id="6"/>
    </w:p>
    <w:p w:rsidR="008E32B1" w:rsidRPr="003566C9" w:rsidRDefault="008E32B1" w:rsidP="00323EA6">
      <w:pPr>
        <w:spacing w:before="120" w:line="276" w:lineRule="auto"/>
      </w:pPr>
      <w:r w:rsidRPr="003566C9">
        <w:t>This unit includes the knowledge, understandings and skills described below.</w:t>
      </w:r>
      <w:r w:rsidR="00F75DE0">
        <w:t xml:space="preserve"> The order and detail in which the key concepts are organised into teaching/learning programs are decisions to be made by the teacher.</w:t>
      </w:r>
    </w:p>
    <w:p w:rsidR="00A97B98" w:rsidRPr="003566C9" w:rsidRDefault="007D19D2" w:rsidP="004A7976">
      <w:pPr>
        <w:pStyle w:val="Heading3"/>
      </w:pPr>
      <w:r w:rsidRPr="007D19D2">
        <w:t>Science Inquiry Skills</w:t>
      </w:r>
    </w:p>
    <w:p w:rsidR="007D19D2" w:rsidRPr="007D19D2" w:rsidRDefault="008B7794" w:rsidP="004126B0">
      <w:pPr>
        <w:pStyle w:val="ListItem"/>
        <w:numPr>
          <w:ilvl w:val="0"/>
          <w:numId w:val="20"/>
        </w:numPr>
        <w:shd w:val="clear" w:color="auto" w:fill="D9D9D9" w:themeFill="background1" w:themeFillShade="D9"/>
        <w:ind w:left="357" w:hanging="357"/>
      </w:pPr>
      <w:r>
        <w:t xml:space="preserve">identify, research and </w:t>
      </w:r>
      <w:r w:rsidR="007D19D2" w:rsidRPr="007D19D2">
        <w:t xml:space="preserve">construct questions for investigation; propose hypotheses; and predict possible outcomes </w:t>
      </w:r>
    </w:p>
    <w:p w:rsidR="007D19D2" w:rsidRPr="007D19D2" w:rsidRDefault="007D19D2" w:rsidP="004A7976">
      <w:pPr>
        <w:pStyle w:val="ListItem"/>
        <w:numPr>
          <w:ilvl w:val="0"/>
          <w:numId w:val="20"/>
        </w:numPr>
        <w:ind w:left="357" w:hanging="357"/>
      </w:pPr>
      <w:r w:rsidRPr="007D19D2">
        <w:t xml:space="preserve">plan, select and use appropriate </w:t>
      </w:r>
      <w:hyperlink r:id="rId14" w:tooltip="Display the glossary entry for 'investigation'" w:history="1">
        <w:r w:rsidRPr="007D19D2">
          <w:t>investigation</w:t>
        </w:r>
      </w:hyperlink>
      <w:r w:rsidRPr="007D19D2">
        <w:t xml:space="preserve"> methods, including </w:t>
      </w:r>
      <w:r w:rsidR="008B7794">
        <w:t xml:space="preserve">pre-testing, </w:t>
      </w:r>
      <w:r w:rsidRPr="007D19D2">
        <w:t xml:space="preserve">to collect </w:t>
      </w:r>
      <w:hyperlink r:id="rId15" w:tooltip="Display the glossary entry for 'reliable data'" w:history="1">
        <w:r w:rsidRPr="007D19D2">
          <w:t>reliable data</w:t>
        </w:r>
      </w:hyperlink>
      <w:r w:rsidRPr="007D19D2">
        <w:t xml:space="preserve">; assess risk and address ethical issues associated with these methods </w:t>
      </w:r>
    </w:p>
    <w:p w:rsidR="007D19D2" w:rsidRPr="007D19D2" w:rsidRDefault="007D19D2" w:rsidP="00FF6D70">
      <w:pPr>
        <w:pStyle w:val="ListItem"/>
        <w:numPr>
          <w:ilvl w:val="0"/>
          <w:numId w:val="20"/>
        </w:numPr>
        <w:ind w:left="357" w:hanging="357"/>
      </w:pPr>
      <w:r w:rsidRPr="007D19D2">
        <w:t>conduct investigations safely, competently and methodically for the collection of valid and reliable data</w:t>
      </w:r>
    </w:p>
    <w:p w:rsidR="007D19D2" w:rsidRPr="007D19D2" w:rsidRDefault="007D19D2" w:rsidP="004126B0">
      <w:pPr>
        <w:pStyle w:val="ListItem"/>
        <w:numPr>
          <w:ilvl w:val="0"/>
          <w:numId w:val="20"/>
        </w:numPr>
        <w:shd w:val="clear" w:color="auto" w:fill="D9D9D9" w:themeFill="background1" w:themeFillShade="D9"/>
        <w:ind w:left="357" w:hanging="357"/>
      </w:pPr>
      <w:r w:rsidRPr="007D19D2">
        <w:lastRenderedPageBreak/>
        <w:t xml:space="preserve">represent data in meaningful and useful ways; organise and analyse data to identify trends, patterns and relationships; qualitatively describe sources of measurement error and use evidence to make and justify conclusions </w:t>
      </w:r>
    </w:p>
    <w:p w:rsidR="007D19D2" w:rsidRPr="007D19D2" w:rsidRDefault="007D19D2" w:rsidP="00BC157A">
      <w:pPr>
        <w:pStyle w:val="ListItem"/>
        <w:numPr>
          <w:ilvl w:val="0"/>
          <w:numId w:val="20"/>
        </w:numPr>
        <w:ind w:left="357" w:hanging="357"/>
      </w:pPr>
      <w:r w:rsidRPr="007D19D2">
        <w:t>interpret a range of scien</w:t>
      </w:r>
      <w:r w:rsidR="00D935E5">
        <w:t>tific and media texts</w:t>
      </w:r>
      <w:r w:rsidRPr="007D19D2">
        <w:t xml:space="preserve"> and evaluate the conclusions by considering the quality of available evidence </w:t>
      </w:r>
    </w:p>
    <w:p w:rsidR="007D19D2" w:rsidRPr="007D19D2" w:rsidRDefault="007D19D2" w:rsidP="004126B0">
      <w:pPr>
        <w:pStyle w:val="ListItem"/>
        <w:numPr>
          <w:ilvl w:val="0"/>
          <w:numId w:val="20"/>
        </w:numPr>
        <w:shd w:val="clear" w:color="auto" w:fill="D9D9D9" w:themeFill="background1" w:themeFillShade="D9"/>
        <w:ind w:left="357" w:hanging="357"/>
      </w:pPr>
      <w:r w:rsidRPr="007D19D2">
        <w:t xml:space="preserve">use appropriate </w:t>
      </w:r>
      <w:r w:rsidR="008B7794">
        <w:t xml:space="preserve">scientific </w:t>
      </w:r>
      <w:r w:rsidRPr="007D19D2">
        <w:t>representations, including diagr</w:t>
      </w:r>
      <w:r w:rsidR="008B7794">
        <w:t>ams of structures and processes,</w:t>
      </w:r>
      <w:r w:rsidR="00121DE6">
        <w:t xml:space="preserve"> </w:t>
      </w:r>
      <w:r w:rsidRPr="007D19D2">
        <w:t xml:space="preserve">to communicate conceptual understanding, solve problems and make predictions </w:t>
      </w:r>
    </w:p>
    <w:p w:rsidR="007D19D2" w:rsidRPr="007D19D2" w:rsidRDefault="007D19D2" w:rsidP="004126B0">
      <w:pPr>
        <w:pStyle w:val="ListItem"/>
        <w:numPr>
          <w:ilvl w:val="0"/>
          <w:numId w:val="20"/>
        </w:numPr>
        <w:shd w:val="clear" w:color="auto" w:fill="D9D9D9" w:themeFill="background1" w:themeFillShade="D9"/>
        <w:ind w:left="357" w:hanging="357"/>
      </w:pPr>
      <w:r w:rsidRPr="007D19D2">
        <w:t>communicate scientific ideas and information for a particular purpose</w:t>
      </w:r>
      <w:r w:rsidR="00152599">
        <w:t>,</w:t>
      </w:r>
      <w:r w:rsidRPr="007D19D2">
        <w:t xml:space="preserve"> using appropriate scientific language, c</w:t>
      </w:r>
      <w:r>
        <w:t>onventions and representations</w:t>
      </w:r>
    </w:p>
    <w:p w:rsidR="00974290" w:rsidRPr="00974290" w:rsidRDefault="00974290" w:rsidP="004A7976">
      <w:pPr>
        <w:pStyle w:val="Heading3"/>
      </w:pPr>
      <w:r w:rsidRPr="00974290">
        <w:t>Science as a Human Endeavour</w:t>
      </w:r>
    </w:p>
    <w:p w:rsidR="00974290" w:rsidRPr="00974290" w:rsidRDefault="00F75DE0" w:rsidP="004126B0">
      <w:pPr>
        <w:pStyle w:val="ListItem"/>
        <w:numPr>
          <w:ilvl w:val="0"/>
          <w:numId w:val="20"/>
        </w:numPr>
        <w:shd w:val="clear" w:color="auto" w:fill="D9D9D9" w:themeFill="background1" w:themeFillShade="D9"/>
        <w:ind w:left="357" w:hanging="357"/>
      </w:pPr>
      <w:r>
        <w:t>t</w:t>
      </w:r>
      <w:r w:rsidR="00974290" w:rsidRPr="00974290">
        <w:t>he use of scientific knowledge is influenced by social, economic, cultural and ethical considerations</w:t>
      </w:r>
    </w:p>
    <w:p w:rsidR="00974290" w:rsidRPr="00974290" w:rsidRDefault="00F75DE0" w:rsidP="004126B0">
      <w:pPr>
        <w:pStyle w:val="ListItem"/>
        <w:numPr>
          <w:ilvl w:val="0"/>
          <w:numId w:val="20"/>
        </w:numPr>
        <w:shd w:val="clear" w:color="auto" w:fill="D9D9D9" w:themeFill="background1" w:themeFillShade="D9"/>
        <w:ind w:left="357" w:hanging="357"/>
      </w:pPr>
      <w:r>
        <w:t>t</w:t>
      </w:r>
      <w:r w:rsidR="00974290" w:rsidRPr="00974290">
        <w:t xml:space="preserve">he use of scientific knowledge may have beneficial and/or harmful and/or unintended consequences </w:t>
      </w:r>
    </w:p>
    <w:p w:rsidR="00974290" w:rsidRPr="00974290" w:rsidRDefault="00F75DE0" w:rsidP="00974290">
      <w:pPr>
        <w:pStyle w:val="ListItem"/>
        <w:numPr>
          <w:ilvl w:val="0"/>
          <w:numId w:val="20"/>
        </w:numPr>
        <w:ind w:left="357" w:hanging="357"/>
      </w:pPr>
      <w:r>
        <w:t>s</w:t>
      </w:r>
      <w:r w:rsidR="00974290" w:rsidRPr="00974290">
        <w:t xml:space="preserve">cientific knowledge can enable scientists to offer </w:t>
      </w:r>
      <w:hyperlink r:id="rId16" w:tooltip="Display the glossary entry for 'valid'" w:history="1">
        <w:r w:rsidR="00974290" w:rsidRPr="00974290">
          <w:t>valid</w:t>
        </w:r>
      </w:hyperlink>
      <w:r w:rsidR="00974290" w:rsidRPr="00974290">
        <w:t xml:space="preserve"> explanations and make </w:t>
      </w:r>
      <w:hyperlink r:id="rId17" w:tooltip="Display the glossary entry for 'reliable'" w:history="1">
        <w:r w:rsidR="00974290" w:rsidRPr="00974290">
          <w:t>reliable</w:t>
        </w:r>
      </w:hyperlink>
      <w:r w:rsidR="00974290" w:rsidRPr="00974290">
        <w:t xml:space="preserve"> predictions </w:t>
      </w:r>
    </w:p>
    <w:p w:rsidR="00974290" w:rsidRPr="00974290" w:rsidRDefault="00F75DE0" w:rsidP="00974290">
      <w:pPr>
        <w:pStyle w:val="ListItem"/>
        <w:numPr>
          <w:ilvl w:val="0"/>
          <w:numId w:val="20"/>
        </w:numPr>
        <w:ind w:left="357" w:hanging="357"/>
      </w:pPr>
      <w:r>
        <w:t>s</w:t>
      </w:r>
      <w:r w:rsidR="00974290" w:rsidRPr="00974290">
        <w:t>cientific knowledge can be used to develop and evaluate projected economic, social and environmental impacts</w:t>
      </w:r>
      <w:r w:rsidR="00152599">
        <w:t>,</w:t>
      </w:r>
      <w:r w:rsidR="00974290" w:rsidRPr="00974290">
        <w:t xml:space="preserve"> and to design action for sustainability</w:t>
      </w:r>
    </w:p>
    <w:p w:rsidR="00A97B98" w:rsidRPr="003566C9" w:rsidRDefault="007D19D2" w:rsidP="00CC2910">
      <w:pPr>
        <w:pStyle w:val="Heading3"/>
      </w:pPr>
      <w:r w:rsidRPr="007D19D2">
        <w:t>Science Understanding</w:t>
      </w:r>
    </w:p>
    <w:p w:rsidR="00974290" w:rsidRPr="00974290" w:rsidRDefault="00974290" w:rsidP="004A7976">
      <w:pPr>
        <w:pStyle w:val="Heading4"/>
      </w:pPr>
      <w:bookmarkStart w:id="7" w:name="_Toc347908227"/>
      <w:r w:rsidRPr="00974290">
        <w:t>Earth systems/</w:t>
      </w:r>
      <w:r w:rsidR="00AE7245">
        <w:t>cycles in nature</w:t>
      </w:r>
    </w:p>
    <w:p w:rsidR="00974290" w:rsidRPr="00E6095E" w:rsidRDefault="00974290" w:rsidP="00974290">
      <w:pPr>
        <w:pStyle w:val="ListItem"/>
        <w:numPr>
          <w:ilvl w:val="0"/>
          <w:numId w:val="20"/>
        </w:numPr>
        <w:ind w:left="357" w:hanging="357"/>
      </w:pPr>
      <w:r w:rsidRPr="00E6095E">
        <w:t>differences in geographical and physical conditions result in a wide variety of ecosystems</w:t>
      </w:r>
    </w:p>
    <w:p w:rsidR="00974290" w:rsidRPr="00E6095E" w:rsidRDefault="00974290" w:rsidP="004126B0">
      <w:pPr>
        <w:pStyle w:val="ListItem"/>
        <w:numPr>
          <w:ilvl w:val="0"/>
          <w:numId w:val="20"/>
        </w:numPr>
        <w:shd w:val="clear" w:color="auto" w:fill="D9D9D9" w:themeFill="background1" w:themeFillShade="D9"/>
        <w:ind w:left="357" w:hanging="357"/>
      </w:pPr>
      <w:r w:rsidRPr="00E6095E">
        <w:t>abiotic factors, including temperature, pH, salinity, light, water and atmospheric gases</w:t>
      </w:r>
      <w:r w:rsidR="00152599">
        <w:t>,</w:t>
      </w:r>
      <w:r w:rsidRPr="00E6095E">
        <w:t xml:space="preserve"> impact on the survival of organisms within the environment</w:t>
      </w:r>
    </w:p>
    <w:p w:rsidR="00974290" w:rsidRPr="00E6095E" w:rsidRDefault="00974290" w:rsidP="00974290">
      <w:pPr>
        <w:pStyle w:val="ListItem"/>
        <w:numPr>
          <w:ilvl w:val="0"/>
          <w:numId w:val="20"/>
        </w:numPr>
        <w:ind w:left="357" w:hanging="357"/>
      </w:pPr>
      <w:r w:rsidRPr="00E6095E">
        <w:t xml:space="preserve">there is interaction between organisms, biological communities and the abiotic environment in which they live </w:t>
      </w:r>
    </w:p>
    <w:p w:rsidR="00974290" w:rsidRPr="00E6095E" w:rsidRDefault="00974290" w:rsidP="00974290">
      <w:pPr>
        <w:pStyle w:val="ListItem"/>
        <w:numPr>
          <w:ilvl w:val="0"/>
          <w:numId w:val="20"/>
        </w:numPr>
        <w:ind w:left="357" w:hanging="357"/>
      </w:pPr>
      <w:r w:rsidRPr="00E6095E">
        <w:t>the biotic components of an ecosystem transfer and transform energy</w:t>
      </w:r>
      <w:r w:rsidR="000C4B65">
        <w:t>,</w:t>
      </w:r>
      <w:r w:rsidRPr="00E6095E">
        <w:t xml:space="preserve"> originating primarily from the sun</w:t>
      </w:r>
      <w:r w:rsidR="000C4B65">
        <w:t xml:space="preserve">, </w:t>
      </w:r>
      <w:r w:rsidRPr="00E6095E">
        <w:t>into biomass</w:t>
      </w:r>
    </w:p>
    <w:p w:rsidR="00974290" w:rsidRPr="00E6095E" w:rsidRDefault="00974290" w:rsidP="004A7976">
      <w:pPr>
        <w:pStyle w:val="ListItem"/>
        <w:numPr>
          <w:ilvl w:val="0"/>
          <w:numId w:val="20"/>
        </w:numPr>
        <w:shd w:val="clear" w:color="auto" w:fill="D9D9D9" w:themeFill="background1" w:themeFillShade="D9"/>
        <w:ind w:left="357" w:hanging="357"/>
      </w:pPr>
      <w:r w:rsidRPr="00E6095E">
        <w:t>biotic components interact with abiotic components to facilitate biogeochemical cycling</w:t>
      </w:r>
    </w:p>
    <w:p w:rsidR="00974290" w:rsidRPr="00E6095E" w:rsidRDefault="00152599" w:rsidP="00974290">
      <w:pPr>
        <w:pStyle w:val="ListItem"/>
        <w:numPr>
          <w:ilvl w:val="0"/>
          <w:numId w:val="20"/>
        </w:numPr>
        <w:ind w:left="357" w:hanging="357"/>
      </w:pPr>
      <w:r>
        <w:t>producers, consumers and decomposers</w:t>
      </w:r>
      <w:r w:rsidR="00974290" w:rsidRPr="00E6095E">
        <w:t xml:space="preserve"> have a role in the transfer of energy in an ecosystem</w:t>
      </w:r>
    </w:p>
    <w:p w:rsidR="00974290" w:rsidRPr="00E6095E" w:rsidRDefault="00974290" w:rsidP="00974290">
      <w:pPr>
        <w:pStyle w:val="ListItem"/>
        <w:numPr>
          <w:ilvl w:val="0"/>
          <w:numId w:val="20"/>
        </w:numPr>
        <w:ind w:left="357" w:hanging="357"/>
      </w:pPr>
      <w:r w:rsidRPr="00E6095E">
        <w:t>food chains and food webs show the feeding relationships between organisms within a community</w:t>
      </w:r>
    </w:p>
    <w:p w:rsidR="00974290" w:rsidRPr="00E6095E" w:rsidRDefault="00974290" w:rsidP="004A7976">
      <w:pPr>
        <w:pStyle w:val="ListItem"/>
        <w:numPr>
          <w:ilvl w:val="0"/>
          <w:numId w:val="20"/>
        </w:numPr>
        <w:shd w:val="clear" w:color="auto" w:fill="FFFFFF" w:themeFill="background1"/>
        <w:ind w:left="357" w:hanging="357"/>
      </w:pPr>
      <w:r w:rsidRPr="00E6095E">
        <w:t>the amount of energy transferred between trophic levels in food chains and food webs diminishes as the trophic level increases</w:t>
      </w:r>
    </w:p>
    <w:p w:rsidR="00974290" w:rsidRPr="00974290" w:rsidRDefault="00974290" w:rsidP="00323EA6">
      <w:pPr>
        <w:pStyle w:val="Heading4"/>
      </w:pPr>
      <w:r w:rsidRPr="00974290">
        <w:t>Structure and function of biological systems</w:t>
      </w:r>
    </w:p>
    <w:p w:rsidR="00974290" w:rsidRPr="00E6095E" w:rsidRDefault="00974290" w:rsidP="00974290">
      <w:pPr>
        <w:pStyle w:val="ListItem"/>
        <w:numPr>
          <w:ilvl w:val="0"/>
          <w:numId w:val="20"/>
        </w:numPr>
        <w:ind w:left="357" w:hanging="357"/>
      </w:pPr>
      <w:r w:rsidRPr="00E6095E">
        <w:t>modes of interactions between species in ecosystems include competition, predation and symbiosis (mutualism, commensalism and parasitism)</w:t>
      </w:r>
    </w:p>
    <w:p w:rsidR="00974290" w:rsidRPr="00E6095E" w:rsidRDefault="00974290" w:rsidP="00974290">
      <w:pPr>
        <w:pStyle w:val="ListItem"/>
        <w:numPr>
          <w:ilvl w:val="0"/>
          <w:numId w:val="20"/>
        </w:numPr>
        <w:ind w:left="357" w:hanging="357"/>
      </w:pPr>
      <w:r w:rsidRPr="00E6095E">
        <w:t>species interactions affect population densities and are important in determining community structure and composition</w:t>
      </w:r>
    </w:p>
    <w:p w:rsidR="00152599" w:rsidRDefault="00152599" w:rsidP="00323EA6">
      <w:pPr>
        <w:pStyle w:val="Heading4"/>
      </w:pPr>
    </w:p>
    <w:p w:rsidR="00974290" w:rsidRPr="00974290" w:rsidRDefault="00974290" w:rsidP="004A7976">
      <w:pPr>
        <w:pStyle w:val="Heading4"/>
        <w:shd w:val="clear" w:color="auto" w:fill="FFFFFF" w:themeFill="background1"/>
      </w:pPr>
      <w:r w:rsidRPr="00974290">
        <w:lastRenderedPageBreak/>
        <w:t>Ecosystems and sustainability</w:t>
      </w:r>
      <w:bookmarkStart w:id="8" w:name="_GoBack"/>
      <w:bookmarkEnd w:id="8"/>
    </w:p>
    <w:p w:rsidR="00974290" w:rsidRPr="00E6095E" w:rsidRDefault="00D935E5" w:rsidP="004126B0">
      <w:pPr>
        <w:pStyle w:val="ListItem"/>
        <w:numPr>
          <w:ilvl w:val="0"/>
          <w:numId w:val="20"/>
        </w:numPr>
        <w:shd w:val="clear" w:color="auto" w:fill="D9D9D9" w:themeFill="background1" w:themeFillShade="D9"/>
        <w:ind w:left="357" w:hanging="357"/>
      </w:pPr>
      <w:r>
        <w:t>changes to abiotic and biotic factors, including climatic events, impact on the carrying capacity of ecosystems</w:t>
      </w:r>
    </w:p>
    <w:p w:rsidR="00974290" w:rsidRPr="00E6095E" w:rsidRDefault="00974290" w:rsidP="00974290">
      <w:pPr>
        <w:pStyle w:val="ListItem"/>
        <w:numPr>
          <w:ilvl w:val="0"/>
          <w:numId w:val="20"/>
        </w:numPr>
        <w:ind w:left="357" w:hanging="357"/>
      </w:pPr>
      <w:r w:rsidRPr="00E6095E">
        <w:t>biodiversity includes the diversity of genetics, species and ecosystems; biodiversity changes naturally over time</w:t>
      </w:r>
      <w:r w:rsidR="00152599">
        <w:t>,</w:t>
      </w:r>
      <w:r w:rsidRPr="00E6095E">
        <w:t xml:space="preserve"> and varies due to differences in location</w:t>
      </w:r>
    </w:p>
    <w:p w:rsidR="00974290" w:rsidRPr="00E6095E" w:rsidRDefault="00D935E5" w:rsidP="004126B0">
      <w:pPr>
        <w:pStyle w:val="ListItem"/>
        <w:numPr>
          <w:ilvl w:val="0"/>
          <w:numId w:val="20"/>
        </w:numPr>
        <w:shd w:val="clear" w:color="auto" w:fill="FFFFFF" w:themeFill="background1"/>
        <w:ind w:left="357" w:hanging="357"/>
      </w:pPr>
      <w:r>
        <w:t>human interfere</w:t>
      </w:r>
      <w:r w:rsidR="00662252">
        <w:t>nce is threatening biodiversity</w:t>
      </w:r>
      <w:r w:rsidR="00974290" w:rsidRPr="00E6095E">
        <w:t xml:space="preserve"> through deterioration of ecosystems</w:t>
      </w:r>
      <w:r>
        <w:t xml:space="preserve"> and diminishing habitat areas</w:t>
      </w:r>
    </w:p>
    <w:p w:rsidR="00974290" w:rsidRPr="00974290" w:rsidRDefault="00974290" w:rsidP="00323EA6">
      <w:pPr>
        <w:pStyle w:val="Heading4"/>
      </w:pPr>
      <w:r w:rsidRPr="00974290">
        <w:t>Species continuity and change</w:t>
      </w:r>
    </w:p>
    <w:p w:rsidR="00974290" w:rsidRPr="00E6095E" w:rsidRDefault="00974290" w:rsidP="00974290">
      <w:pPr>
        <w:pStyle w:val="ListItem"/>
        <w:numPr>
          <w:ilvl w:val="0"/>
          <w:numId w:val="20"/>
        </w:numPr>
        <w:ind w:left="357" w:hanging="357"/>
      </w:pPr>
      <w:r w:rsidRPr="00E6095E">
        <w:t xml:space="preserve">changes in ecosystems affect the survival of organisms within the ecosystem; individual variation assists survival, which over time results in changes in characteristics of </w:t>
      </w:r>
      <w:r w:rsidR="00D935E5">
        <w:t xml:space="preserve">the </w:t>
      </w:r>
      <w:r w:rsidRPr="00E6095E">
        <w:t xml:space="preserve">species </w:t>
      </w:r>
    </w:p>
    <w:p w:rsidR="00974290" w:rsidRPr="00E6095E" w:rsidRDefault="00974290" w:rsidP="00974290">
      <w:pPr>
        <w:pStyle w:val="ListItem"/>
        <w:numPr>
          <w:ilvl w:val="0"/>
          <w:numId w:val="20"/>
        </w:numPr>
        <w:ind w:left="357" w:hanging="357"/>
      </w:pPr>
      <w:r w:rsidRPr="00E6095E">
        <w:t>variation in the form of suitable characteristics assists survival of individuals</w:t>
      </w:r>
    </w:p>
    <w:p w:rsidR="00974290" w:rsidRDefault="000C4B65" w:rsidP="00974290">
      <w:pPr>
        <w:pStyle w:val="ListItem"/>
        <w:numPr>
          <w:ilvl w:val="0"/>
          <w:numId w:val="20"/>
        </w:numPr>
        <w:ind w:left="357" w:hanging="357"/>
      </w:pPr>
      <w:r>
        <w:t xml:space="preserve">environmental </w:t>
      </w:r>
      <w:r w:rsidR="00974290" w:rsidRPr="00E6095E">
        <w:t xml:space="preserve">changes </w:t>
      </w:r>
      <w:r>
        <w:t>may</w:t>
      </w:r>
      <w:r w:rsidR="00974290" w:rsidRPr="00E6095E">
        <w:t xml:space="preserve"> lead to </w:t>
      </w:r>
      <w:r w:rsidR="00D935E5">
        <w:t xml:space="preserve">selection of advantageous </w:t>
      </w:r>
      <w:r w:rsidR="00974290" w:rsidRPr="00E6095E">
        <w:t>biological c</w:t>
      </w:r>
      <w:r w:rsidR="00D935E5">
        <w:t>haracteristics within</w:t>
      </w:r>
      <w:r w:rsidR="00974290" w:rsidRPr="00E6095E">
        <w:t xml:space="preserve"> a species</w:t>
      </w:r>
    </w:p>
    <w:bookmarkEnd w:id="7"/>
    <w:p w:rsidR="009909CD" w:rsidRPr="0077633D" w:rsidRDefault="009909CD" w:rsidP="0077633D">
      <w:pPr>
        <w:spacing w:after="0"/>
      </w:pPr>
    </w:p>
    <w:sectPr w:rsidR="009909CD" w:rsidRPr="0077633D" w:rsidSect="00AE3511">
      <w:footerReference w:type="default" r:id="rId18"/>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847" w:rsidRDefault="00E25847" w:rsidP="00742128">
      <w:pPr>
        <w:spacing w:after="0" w:line="240" w:lineRule="auto"/>
      </w:pPr>
      <w:r>
        <w:separator/>
      </w:r>
    </w:p>
  </w:endnote>
  <w:endnote w:type="continuationSeparator" w:id="0">
    <w:p w:rsidR="00E25847" w:rsidRDefault="00E25847"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CE9" w:rsidRPr="009E1E00" w:rsidRDefault="00422CE9"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Integrated Science | General</w:t>
    </w:r>
    <w:r w:rsidRPr="00630C74">
      <w:t xml:space="preserve"> </w:t>
    </w:r>
    <w:r>
      <w:rPr>
        <w:rFonts w:ascii="Franklin Gothic Book" w:hAnsi="Franklin Gothic Book"/>
        <w:b/>
        <w:noProof/>
        <w:color w:val="342568"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C50" w:rsidRDefault="008A2C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511" w:rsidRPr="00AE3511" w:rsidRDefault="008A2C50" w:rsidP="00AE3511">
    <w:pPr>
      <w:pStyle w:val="Footer"/>
      <w:tabs>
        <w:tab w:val="clear" w:pos="4513"/>
        <w:tab w:val="clear" w:pos="9026"/>
        <w:tab w:val="center" w:pos="4820"/>
        <w:tab w:val="right" w:pos="9639"/>
      </w:tabs>
      <w:rPr>
        <w:i/>
      </w:rPr>
    </w:pPr>
    <w:r w:rsidRPr="008A2C50">
      <w:rPr>
        <w:sz w:val="16"/>
      </w:rPr>
      <w:t>2016/15632</w:t>
    </w:r>
    <w:r w:rsidR="00AE3511">
      <w:tab/>
    </w:r>
    <w:r w:rsidR="00AE3511" w:rsidRPr="00AE3511">
      <w:rPr>
        <w:i/>
        <w:sz w:val="16"/>
      </w:rPr>
      <w:t>Integrated Science</w:t>
    </w:r>
    <w:r w:rsidR="00AE3511">
      <w:rPr>
        <w:i/>
        <w:sz w:val="16"/>
      </w:rPr>
      <w:t xml:space="preserve"> </w:t>
    </w:r>
    <w:r w:rsidR="00AE3511" w:rsidRPr="00C90E53">
      <w:rPr>
        <w:i/>
        <w:sz w:val="16"/>
      </w:rPr>
      <w:t>General Year 12: Externally set task content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511" w:rsidRPr="00AE3511" w:rsidRDefault="00AE3511" w:rsidP="00AE3511">
    <w:pPr>
      <w:pStyle w:val="Footer"/>
      <w:tabs>
        <w:tab w:val="clear" w:pos="4513"/>
        <w:tab w:val="clear" w:pos="9026"/>
        <w:tab w:val="center" w:pos="4820"/>
        <w:tab w:val="right" w:pos="9639"/>
      </w:tabs>
    </w:pPr>
    <w:r>
      <w:tab/>
    </w:r>
    <w:r w:rsidRPr="00AE3511">
      <w:rPr>
        <w:i/>
        <w:sz w:val="16"/>
      </w:rPr>
      <w:t>Integrated Science</w:t>
    </w:r>
    <w:r>
      <w:rPr>
        <w:i/>
        <w:sz w:val="16"/>
      </w:rPr>
      <w:t xml:space="preserve"> </w:t>
    </w:r>
    <w:r w:rsidRPr="00C90E53">
      <w:rPr>
        <w:i/>
        <w:sz w:val="16"/>
      </w:rPr>
      <w:t>General Year 12: Externally set task content 2017</w:t>
    </w:r>
    <w:r>
      <w:rPr>
        <w:i/>
      </w:rPr>
      <w:tab/>
    </w:r>
    <w:r w:rsidRPr="00AE3511">
      <w:rPr>
        <w:sz w:val="16"/>
        <w:szCs w:val="16"/>
      </w:rPr>
      <w:fldChar w:fldCharType="begin"/>
    </w:r>
    <w:r w:rsidRPr="00AE3511">
      <w:rPr>
        <w:sz w:val="16"/>
        <w:szCs w:val="16"/>
      </w:rPr>
      <w:instrText xml:space="preserve"> PAGE   \* MERGEFORMAT </w:instrText>
    </w:r>
    <w:r w:rsidRPr="00AE3511">
      <w:rPr>
        <w:sz w:val="16"/>
        <w:szCs w:val="16"/>
      </w:rPr>
      <w:fldChar w:fldCharType="separate"/>
    </w:r>
    <w:r w:rsidR="004A7976">
      <w:rPr>
        <w:noProof/>
        <w:sz w:val="16"/>
        <w:szCs w:val="16"/>
      </w:rPr>
      <w:t>3</w:t>
    </w:r>
    <w:r w:rsidRPr="00AE3511">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847" w:rsidRDefault="00E25847" w:rsidP="00742128">
      <w:pPr>
        <w:spacing w:after="0" w:line="240" w:lineRule="auto"/>
      </w:pPr>
      <w:r>
        <w:separator/>
      </w:r>
    </w:p>
  </w:footnote>
  <w:footnote w:type="continuationSeparator" w:id="0">
    <w:p w:rsidR="00E25847" w:rsidRDefault="00E25847"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CE9" w:rsidRPr="001567D0" w:rsidRDefault="00422CE9"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E3511">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C50" w:rsidRDefault="008A2C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511" w:rsidRDefault="00AE3511">
    <w:pPr>
      <w:pStyle w:val="Header"/>
    </w:pPr>
    <w:r>
      <w:rPr>
        <w:noProof/>
        <w:lang w:eastAsia="en-AU"/>
      </w:rPr>
      <w:drawing>
        <wp:inline distT="0" distB="0" distL="0" distR="0">
          <wp:extent cx="6188710" cy="5524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A61702"/>
    <w:lvl w:ilvl="0">
      <w:start w:val="1"/>
      <w:numFmt w:val="decimal"/>
      <w:lvlText w:val="%1."/>
      <w:lvlJc w:val="left"/>
      <w:pPr>
        <w:tabs>
          <w:tab w:val="num" w:pos="1492"/>
        </w:tabs>
        <w:ind w:left="1492" w:hanging="360"/>
      </w:pPr>
    </w:lvl>
  </w:abstractNum>
  <w:abstractNum w:abstractNumId="1">
    <w:nsid w:val="FFFFFF7D"/>
    <w:multiLevelType w:val="singleLevel"/>
    <w:tmpl w:val="2FCC04FE"/>
    <w:lvl w:ilvl="0">
      <w:start w:val="1"/>
      <w:numFmt w:val="decimal"/>
      <w:lvlText w:val="%1."/>
      <w:lvlJc w:val="left"/>
      <w:pPr>
        <w:tabs>
          <w:tab w:val="num" w:pos="1209"/>
        </w:tabs>
        <w:ind w:left="1209" w:hanging="360"/>
      </w:pPr>
    </w:lvl>
  </w:abstractNum>
  <w:abstractNum w:abstractNumId="2">
    <w:nsid w:val="FFFFFF7E"/>
    <w:multiLevelType w:val="singleLevel"/>
    <w:tmpl w:val="40A46806"/>
    <w:lvl w:ilvl="0">
      <w:start w:val="1"/>
      <w:numFmt w:val="decimal"/>
      <w:lvlText w:val="%1."/>
      <w:lvlJc w:val="left"/>
      <w:pPr>
        <w:tabs>
          <w:tab w:val="num" w:pos="926"/>
        </w:tabs>
        <w:ind w:left="926" w:hanging="360"/>
      </w:pPr>
    </w:lvl>
  </w:abstractNum>
  <w:abstractNum w:abstractNumId="3">
    <w:nsid w:val="FFFFFF7F"/>
    <w:multiLevelType w:val="singleLevel"/>
    <w:tmpl w:val="040CA7BC"/>
    <w:lvl w:ilvl="0">
      <w:start w:val="1"/>
      <w:numFmt w:val="decimal"/>
      <w:lvlText w:val="%1."/>
      <w:lvlJc w:val="left"/>
      <w:pPr>
        <w:tabs>
          <w:tab w:val="num" w:pos="643"/>
        </w:tabs>
        <w:ind w:left="643" w:hanging="360"/>
      </w:pPr>
    </w:lvl>
  </w:abstractNum>
  <w:abstractNum w:abstractNumId="4">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A6C3CE"/>
    <w:lvl w:ilvl="0">
      <w:start w:val="1"/>
      <w:numFmt w:val="decimal"/>
      <w:lvlText w:val="%1."/>
      <w:lvlJc w:val="left"/>
      <w:pPr>
        <w:tabs>
          <w:tab w:val="num" w:pos="360"/>
        </w:tabs>
        <w:ind w:left="360" w:hanging="360"/>
      </w:pPr>
    </w:lvl>
  </w:abstractNum>
  <w:abstractNum w:abstractNumId="9">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A636C98"/>
    <w:multiLevelType w:val="hybridMultilevel"/>
    <w:tmpl w:val="D6EE24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nsid w:val="3F9734A7"/>
    <w:multiLevelType w:val="multilevel"/>
    <w:tmpl w:val="267816BE"/>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b w:val="0"/>
        <w:i w:val="0"/>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C162B00"/>
    <w:multiLevelType w:val="singleLevel"/>
    <w:tmpl w:val="FB26AA9E"/>
    <w:lvl w:ilvl="0">
      <w:numFmt w:val="decimal"/>
      <w:pStyle w:val="csbullet"/>
      <w:lvlText w:val=""/>
      <w:lvlJc w:val="left"/>
    </w:lvl>
  </w:abstractNum>
  <w:abstractNum w:abstractNumId="19">
    <w:nsid w:val="595E3AB5"/>
    <w:multiLevelType w:val="hybridMultilevel"/>
    <w:tmpl w:val="DD082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D6416C1"/>
    <w:multiLevelType w:val="hybridMultilevel"/>
    <w:tmpl w:val="20E8DB8A"/>
    <w:lvl w:ilvl="0" w:tplc="F41A0F2C">
      <w:start w:val="1"/>
      <w:numFmt w:val="bullet"/>
      <w:lvlText w:val=""/>
      <w:lvlJc w:val="left"/>
      <w:pPr>
        <w:ind w:left="360" w:hanging="360"/>
      </w:pPr>
      <w:rPr>
        <w:rFonts w:ascii="Wingdings" w:hAnsi="Wingdings" w:hint="default"/>
        <w:sz w:val="20"/>
        <w:szCs w:val="20"/>
      </w:rPr>
    </w:lvl>
    <w:lvl w:ilvl="1" w:tplc="FF58963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EC32D21"/>
    <w:multiLevelType w:val="hybridMultilevel"/>
    <w:tmpl w:val="1334173C"/>
    <w:lvl w:ilvl="0" w:tplc="BA3E4F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B7E1F44"/>
    <w:multiLevelType w:val="hybridMultilevel"/>
    <w:tmpl w:val="FC60B42C"/>
    <w:lvl w:ilvl="0" w:tplc="7D9AE4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5E95047"/>
    <w:multiLevelType w:val="hybridMultilevel"/>
    <w:tmpl w:val="56821D56"/>
    <w:lvl w:ilvl="0" w:tplc="BEE849F0">
      <w:start w:val="1"/>
      <w:numFmt w:val="bullet"/>
      <w:lvlText w:val=""/>
      <w:lvlJc w:val="left"/>
      <w:pPr>
        <w:ind w:left="360" w:hanging="360"/>
      </w:pPr>
      <w:rPr>
        <w:rFonts w:ascii="Wingdings" w:hAnsi="Wingdings"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3"/>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4"/>
  </w:num>
  <w:num w:numId="17">
    <w:abstractNumId w:val="17"/>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1"/>
  </w:num>
  <w:num w:numId="22">
    <w:abstractNumId w:val="12"/>
  </w:num>
  <w:num w:numId="23">
    <w:abstractNumId w:val="20"/>
  </w:num>
  <w:num w:numId="24">
    <w:abstractNumId w:val="19"/>
  </w:num>
  <w:num w:numId="25">
    <w:abstractNumId w:val="21"/>
  </w:num>
  <w:num w:numId="26">
    <w:abstractNumId w:val="22"/>
  </w:num>
  <w:num w:numId="27">
    <w:abstractNumId w:val="16"/>
  </w:num>
  <w:num w:numId="28">
    <w:abstractNumId w:val="2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1228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15906"/>
    <w:rsid w:val="00022F3C"/>
    <w:rsid w:val="0002336A"/>
    <w:rsid w:val="000365E9"/>
    <w:rsid w:val="000475A7"/>
    <w:rsid w:val="000841F0"/>
    <w:rsid w:val="0009024C"/>
    <w:rsid w:val="000A6ABE"/>
    <w:rsid w:val="000B0A44"/>
    <w:rsid w:val="000C2B4C"/>
    <w:rsid w:val="000C4B65"/>
    <w:rsid w:val="000C5064"/>
    <w:rsid w:val="000C6ACF"/>
    <w:rsid w:val="000D0A88"/>
    <w:rsid w:val="000D3174"/>
    <w:rsid w:val="000F3AD5"/>
    <w:rsid w:val="000F65F5"/>
    <w:rsid w:val="000F737A"/>
    <w:rsid w:val="00104DE9"/>
    <w:rsid w:val="00116231"/>
    <w:rsid w:val="00121DE6"/>
    <w:rsid w:val="0013465E"/>
    <w:rsid w:val="001358BF"/>
    <w:rsid w:val="001442D1"/>
    <w:rsid w:val="00144452"/>
    <w:rsid w:val="001451B9"/>
    <w:rsid w:val="00152599"/>
    <w:rsid w:val="00153C27"/>
    <w:rsid w:val="00156382"/>
    <w:rsid w:val="001567D0"/>
    <w:rsid w:val="00157E06"/>
    <w:rsid w:val="00160A6B"/>
    <w:rsid w:val="00161D4F"/>
    <w:rsid w:val="00172C5A"/>
    <w:rsid w:val="001779BF"/>
    <w:rsid w:val="00192605"/>
    <w:rsid w:val="0019340B"/>
    <w:rsid w:val="001D76C5"/>
    <w:rsid w:val="00226D55"/>
    <w:rsid w:val="00241073"/>
    <w:rsid w:val="00252540"/>
    <w:rsid w:val="00270163"/>
    <w:rsid w:val="00282AE8"/>
    <w:rsid w:val="00285B26"/>
    <w:rsid w:val="00290492"/>
    <w:rsid w:val="002A471E"/>
    <w:rsid w:val="002B007E"/>
    <w:rsid w:val="002B4E2F"/>
    <w:rsid w:val="002B6FEE"/>
    <w:rsid w:val="002C05E5"/>
    <w:rsid w:val="002E78F4"/>
    <w:rsid w:val="00304E41"/>
    <w:rsid w:val="00306C56"/>
    <w:rsid w:val="00314F10"/>
    <w:rsid w:val="00323EA6"/>
    <w:rsid w:val="00333514"/>
    <w:rsid w:val="003372DA"/>
    <w:rsid w:val="003566C9"/>
    <w:rsid w:val="0036440F"/>
    <w:rsid w:val="00370969"/>
    <w:rsid w:val="00374139"/>
    <w:rsid w:val="00392665"/>
    <w:rsid w:val="00392F69"/>
    <w:rsid w:val="003A73DB"/>
    <w:rsid w:val="003D2A82"/>
    <w:rsid w:val="003D3CBD"/>
    <w:rsid w:val="003D50A2"/>
    <w:rsid w:val="003F5430"/>
    <w:rsid w:val="00401B95"/>
    <w:rsid w:val="00405F58"/>
    <w:rsid w:val="004126B0"/>
    <w:rsid w:val="00413C8C"/>
    <w:rsid w:val="00416C3D"/>
    <w:rsid w:val="00422CE9"/>
    <w:rsid w:val="00433F68"/>
    <w:rsid w:val="0043620D"/>
    <w:rsid w:val="00437E0B"/>
    <w:rsid w:val="00442132"/>
    <w:rsid w:val="0044627A"/>
    <w:rsid w:val="004574B1"/>
    <w:rsid w:val="004650D0"/>
    <w:rsid w:val="00466D3C"/>
    <w:rsid w:val="004819A9"/>
    <w:rsid w:val="004837B3"/>
    <w:rsid w:val="004925C6"/>
    <w:rsid w:val="00492C50"/>
    <w:rsid w:val="004A048E"/>
    <w:rsid w:val="004A1CF7"/>
    <w:rsid w:val="004A7976"/>
    <w:rsid w:val="004B7DB5"/>
    <w:rsid w:val="004D0B2D"/>
    <w:rsid w:val="004D563A"/>
    <w:rsid w:val="004D68C7"/>
    <w:rsid w:val="00504046"/>
    <w:rsid w:val="0050454E"/>
    <w:rsid w:val="00506899"/>
    <w:rsid w:val="005155A2"/>
    <w:rsid w:val="00547D27"/>
    <w:rsid w:val="00554AC8"/>
    <w:rsid w:val="005739DA"/>
    <w:rsid w:val="0058522A"/>
    <w:rsid w:val="005A0F57"/>
    <w:rsid w:val="005A1C74"/>
    <w:rsid w:val="005E0ECB"/>
    <w:rsid w:val="005E18DA"/>
    <w:rsid w:val="005E26A0"/>
    <w:rsid w:val="005E6287"/>
    <w:rsid w:val="005E7CC3"/>
    <w:rsid w:val="00605928"/>
    <w:rsid w:val="006162AF"/>
    <w:rsid w:val="00622483"/>
    <w:rsid w:val="00630C3D"/>
    <w:rsid w:val="00630D9C"/>
    <w:rsid w:val="00637F0D"/>
    <w:rsid w:val="00640F84"/>
    <w:rsid w:val="00662252"/>
    <w:rsid w:val="00666385"/>
    <w:rsid w:val="00666FEB"/>
    <w:rsid w:val="006748E6"/>
    <w:rsid w:val="006854CE"/>
    <w:rsid w:val="00691A72"/>
    <w:rsid w:val="00693261"/>
    <w:rsid w:val="006A0DDE"/>
    <w:rsid w:val="006E1D80"/>
    <w:rsid w:val="006F7C1C"/>
    <w:rsid w:val="00711C93"/>
    <w:rsid w:val="00723986"/>
    <w:rsid w:val="00726E5A"/>
    <w:rsid w:val="00737E63"/>
    <w:rsid w:val="00742128"/>
    <w:rsid w:val="00753EA1"/>
    <w:rsid w:val="0077633D"/>
    <w:rsid w:val="00793207"/>
    <w:rsid w:val="007D19D2"/>
    <w:rsid w:val="008061B1"/>
    <w:rsid w:val="00806504"/>
    <w:rsid w:val="008079E9"/>
    <w:rsid w:val="0082500D"/>
    <w:rsid w:val="008324A6"/>
    <w:rsid w:val="008376B5"/>
    <w:rsid w:val="00846AF5"/>
    <w:rsid w:val="0087391D"/>
    <w:rsid w:val="008743F4"/>
    <w:rsid w:val="0088053A"/>
    <w:rsid w:val="008A17E8"/>
    <w:rsid w:val="008A2C50"/>
    <w:rsid w:val="008A2ECB"/>
    <w:rsid w:val="008B7794"/>
    <w:rsid w:val="008D0A7B"/>
    <w:rsid w:val="008D4263"/>
    <w:rsid w:val="008E144B"/>
    <w:rsid w:val="008E32B1"/>
    <w:rsid w:val="008F6BB3"/>
    <w:rsid w:val="008F7D5F"/>
    <w:rsid w:val="00904BFC"/>
    <w:rsid w:val="0093403F"/>
    <w:rsid w:val="0094007F"/>
    <w:rsid w:val="00945408"/>
    <w:rsid w:val="00952A49"/>
    <w:rsid w:val="009558DE"/>
    <w:rsid w:val="00955E93"/>
    <w:rsid w:val="00964696"/>
    <w:rsid w:val="009732C7"/>
    <w:rsid w:val="00974290"/>
    <w:rsid w:val="009909CD"/>
    <w:rsid w:val="009A6B9F"/>
    <w:rsid w:val="009B2394"/>
    <w:rsid w:val="009B4D2D"/>
    <w:rsid w:val="009E1E00"/>
    <w:rsid w:val="00A06F15"/>
    <w:rsid w:val="00A24944"/>
    <w:rsid w:val="00A26119"/>
    <w:rsid w:val="00A87D13"/>
    <w:rsid w:val="00A97B98"/>
    <w:rsid w:val="00AA0085"/>
    <w:rsid w:val="00AC349D"/>
    <w:rsid w:val="00AE0CDE"/>
    <w:rsid w:val="00AE3511"/>
    <w:rsid w:val="00AE57D9"/>
    <w:rsid w:val="00AE7245"/>
    <w:rsid w:val="00B04173"/>
    <w:rsid w:val="00B11D1C"/>
    <w:rsid w:val="00B22F69"/>
    <w:rsid w:val="00B45B36"/>
    <w:rsid w:val="00B81380"/>
    <w:rsid w:val="00B9029E"/>
    <w:rsid w:val="00BB4454"/>
    <w:rsid w:val="00BC157A"/>
    <w:rsid w:val="00BC1F96"/>
    <w:rsid w:val="00BD0125"/>
    <w:rsid w:val="00BD5EE7"/>
    <w:rsid w:val="00BD5F5A"/>
    <w:rsid w:val="00BD7327"/>
    <w:rsid w:val="00BF3BE1"/>
    <w:rsid w:val="00C00627"/>
    <w:rsid w:val="00C01FE0"/>
    <w:rsid w:val="00C02D56"/>
    <w:rsid w:val="00C1764E"/>
    <w:rsid w:val="00C26662"/>
    <w:rsid w:val="00C30D00"/>
    <w:rsid w:val="00C43A9A"/>
    <w:rsid w:val="00C51F9A"/>
    <w:rsid w:val="00C53F50"/>
    <w:rsid w:val="00C57CDD"/>
    <w:rsid w:val="00C824C8"/>
    <w:rsid w:val="00C83355"/>
    <w:rsid w:val="00C87563"/>
    <w:rsid w:val="00CA51CE"/>
    <w:rsid w:val="00CC2910"/>
    <w:rsid w:val="00CD0531"/>
    <w:rsid w:val="00CD0FAA"/>
    <w:rsid w:val="00CE0E01"/>
    <w:rsid w:val="00CF181C"/>
    <w:rsid w:val="00D018ED"/>
    <w:rsid w:val="00D12351"/>
    <w:rsid w:val="00D17A5D"/>
    <w:rsid w:val="00D2693E"/>
    <w:rsid w:val="00D27E3C"/>
    <w:rsid w:val="00D41433"/>
    <w:rsid w:val="00D64648"/>
    <w:rsid w:val="00D72086"/>
    <w:rsid w:val="00D827FF"/>
    <w:rsid w:val="00D935E5"/>
    <w:rsid w:val="00DB1EC4"/>
    <w:rsid w:val="00DB4B3C"/>
    <w:rsid w:val="00DC3A58"/>
    <w:rsid w:val="00DD095A"/>
    <w:rsid w:val="00DD1D21"/>
    <w:rsid w:val="00DD51A8"/>
    <w:rsid w:val="00E25745"/>
    <w:rsid w:val="00E25847"/>
    <w:rsid w:val="00E327A3"/>
    <w:rsid w:val="00E41C0A"/>
    <w:rsid w:val="00E4353E"/>
    <w:rsid w:val="00E44502"/>
    <w:rsid w:val="00E449D0"/>
    <w:rsid w:val="00E5490A"/>
    <w:rsid w:val="00E6095E"/>
    <w:rsid w:val="00E721B6"/>
    <w:rsid w:val="00E81900"/>
    <w:rsid w:val="00EA7315"/>
    <w:rsid w:val="00EB3C04"/>
    <w:rsid w:val="00ED3190"/>
    <w:rsid w:val="00ED3A00"/>
    <w:rsid w:val="00ED5049"/>
    <w:rsid w:val="00EE0075"/>
    <w:rsid w:val="00EE03E6"/>
    <w:rsid w:val="00EE0DE1"/>
    <w:rsid w:val="00EF0533"/>
    <w:rsid w:val="00F07CFA"/>
    <w:rsid w:val="00F24EC9"/>
    <w:rsid w:val="00F33CCB"/>
    <w:rsid w:val="00F40210"/>
    <w:rsid w:val="00F4271F"/>
    <w:rsid w:val="00F45180"/>
    <w:rsid w:val="00F606ED"/>
    <w:rsid w:val="00F75DE0"/>
    <w:rsid w:val="00F81088"/>
    <w:rsid w:val="00F83152"/>
    <w:rsid w:val="00FB3920"/>
    <w:rsid w:val="00FB7FF1"/>
    <w:rsid w:val="00FC23D9"/>
    <w:rsid w:val="00FC2705"/>
    <w:rsid w:val="00FE3AAC"/>
    <w:rsid w:val="00FF5E63"/>
    <w:rsid w:val="00FF6D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8E2C228-A7AB-4C58-BC60-1E2007BE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323EA6"/>
    <w:pPr>
      <w:outlineLvl w:val="3"/>
    </w:pPr>
    <w:rPr>
      <w:b/>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323EA6"/>
    <w:rPr>
      <w:rFonts w:eastAsiaTheme="minorHAnsi" w:cs="Calibri"/>
      <w:b/>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9A6B9F"/>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9A6B9F"/>
    <w:rPr>
      <w:rFonts w:eastAsiaTheme="minorHAnsi" w:cs="Calibri"/>
      <w:lang w:eastAsia="en-AU"/>
    </w:rPr>
  </w:style>
  <w:style w:type="paragraph" w:customStyle="1" w:styleId="ListItem">
    <w:name w:val="List Item"/>
    <w:basedOn w:val="Paragraph"/>
    <w:link w:val="ListItemChar"/>
    <w:qFormat/>
    <w:rsid w:val="00153C27"/>
  </w:style>
  <w:style w:type="character" w:customStyle="1" w:styleId="ListItemChar">
    <w:name w:val="List Item Char"/>
    <w:basedOn w:val="DefaultParagraphFont"/>
    <w:link w:val="ListItem"/>
    <w:rsid w:val="00153C27"/>
    <w:rPr>
      <w:rFonts w:eastAsiaTheme="minorHAnsi" w:cs="Calibri"/>
      <w:lang w:eastAsia="en-AU"/>
    </w:rPr>
  </w:style>
  <w:style w:type="paragraph" w:customStyle="1" w:styleId="Default">
    <w:name w:val="Default"/>
    <w:rsid w:val="00AE3511"/>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ustraliancurriculum.edu.au/Glossary?a=SSCSCH&amp;t=Reliability" TargetMode="External"/><Relationship Id="rId2" Type="http://schemas.openxmlformats.org/officeDocument/2006/relationships/numbering" Target="numbering.xml"/><Relationship Id="rId16" Type="http://schemas.openxmlformats.org/officeDocument/2006/relationships/hyperlink" Target="http://www.australiancurriculum.edu.au/Glossary?a=SSCSCH&amp;t=Valid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ustraliancurriculum.edu.au/Glossary?a=S&amp;t=Reliable%20data"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ustraliancurriculum.edu.au/Glossary?a=S&amp;t=Investig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756E2-74D9-4D75-800D-EC86D9EC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Terry Mitchelmore</cp:lastModifiedBy>
  <cp:revision>68</cp:revision>
  <cp:lastPrinted>2014-03-19T05:04:00Z</cp:lastPrinted>
  <dcterms:created xsi:type="dcterms:W3CDTF">2013-11-13T07:27:00Z</dcterms:created>
  <dcterms:modified xsi:type="dcterms:W3CDTF">2016-08-19T01:37:00Z</dcterms:modified>
</cp:coreProperties>
</file>