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DD081" w14:textId="77777777" w:rsidR="0077374C" w:rsidRPr="007F707C" w:rsidRDefault="0077374C" w:rsidP="007F707C">
      <w:pPr>
        <w:pStyle w:val="Title"/>
      </w:pPr>
      <w:r w:rsidRPr="007F707C">
        <w:t>Reporting VET achievements in SIRS</w:t>
      </w:r>
    </w:p>
    <w:p w14:paraId="7F7747CF" w14:textId="4FE8D3F6" w:rsidR="005C28CF" w:rsidRPr="00F77506" w:rsidRDefault="00C7552C" w:rsidP="00F77506">
      <w:r w:rsidRPr="00F77506">
        <w:t>This document provides</w:t>
      </w:r>
      <w:r w:rsidR="005C28CF" w:rsidRPr="00F77506">
        <w:t xml:space="preserve"> a series of VET data reporting protocols to assist schools in managing changes to VET qualification</w:t>
      </w:r>
      <w:r w:rsidR="00013711" w:rsidRPr="00F77506">
        <w:t>s, units of competency</w:t>
      </w:r>
      <w:r w:rsidR="005C28CF" w:rsidRPr="00F77506">
        <w:t>,</w:t>
      </w:r>
      <w:r w:rsidRPr="00F77506">
        <w:t xml:space="preserve"> RTO codes</w:t>
      </w:r>
      <w:r w:rsidR="005C28CF" w:rsidRPr="00F77506">
        <w:t xml:space="preserve"> or where a unit of competency is </w:t>
      </w:r>
      <w:r w:rsidR="00013711" w:rsidRPr="00F77506">
        <w:t>recorded</w:t>
      </w:r>
      <w:r w:rsidR="005C28CF" w:rsidRPr="00F77506">
        <w:t xml:space="preserve"> against more than one qualification.</w:t>
      </w:r>
    </w:p>
    <w:p w14:paraId="1E0AD234" w14:textId="3ACB24AE" w:rsidR="006A106E" w:rsidRPr="00190A5E" w:rsidRDefault="00473F40" w:rsidP="00833646">
      <w:pPr>
        <w:pStyle w:val="Heading1"/>
      </w:pPr>
      <w:r w:rsidRPr="00190A5E">
        <w:t>AVETMISS r</w:t>
      </w:r>
      <w:r w:rsidR="00C314E0" w:rsidRPr="00190A5E">
        <w:t>esulting protocols</w:t>
      </w:r>
    </w:p>
    <w:p w14:paraId="3EA405FE" w14:textId="1BEF73E2" w:rsidR="006A106E" w:rsidRPr="00C7552C" w:rsidRDefault="006A106E" w:rsidP="00A12010">
      <w:r w:rsidRPr="00C314E0">
        <w:t xml:space="preserve">There are </w:t>
      </w:r>
      <w:r w:rsidR="00BE599D">
        <w:t>ten</w:t>
      </w:r>
      <w:r w:rsidRPr="00C314E0">
        <w:t xml:space="preserve"> outcome identifiers</w:t>
      </w:r>
      <w:r w:rsidR="008B587F">
        <w:t xml:space="preserve"> in Table 1</w:t>
      </w:r>
      <w:r w:rsidRPr="00C314E0">
        <w:t xml:space="preserve"> that are relevant</w:t>
      </w:r>
      <w:r w:rsidR="00190A5E">
        <w:t xml:space="preserve"> for schools under AVETMISS 7.0</w:t>
      </w:r>
      <w:r w:rsidR="008B587F">
        <w:t>.</w:t>
      </w:r>
    </w:p>
    <w:p w14:paraId="3586B45F" w14:textId="77777777" w:rsidR="006A106E" w:rsidRPr="00C7552C" w:rsidRDefault="006A106E" w:rsidP="00F77506">
      <w:r w:rsidRPr="00C7552C">
        <w:t>Schools are reminded, when reporting student VET achievement that:</w:t>
      </w:r>
    </w:p>
    <w:p w14:paraId="3BA3A57C" w14:textId="77777777" w:rsidR="006A106E" w:rsidRPr="00C7552C" w:rsidRDefault="006A106E" w:rsidP="00190A5E">
      <w:pPr>
        <w:pStyle w:val="ListParagraph"/>
        <w:numPr>
          <w:ilvl w:val="0"/>
          <w:numId w:val="8"/>
        </w:numPr>
        <w:ind w:left="357" w:hanging="357"/>
      </w:pPr>
      <w:r w:rsidRPr="00C7552C">
        <w:t xml:space="preserve">a result code of </w:t>
      </w:r>
      <w:r w:rsidRPr="007F707C">
        <w:rPr>
          <w:b/>
        </w:rPr>
        <w:t>20</w:t>
      </w:r>
      <w:r w:rsidRPr="00C7552C">
        <w:t xml:space="preserve"> (competency achieved/pass) is only recorded once for any unit of competency </w:t>
      </w:r>
    </w:p>
    <w:p w14:paraId="101058EC" w14:textId="77777777" w:rsidR="006A106E" w:rsidRPr="00C7552C" w:rsidRDefault="006A106E" w:rsidP="00190A5E">
      <w:pPr>
        <w:pStyle w:val="ListParagraph"/>
        <w:numPr>
          <w:ilvl w:val="0"/>
          <w:numId w:val="8"/>
        </w:numPr>
        <w:ind w:left="357" w:hanging="357"/>
      </w:pPr>
      <w:r w:rsidRPr="00C7552C">
        <w:t xml:space="preserve">all subsequent achievement descriptors awarded for a unit of competency linked to another qualification is recorded as </w:t>
      </w:r>
      <w:r w:rsidRPr="007F707C">
        <w:rPr>
          <w:b/>
        </w:rPr>
        <w:t>60</w:t>
      </w:r>
      <w:r w:rsidRPr="00C7552C">
        <w:t xml:space="preserve"> (credit transfer) thereafter</w:t>
      </w:r>
    </w:p>
    <w:p w14:paraId="5E30052A" w14:textId="4E4FC5DB" w:rsidR="006A106E" w:rsidRPr="00C7552C" w:rsidRDefault="006A106E" w:rsidP="00190A5E">
      <w:pPr>
        <w:pStyle w:val="ListParagraph"/>
        <w:numPr>
          <w:ilvl w:val="0"/>
          <w:numId w:val="8"/>
        </w:numPr>
        <w:ind w:left="357" w:hanging="357"/>
      </w:pPr>
      <w:r w:rsidRPr="00C7552C">
        <w:t xml:space="preserve">a result code of </w:t>
      </w:r>
      <w:r w:rsidRPr="007F707C">
        <w:rPr>
          <w:b/>
        </w:rPr>
        <w:t>30</w:t>
      </w:r>
      <w:r w:rsidRPr="00C7552C">
        <w:t xml:space="preserve"> (competency not achieved/fail) should not be </w:t>
      </w:r>
      <w:r w:rsidR="00A71F4E">
        <w:t xml:space="preserve">used subsequent to that unit of </w:t>
      </w:r>
      <w:r w:rsidRPr="00C7552C">
        <w:t xml:space="preserve">competency being reported as </w:t>
      </w:r>
      <w:r w:rsidRPr="007F707C">
        <w:rPr>
          <w:b/>
        </w:rPr>
        <w:t>20</w:t>
      </w:r>
      <w:r w:rsidRPr="00C7552C">
        <w:t xml:space="preserve"> (competency achieved/pass)</w:t>
      </w:r>
    </w:p>
    <w:p w14:paraId="7342F545" w14:textId="7D028AA7" w:rsidR="006A106E" w:rsidRPr="00C7552C" w:rsidRDefault="006A106E" w:rsidP="00190A5E">
      <w:pPr>
        <w:pStyle w:val="ListParagraph"/>
        <w:numPr>
          <w:ilvl w:val="0"/>
          <w:numId w:val="8"/>
        </w:numPr>
        <w:ind w:left="357" w:hanging="357"/>
      </w:pPr>
      <w:r w:rsidRPr="00C7552C">
        <w:t xml:space="preserve">an incorrect enrolment in a unit of competency is to be resulted as </w:t>
      </w:r>
      <w:r w:rsidRPr="007F707C">
        <w:rPr>
          <w:b/>
        </w:rPr>
        <w:t>99</w:t>
      </w:r>
      <w:r w:rsidRPr="00C7552C">
        <w:t xml:space="preserve"> (</w:t>
      </w:r>
      <w:r w:rsidR="00190A5E">
        <w:t>s</w:t>
      </w:r>
      <w:r w:rsidRPr="00C7552C">
        <w:t>tudent did not part</w:t>
      </w:r>
      <w:r w:rsidR="00F81F3F" w:rsidRPr="00C7552C">
        <w:t>icipate in a competency/module)</w:t>
      </w:r>
    </w:p>
    <w:p w14:paraId="21B8AEC8" w14:textId="27F97F5C" w:rsidR="006A106E" w:rsidRPr="00C7552C" w:rsidRDefault="00F81F3F" w:rsidP="00F77506">
      <w:pPr>
        <w:pStyle w:val="ListParagraph"/>
        <w:numPr>
          <w:ilvl w:val="0"/>
          <w:numId w:val="8"/>
        </w:numPr>
        <w:ind w:left="357" w:hanging="357"/>
      </w:pPr>
      <w:r w:rsidRPr="00C7552C">
        <w:t>a unit of competency which has been commenced</w:t>
      </w:r>
      <w:r w:rsidR="00956936">
        <w:t>,</w:t>
      </w:r>
      <w:r w:rsidRPr="00C7552C">
        <w:t xml:space="preserve"> but not completed</w:t>
      </w:r>
      <w:r w:rsidR="00E37065">
        <w:t xml:space="preserve"> when superseded by another subject </w:t>
      </w:r>
      <w:r w:rsidRPr="00C7552C">
        <w:t xml:space="preserve">to be reported as </w:t>
      </w:r>
      <w:r w:rsidRPr="007F707C">
        <w:rPr>
          <w:b/>
        </w:rPr>
        <w:t>61</w:t>
      </w:r>
      <w:r w:rsidRPr="00C7552C">
        <w:t xml:space="preserve"> (superseded subject)</w:t>
      </w:r>
    </w:p>
    <w:p w14:paraId="4515FFCE" w14:textId="4C3D5EA5" w:rsidR="006A106E" w:rsidRPr="00190A5E" w:rsidRDefault="006A106E" w:rsidP="00190A5E">
      <w:pPr>
        <w:rPr>
          <w:b/>
        </w:rPr>
      </w:pPr>
      <w:r w:rsidRPr="00190A5E">
        <w:rPr>
          <w:b/>
        </w:rPr>
        <w:t xml:space="preserve">Table 1: </w:t>
      </w:r>
      <w:r w:rsidR="004873CB" w:rsidRPr="00190A5E">
        <w:rPr>
          <w:b/>
        </w:rPr>
        <w:t>Classification Scheme</w:t>
      </w:r>
      <w:r w:rsidR="00276A1F" w:rsidRPr="00190A5E">
        <w:rPr>
          <w:b/>
        </w:rPr>
        <w:t xml:space="preserve"> (</w:t>
      </w:r>
      <w:r w:rsidR="00616369" w:rsidRPr="00190A5E">
        <w:rPr>
          <w:b/>
        </w:rPr>
        <w:t>assessable enrolments</w:t>
      </w:r>
      <w:r w:rsidR="00276A1F" w:rsidRPr="00190A5E">
        <w:rPr>
          <w:b/>
        </w:rPr>
        <w:t>)</w:t>
      </w:r>
    </w:p>
    <w:tbl>
      <w:tblPr>
        <w:tblStyle w:val="GridTable4-Accent3"/>
        <w:tblW w:w="8647" w:type="dxa"/>
        <w:tblLook w:val="06A0" w:firstRow="1" w:lastRow="0" w:firstColumn="1" w:lastColumn="0" w:noHBand="1" w:noVBand="1"/>
      </w:tblPr>
      <w:tblGrid>
        <w:gridCol w:w="959"/>
        <w:gridCol w:w="7688"/>
      </w:tblGrid>
      <w:tr w:rsidR="006A106E" w:rsidRPr="00C7552C" w14:paraId="5C5746A2" w14:textId="77777777" w:rsidTr="006F7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80350CF" w14:textId="77777777" w:rsidR="006A106E" w:rsidRPr="00C7552C" w:rsidRDefault="006A106E" w:rsidP="00970995">
            <w:pPr>
              <w:spacing w:before="60" w:after="60"/>
            </w:pPr>
            <w:r w:rsidRPr="00C7552C">
              <w:t>Value</w:t>
            </w:r>
          </w:p>
        </w:tc>
        <w:tc>
          <w:tcPr>
            <w:tcW w:w="7688" w:type="dxa"/>
          </w:tcPr>
          <w:p w14:paraId="32400046" w14:textId="77777777" w:rsidR="006A106E" w:rsidRPr="00C7552C" w:rsidRDefault="006A106E" w:rsidP="0097099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Description</w:t>
            </w:r>
          </w:p>
        </w:tc>
      </w:tr>
      <w:tr w:rsidR="006A106E" w:rsidRPr="00C7552C" w14:paraId="2DC14AEF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B3DA073" w14:textId="77777777" w:rsidR="006A106E" w:rsidRPr="00C7552C" w:rsidRDefault="006A106E" w:rsidP="00970995">
            <w:pPr>
              <w:spacing w:before="60" w:after="60"/>
            </w:pPr>
            <w:r w:rsidRPr="00C7552C">
              <w:t>20</w:t>
            </w:r>
          </w:p>
        </w:tc>
        <w:tc>
          <w:tcPr>
            <w:tcW w:w="7688" w:type="dxa"/>
          </w:tcPr>
          <w:p w14:paraId="26412F53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Competency achieved/pass</w:t>
            </w:r>
          </w:p>
        </w:tc>
      </w:tr>
      <w:tr w:rsidR="006A106E" w:rsidRPr="00C7552C" w14:paraId="3E1CFBB2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B648D1C" w14:textId="77777777" w:rsidR="006A106E" w:rsidRPr="00C7552C" w:rsidRDefault="006A106E" w:rsidP="00970995">
            <w:pPr>
              <w:spacing w:before="60" w:after="60"/>
            </w:pPr>
            <w:r w:rsidRPr="00C7552C">
              <w:t>30</w:t>
            </w:r>
          </w:p>
        </w:tc>
        <w:tc>
          <w:tcPr>
            <w:tcW w:w="7688" w:type="dxa"/>
          </w:tcPr>
          <w:p w14:paraId="0B8666A8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Competency not achieved/fail</w:t>
            </w:r>
          </w:p>
        </w:tc>
      </w:tr>
      <w:tr w:rsidR="006A106E" w:rsidRPr="00C7552C" w14:paraId="18B097E7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8F0AC22" w14:textId="77777777" w:rsidR="006A106E" w:rsidRPr="00C7552C" w:rsidRDefault="006A106E" w:rsidP="00970995">
            <w:pPr>
              <w:spacing w:before="60" w:after="60"/>
            </w:pPr>
            <w:r w:rsidRPr="00C7552C">
              <w:t>40</w:t>
            </w:r>
          </w:p>
        </w:tc>
        <w:tc>
          <w:tcPr>
            <w:tcW w:w="7688" w:type="dxa"/>
          </w:tcPr>
          <w:p w14:paraId="440897B3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Withdrawn or discontinued</w:t>
            </w:r>
          </w:p>
        </w:tc>
      </w:tr>
      <w:tr w:rsidR="006A106E" w:rsidRPr="00C7552C" w14:paraId="618A5E54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C045A5" w14:textId="77777777" w:rsidR="006A106E" w:rsidRPr="00C7552C" w:rsidRDefault="006A106E" w:rsidP="00970995">
            <w:pPr>
              <w:spacing w:before="60" w:after="60"/>
            </w:pPr>
            <w:r w:rsidRPr="00C7552C">
              <w:t>51</w:t>
            </w:r>
          </w:p>
        </w:tc>
        <w:tc>
          <w:tcPr>
            <w:tcW w:w="7688" w:type="dxa"/>
          </w:tcPr>
          <w:p w14:paraId="703CA4C7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Recognition of prior learning granted</w:t>
            </w:r>
          </w:p>
        </w:tc>
      </w:tr>
      <w:tr w:rsidR="006A106E" w:rsidRPr="00C7552C" w14:paraId="41B021C3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451960F" w14:textId="77777777" w:rsidR="006A106E" w:rsidRPr="00C7552C" w:rsidRDefault="006A106E" w:rsidP="00970995">
            <w:pPr>
              <w:spacing w:before="60" w:after="60"/>
            </w:pPr>
            <w:r w:rsidRPr="00C7552C">
              <w:t>52</w:t>
            </w:r>
          </w:p>
        </w:tc>
        <w:tc>
          <w:tcPr>
            <w:tcW w:w="7688" w:type="dxa"/>
          </w:tcPr>
          <w:p w14:paraId="18F67340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Recognition of prior learning not granted</w:t>
            </w:r>
          </w:p>
        </w:tc>
      </w:tr>
      <w:tr w:rsidR="006A106E" w:rsidRPr="00C7552C" w14:paraId="428FEFA0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0C0292" w14:textId="77777777" w:rsidR="006A106E" w:rsidRPr="00C7552C" w:rsidRDefault="006A106E" w:rsidP="00970995">
            <w:pPr>
              <w:spacing w:before="60" w:after="60"/>
            </w:pPr>
            <w:r w:rsidRPr="00C7552C">
              <w:t>60</w:t>
            </w:r>
          </w:p>
        </w:tc>
        <w:tc>
          <w:tcPr>
            <w:tcW w:w="7688" w:type="dxa"/>
          </w:tcPr>
          <w:p w14:paraId="70CB4E83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Credit transfer</w:t>
            </w:r>
          </w:p>
        </w:tc>
      </w:tr>
      <w:tr w:rsidR="00BE599D" w:rsidRPr="00C7552C" w14:paraId="51F3583E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6E8A6AB" w14:textId="77777777" w:rsidR="00BE599D" w:rsidRPr="00C7552C" w:rsidRDefault="00BE599D" w:rsidP="00970995">
            <w:pPr>
              <w:spacing w:before="60" w:after="60"/>
            </w:pPr>
            <w:r w:rsidRPr="00C7552C">
              <w:t>61</w:t>
            </w:r>
          </w:p>
        </w:tc>
        <w:tc>
          <w:tcPr>
            <w:tcW w:w="7688" w:type="dxa"/>
          </w:tcPr>
          <w:p w14:paraId="464EA3EB" w14:textId="77777777" w:rsidR="00BE599D" w:rsidRPr="00C7552C" w:rsidRDefault="00BE599D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Superseded subject</w:t>
            </w:r>
          </w:p>
        </w:tc>
      </w:tr>
      <w:tr w:rsidR="006A106E" w:rsidRPr="00C7552C" w14:paraId="4EA4E01F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F8D359C" w14:textId="77777777" w:rsidR="006A106E" w:rsidRPr="00C7552C" w:rsidRDefault="006A106E" w:rsidP="00970995">
            <w:pPr>
              <w:spacing w:before="60" w:after="60"/>
            </w:pPr>
            <w:r w:rsidRPr="00C7552C">
              <w:t>70</w:t>
            </w:r>
          </w:p>
        </w:tc>
        <w:tc>
          <w:tcPr>
            <w:tcW w:w="7688" w:type="dxa"/>
          </w:tcPr>
          <w:p w14:paraId="674EA1DF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Continuing enrolment (into the following year)</w:t>
            </w:r>
          </w:p>
        </w:tc>
      </w:tr>
      <w:tr w:rsidR="006A106E" w:rsidRPr="00C7552C" w14:paraId="49F3E6C6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636E59F" w14:textId="77777777" w:rsidR="006A106E" w:rsidRPr="00C7552C" w:rsidRDefault="006A106E" w:rsidP="00970995">
            <w:pPr>
              <w:spacing w:before="60" w:after="60"/>
            </w:pPr>
            <w:r w:rsidRPr="00C7552C">
              <w:t>90</w:t>
            </w:r>
          </w:p>
        </w:tc>
        <w:tc>
          <w:tcPr>
            <w:tcW w:w="7688" w:type="dxa"/>
          </w:tcPr>
          <w:p w14:paraId="2313CEDE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Not yet available</w:t>
            </w:r>
          </w:p>
        </w:tc>
      </w:tr>
      <w:tr w:rsidR="006A106E" w:rsidRPr="00C7552C" w14:paraId="626C54EF" w14:textId="77777777" w:rsidTr="006F7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CE928C0" w14:textId="77777777" w:rsidR="006A106E" w:rsidRPr="00C7552C" w:rsidRDefault="006A106E" w:rsidP="00970995">
            <w:pPr>
              <w:spacing w:before="60" w:after="60"/>
            </w:pPr>
            <w:r w:rsidRPr="00C7552C">
              <w:t>99</w:t>
            </w:r>
          </w:p>
        </w:tc>
        <w:tc>
          <w:tcPr>
            <w:tcW w:w="7688" w:type="dxa"/>
          </w:tcPr>
          <w:p w14:paraId="07CD1A08" w14:textId="77777777" w:rsidR="006A106E" w:rsidRPr="00C7552C" w:rsidRDefault="006A106E" w:rsidP="009709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52C">
              <w:t>Student did not participate in a competency/module</w:t>
            </w:r>
          </w:p>
        </w:tc>
      </w:tr>
    </w:tbl>
    <w:p w14:paraId="3386C12F" w14:textId="77777777" w:rsidR="00A71F4E" w:rsidRPr="00765DCD" w:rsidRDefault="00A71F4E" w:rsidP="00765DCD">
      <w:pPr>
        <w:rPr>
          <w:rFonts w:eastAsiaTheme="majorEastAsia"/>
        </w:rPr>
      </w:pPr>
      <w:r>
        <w:br w:type="page"/>
      </w:r>
    </w:p>
    <w:p w14:paraId="71033F38" w14:textId="6F087BEA" w:rsidR="006A106E" w:rsidRDefault="00F76235" w:rsidP="009F5C87">
      <w:pPr>
        <w:pStyle w:val="Heading1"/>
      </w:pPr>
      <w:r>
        <w:lastRenderedPageBreak/>
        <w:t>Changes to qualification codes</w:t>
      </w:r>
    </w:p>
    <w:p w14:paraId="3633DB76" w14:textId="0343074E" w:rsidR="005D0D5F" w:rsidRDefault="009F5C87" w:rsidP="00A76728">
      <w:pPr>
        <w:pStyle w:val="IntroText"/>
      </w:pPr>
      <w:r>
        <w:drawing>
          <wp:anchor distT="0" distB="0" distL="114300" distR="114300" simplePos="0" relativeHeight="251658240" behindDoc="0" locked="0" layoutInCell="1" allowOverlap="1" wp14:anchorId="1064CE4A" wp14:editId="03623AA4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215900" cy="21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-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D5F">
        <w:t xml:space="preserve">Where </w:t>
      </w:r>
      <w:r w:rsidR="00F76235">
        <w:t xml:space="preserve">units of competency </w:t>
      </w:r>
      <w:r w:rsidR="00F76235" w:rsidRPr="00C7552C">
        <w:t>from the superseded qualification are intended to be used to meet the requirements of the current qualification</w:t>
      </w:r>
      <w:r w:rsidR="006D30BD">
        <w:t>.</w:t>
      </w:r>
    </w:p>
    <w:p w14:paraId="249D44DA" w14:textId="1C5A4477" w:rsidR="00C314E0" w:rsidRPr="00C7552C" w:rsidRDefault="00A6433D" w:rsidP="00970995">
      <w:r>
        <w:t>Each unit</w:t>
      </w:r>
      <w:r w:rsidR="00C314E0" w:rsidRPr="00C7552C">
        <w:t xml:space="preserve"> of competency must first be linked to the </w:t>
      </w:r>
      <w:r w:rsidR="00770811">
        <w:t>current</w:t>
      </w:r>
      <w:r>
        <w:t xml:space="preserve"> qualification</w:t>
      </w:r>
      <w:r w:rsidR="00F76235">
        <w:t xml:space="preserve"> code</w:t>
      </w:r>
      <w:r w:rsidR="008B587F">
        <w:rPr>
          <w:rStyle w:val="FootnoteReference"/>
        </w:rPr>
        <w:footnoteReference w:id="1"/>
      </w:r>
      <w:r w:rsidR="008B587F">
        <w:t xml:space="preserve"> </w:t>
      </w:r>
      <w:r w:rsidR="00F76235">
        <w:t>and resulted</w:t>
      </w:r>
      <w:r w:rsidR="00C314E0" w:rsidRPr="00C7552C">
        <w:t xml:space="preserve"> with </w:t>
      </w:r>
      <w:r w:rsidR="00C314E0" w:rsidRPr="007F707C">
        <w:rPr>
          <w:b/>
        </w:rPr>
        <w:t xml:space="preserve">60: </w:t>
      </w:r>
      <w:r w:rsidR="002F7ACF" w:rsidRPr="007F707C">
        <w:rPr>
          <w:b/>
        </w:rPr>
        <w:t>C</w:t>
      </w:r>
      <w:r w:rsidR="00C314E0" w:rsidRPr="007F707C">
        <w:rPr>
          <w:b/>
        </w:rPr>
        <w:t>redit transfer</w:t>
      </w:r>
      <w:r w:rsidR="00F76235" w:rsidRPr="007469FF">
        <w:rPr>
          <w:i/>
        </w:rPr>
        <w:t xml:space="preserve"> </w:t>
      </w:r>
      <w:r w:rsidR="00F76235">
        <w:t xml:space="preserve">against the </w:t>
      </w:r>
      <w:r w:rsidR="00770811">
        <w:t>current</w:t>
      </w:r>
      <w:r w:rsidR="00F76235">
        <w:t xml:space="preserve"> qualification code.</w:t>
      </w:r>
      <w:r w:rsidR="00770811">
        <w:t xml:space="preserve"> Before uploading RSQUAL for the current qualification, all units of competency must be reported against the current qualification via RSVET.</w:t>
      </w:r>
    </w:p>
    <w:p w14:paraId="6774C3D4" w14:textId="05899567" w:rsidR="00A71F4E" w:rsidRPr="007F707C" w:rsidRDefault="00A71F4E" w:rsidP="007F707C">
      <w:pPr>
        <w:pStyle w:val="Heading2"/>
      </w:pPr>
      <w:r w:rsidRPr="007F707C">
        <w:t>Where the change of qualification code affects VET industry specific enrolments</w:t>
      </w:r>
    </w:p>
    <w:p w14:paraId="0DE87BA9" w14:textId="1B5CE253" w:rsidR="00A71F4E" w:rsidRDefault="00A71F4E" w:rsidP="00F77506">
      <w:r>
        <w:t>Schools are required to re-upload:</w:t>
      </w:r>
    </w:p>
    <w:p w14:paraId="30572CC2" w14:textId="260FF956" w:rsidR="00A71F4E" w:rsidRDefault="00A71F4E" w:rsidP="002F7ACF">
      <w:pPr>
        <w:pStyle w:val="ListParagraph"/>
        <w:numPr>
          <w:ilvl w:val="0"/>
          <w:numId w:val="13"/>
        </w:numPr>
        <w:ind w:left="357" w:hanging="357"/>
      </w:pPr>
      <w:r>
        <w:t>ENCOS – course code integrated with the current qualification code</w:t>
      </w:r>
    </w:p>
    <w:p w14:paraId="01CBF546" w14:textId="113298E7" w:rsidR="00A71F4E" w:rsidRDefault="00451CEF" w:rsidP="002F7ACF">
      <w:pPr>
        <w:pStyle w:val="ListParagraph"/>
        <w:numPr>
          <w:ilvl w:val="0"/>
          <w:numId w:val="13"/>
        </w:numPr>
        <w:ind w:left="357" w:hanging="357"/>
      </w:pPr>
      <w:r>
        <w:t>ENVET</w:t>
      </w:r>
      <w:r w:rsidR="008B587F">
        <w:rPr>
          <w:rStyle w:val="FootnoteReference"/>
        </w:rPr>
        <w:footnoteReference w:id="2"/>
      </w:r>
      <w:r>
        <w:t>/</w:t>
      </w:r>
      <w:r w:rsidR="00A71F4E">
        <w:t>RSVET – units of competency integrated with the current qualification code</w:t>
      </w:r>
      <w:r w:rsidR="00D32A0D">
        <w:t xml:space="preserve"> </w:t>
      </w:r>
    </w:p>
    <w:p w14:paraId="3568ACA3" w14:textId="6774C0DE" w:rsidR="007C0E1E" w:rsidRDefault="007C0E1E" w:rsidP="002F7ACF">
      <w:pPr>
        <w:pStyle w:val="ListParagraph"/>
        <w:numPr>
          <w:ilvl w:val="0"/>
          <w:numId w:val="13"/>
        </w:numPr>
        <w:ind w:left="357" w:hanging="357"/>
      </w:pPr>
      <w:r>
        <w:t>ENEND/RSEND – ADWPL linked to current qualification code</w:t>
      </w:r>
      <w:r w:rsidR="002F7ACF">
        <w:t>.</w:t>
      </w:r>
    </w:p>
    <w:p w14:paraId="29E5C32F" w14:textId="308E8AE7" w:rsidR="00A71F4E" w:rsidRDefault="006F7392" w:rsidP="00F77506">
      <w:r w:rsidRPr="00DD1669">
        <w:t>N</w:t>
      </w:r>
      <w:r w:rsidR="00EB35B3" w:rsidRPr="00DD1669">
        <w:t>ote:</w:t>
      </w:r>
      <w:r w:rsidR="00EB35B3">
        <w:t xml:space="preserve"> </w:t>
      </w:r>
      <w:r w:rsidR="00A71F4E">
        <w:t xml:space="preserve">Any previously achieved units of competency </w:t>
      </w:r>
      <w:r w:rsidR="00EB35B3">
        <w:t xml:space="preserve">resulted against </w:t>
      </w:r>
      <w:r w:rsidR="00A71F4E">
        <w:t>the superseded qualification must</w:t>
      </w:r>
      <w:r w:rsidR="00EB35B3">
        <w:t xml:space="preserve"> </w:t>
      </w:r>
      <w:r w:rsidR="00EB35B3" w:rsidRPr="00EB35B3">
        <w:rPr>
          <w:b/>
        </w:rPr>
        <w:t>also</w:t>
      </w:r>
      <w:r w:rsidR="00A71F4E">
        <w:t xml:space="preserve"> be resulted with </w:t>
      </w:r>
      <w:r w:rsidR="00A71F4E" w:rsidRPr="00EE6859">
        <w:rPr>
          <w:b/>
        </w:rPr>
        <w:t>60</w:t>
      </w:r>
      <w:r w:rsidR="00A71F4E">
        <w:t xml:space="preserve"> </w:t>
      </w:r>
      <w:r w:rsidR="00EB35B3">
        <w:t>against the</w:t>
      </w:r>
      <w:r w:rsidR="00A71F4E">
        <w:t xml:space="preserve"> current qualification</w:t>
      </w:r>
      <w:r w:rsidR="006019A0">
        <w:t>.</w:t>
      </w:r>
    </w:p>
    <w:p w14:paraId="301920EA" w14:textId="1B5164ED" w:rsidR="005B1076" w:rsidRPr="00A71F4E" w:rsidRDefault="005B1076" w:rsidP="00F77506">
      <w:r>
        <w:t xml:space="preserve">Refer to the </w:t>
      </w:r>
      <w:hyperlink r:id="rId9" w:history="1">
        <w:r w:rsidRPr="005B1076">
          <w:rPr>
            <w:rStyle w:val="Hyperlink"/>
          </w:rPr>
          <w:t>VET industry specific quick reference guide</w:t>
        </w:r>
      </w:hyperlink>
      <w:r>
        <w:t xml:space="preserve"> for more information</w:t>
      </w:r>
      <w:r w:rsidR="00D32A0D">
        <w:t>.</w:t>
      </w:r>
    </w:p>
    <w:p w14:paraId="38B312EA" w14:textId="5AE0367F" w:rsidR="007678E6" w:rsidRPr="009F5C87" w:rsidRDefault="00172B67" w:rsidP="009F5C87">
      <w:pPr>
        <w:pStyle w:val="Heading1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1" layoutInCell="1" allowOverlap="1" wp14:anchorId="2161E0E1" wp14:editId="72F55D89">
            <wp:simplePos x="0" y="0"/>
            <wp:positionH relativeFrom="column">
              <wp:posOffset>3175</wp:posOffset>
            </wp:positionH>
            <wp:positionV relativeFrom="paragraph">
              <wp:posOffset>490855</wp:posOffset>
            </wp:positionV>
            <wp:extent cx="215900" cy="215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o-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1FE" w:rsidRPr="009F5C87">
        <w:t>Missing or incorrect VET results</w:t>
      </w:r>
      <w:r w:rsidR="00474BE4" w:rsidRPr="009F5C87">
        <w:t xml:space="preserve"> (previous year)</w:t>
      </w:r>
    </w:p>
    <w:p w14:paraId="13347A70" w14:textId="5A85D243" w:rsidR="005D0D5F" w:rsidRDefault="009841FE" w:rsidP="00A76728">
      <w:pPr>
        <w:pStyle w:val="IntroText"/>
      </w:pPr>
      <w:r w:rsidRPr="00394A50">
        <w:t>Where</w:t>
      </w:r>
      <w:r w:rsidR="00573805" w:rsidRPr="00394A50">
        <w:t xml:space="preserve"> </w:t>
      </w:r>
      <w:r w:rsidR="0017669A" w:rsidRPr="00394A50">
        <w:t>there is</w:t>
      </w:r>
      <w:r w:rsidR="00573805" w:rsidRPr="00394A50">
        <w:t xml:space="preserve"> incorrect </w:t>
      </w:r>
      <w:r w:rsidR="007678E6" w:rsidRPr="00394A50">
        <w:t xml:space="preserve">student </w:t>
      </w:r>
      <w:r w:rsidR="00473F40">
        <w:t>information</w:t>
      </w:r>
      <w:r w:rsidR="00573805" w:rsidRPr="00394A50">
        <w:t xml:space="preserve"> </w:t>
      </w:r>
      <w:r w:rsidR="00154B97" w:rsidRPr="00394A50">
        <w:t>with</w:t>
      </w:r>
      <w:r w:rsidR="00573805" w:rsidRPr="00394A50">
        <w:t xml:space="preserve">in </w:t>
      </w:r>
      <w:r w:rsidR="0017669A" w:rsidRPr="00394A50">
        <w:t xml:space="preserve">a school’s </w:t>
      </w:r>
      <w:r w:rsidR="006429C7">
        <w:t>database for the previous year</w:t>
      </w:r>
      <w:r w:rsidR="006D30BD">
        <w:t>.</w:t>
      </w:r>
    </w:p>
    <w:p w14:paraId="48E9705A" w14:textId="5A09AA19" w:rsidR="009841FE" w:rsidRPr="00C7552C" w:rsidRDefault="005D0D5F" w:rsidP="00F77506">
      <w:r w:rsidRPr="00C7552C">
        <w:t xml:space="preserve">Schools </w:t>
      </w:r>
      <w:r w:rsidR="001C1B97">
        <w:t xml:space="preserve">in the first instance </w:t>
      </w:r>
      <w:r w:rsidR="00B37D9D">
        <w:t xml:space="preserve">can </w:t>
      </w:r>
      <w:r w:rsidR="001C1B97">
        <w:t>refer to</w:t>
      </w:r>
      <w:r w:rsidR="009F73B4">
        <w:t xml:space="preserve"> </w:t>
      </w:r>
      <w:r w:rsidR="00A76728">
        <w:rPr>
          <w:b/>
        </w:rPr>
        <w:t>S</w:t>
      </w:r>
      <w:r w:rsidR="009F73B4" w:rsidRPr="009F73B4">
        <w:rPr>
          <w:b/>
        </w:rPr>
        <w:t>ection 13</w:t>
      </w:r>
      <w:r w:rsidR="00B37D9D">
        <w:t xml:space="preserve"> of</w:t>
      </w:r>
      <w:r w:rsidR="001C1B97">
        <w:t xml:space="preserve"> the</w:t>
      </w:r>
      <w:r w:rsidR="00B37D9D">
        <w:t xml:space="preserve"> </w:t>
      </w:r>
      <w:hyperlink r:id="rId10" w:history="1">
        <w:r w:rsidR="00B37D9D" w:rsidRPr="001C1B97">
          <w:rPr>
            <w:rStyle w:val="Hyperlink"/>
            <w:rFonts w:cstheme="minorHAnsi"/>
            <w:szCs w:val="22"/>
          </w:rPr>
          <w:t>Data Procedures Manual</w:t>
        </w:r>
      </w:hyperlink>
      <w:r w:rsidR="001C1B97">
        <w:t xml:space="preserve"> </w:t>
      </w:r>
      <w:r w:rsidR="00B37D9D">
        <w:t xml:space="preserve">on the use of identified software programs </w:t>
      </w:r>
      <w:r w:rsidR="001C1B97">
        <w:t xml:space="preserve">otherwise </w:t>
      </w:r>
      <w:r w:rsidR="00A76728">
        <w:t xml:space="preserve">they </w:t>
      </w:r>
      <w:r w:rsidR="0014115F">
        <w:t xml:space="preserve">should </w:t>
      </w:r>
      <w:r w:rsidR="00573805" w:rsidRPr="00C7552C">
        <w:t>contact the</w:t>
      </w:r>
      <w:r w:rsidR="00557526">
        <w:t>ir</w:t>
      </w:r>
      <w:r w:rsidR="009841FE" w:rsidRPr="00C7552C">
        <w:t xml:space="preserve"> relevant </w:t>
      </w:r>
      <w:r w:rsidR="00557526">
        <w:t>database</w:t>
      </w:r>
      <w:r w:rsidR="009841FE" w:rsidRPr="00C7552C">
        <w:t xml:space="preserve"> provider</w:t>
      </w:r>
      <w:r w:rsidR="00833646">
        <w:rPr>
          <w:rStyle w:val="FootnoteReference"/>
        </w:rPr>
        <w:footnoteReference w:id="3"/>
      </w:r>
      <w:r w:rsidR="00557526">
        <w:t xml:space="preserve"> </w:t>
      </w:r>
      <w:r w:rsidR="00573805" w:rsidRPr="00C7552C">
        <w:t xml:space="preserve">helpdesk </w:t>
      </w:r>
      <w:r w:rsidR="00B37D9D">
        <w:t>for detailed</w:t>
      </w:r>
      <w:r w:rsidR="00BA0773" w:rsidRPr="00C7552C">
        <w:t xml:space="preserve"> instruction</w:t>
      </w:r>
      <w:r w:rsidR="002746B1" w:rsidRPr="00C7552C">
        <w:t xml:space="preserve"> </w:t>
      </w:r>
      <w:r w:rsidR="00154B97" w:rsidRPr="00C7552C">
        <w:t>on how to</w:t>
      </w:r>
      <w:r w:rsidR="00573805" w:rsidRPr="00C7552C">
        <w:t xml:space="preserve"> </w:t>
      </w:r>
      <w:r w:rsidR="00154B97" w:rsidRPr="00C7552C">
        <w:t>make retrospective</w:t>
      </w:r>
      <w:r w:rsidR="002746B1" w:rsidRPr="00C7552C">
        <w:t xml:space="preserve"> </w:t>
      </w:r>
      <w:r w:rsidR="00154B97" w:rsidRPr="00C7552C">
        <w:t>amendments</w:t>
      </w:r>
      <w:r w:rsidR="002746B1" w:rsidRPr="00C7552C">
        <w:t xml:space="preserve"> to </w:t>
      </w:r>
      <w:r w:rsidR="00154B97" w:rsidRPr="00C7552C">
        <w:t xml:space="preserve">student </w:t>
      </w:r>
      <w:r w:rsidR="002746B1" w:rsidRPr="00C7552C">
        <w:t xml:space="preserve">data </w:t>
      </w:r>
      <w:r w:rsidR="00154B97" w:rsidRPr="00C7552C">
        <w:t xml:space="preserve">and </w:t>
      </w:r>
      <w:r w:rsidR="00BA0773" w:rsidRPr="00C7552C">
        <w:t>extract</w:t>
      </w:r>
      <w:r w:rsidR="00095838" w:rsidRPr="00C7552C">
        <w:t xml:space="preserve"> </w:t>
      </w:r>
      <w:r w:rsidR="00CB46C8">
        <w:t xml:space="preserve">the appropriate </w:t>
      </w:r>
      <w:r w:rsidR="00154B97" w:rsidRPr="00C7552C">
        <w:t xml:space="preserve">VET </w:t>
      </w:r>
      <w:r w:rsidR="0051414A">
        <w:t>result</w:t>
      </w:r>
      <w:r w:rsidR="00CB46C8">
        <w:t>s</w:t>
      </w:r>
      <w:r w:rsidR="00095838" w:rsidRPr="00C7552C">
        <w:t xml:space="preserve"> file</w:t>
      </w:r>
      <w:r w:rsidR="00154B97" w:rsidRPr="00C7552C">
        <w:t xml:space="preserve"> which are:</w:t>
      </w:r>
    </w:p>
    <w:p w14:paraId="3E880244" w14:textId="7E5D01A0" w:rsidR="009841FE" w:rsidRPr="00C7552C" w:rsidRDefault="00573805" w:rsidP="00A76728">
      <w:pPr>
        <w:pStyle w:val="ListParagraph"/>
        <w:numPr>
          <w:ilvl w:val="0"/>
          <w:numId w:val="10"/>
        </w:numPr>
        <w:ind w:left="357" w:hanging="357"/>
      </w:pPr>
      <w:r w:rsidRPr="00C7552C">
        <w:t>RSVET for</w:t>
      </w:r>
      <w:r w:rsidR="00006613">
        <w:t xml:space="preserve"> </w:t>
      </w:r>
      <w:r w:rsidR="00A436B6">
        <w:t xml:space="preserve">achievements in </w:t>
      </w:r>
      <w:r w:rsidR="00006613">
        <w:t>unit</w:t>
      </w:r>
      <w:r w:rsidR="00A436B6">
        <w:t>s</w:t>
      </w:r>
      <w:r w:rsidR="009841FE" w:rsidRPr="00C7552C">
        <w:t xml:space="preserve"> of competency</w:t>
      </w:r>
      <w:r w:rsidRPr="00C7552C">
        <w:t xml:space="preserve"> </w:t>
      </w:r>
      <w:r w:rsidR="00C05A38" w:rsidRPr="00C05A38">
        <w:rPr>
          <w:b/>
        </w:rPr>
        <w:t>or</w:t>
      </w:r>
    </w:p>
    <w:p w14:paraId="02CBAED1" w14:textId="1611FCCB" w:rsidR="002746B1" w:rsidRPr="00C7552C" w:rsidRDefault="00573805" w:rsidP="00A76728">
      <w:pPr>
        <w:pStyle w:val="ListParagraph"/>
        <w:numPr>
          <w:ilvl w:val="0"/>
          <w:numId w:val="10"/>
        </w:numPr>
        <w:ind w:left="357" w:hanging="357"/>
      </w:pPr>
      <w:r w:rsidRPr="00C7552C">
        <w:t xml:space="preserve">RSQUAL for </w:t>
      </w:r>
      <w:r w:rsidR="00006613">
        <w:t xml:space="preserve">successfully </w:t>
      </w:r>
      <w:r w:rsidR="009841FE" w:rsidRPr="00C7552C">
        <w:t>completed</w:t>
      </w:r>
      <w:r w:rsidRPr="00C7552C">
        <w:t xml:space="preserve"> </w:t>
      </w:r>
      <w:r w:rsidR="002746B1" w:rsidRPr="00C7552C">
        <w:t>VET qualifications.</w:t>
      </w:r>
    </w:p>
    <w:p w14:paraId="66DD88B8" w14:textId="58129825" w:rsidR="00E26E9F" w:rsidRPr="00C7552C" w:rsidRDefault="002746B1" w:rsidP="00F77506">
      <w:r w:rsidRPr="00C7552C">
        <w:rPr>
          <w:rFonts w:cstheme="minorHAnsi"/>
        </w:rPr>
        <w:t>Email</w:t>
      </w:r>
      <w:r w:rsidRPr="00C7552C">
        <w:t xml:space="preserve"> the amended</w:t>
      </w:r>
      <w:r w:rsidR="009841FE" w:rsidRPr="00C7552C">
        <w:t xml:space="preserve"> </w:t>
      </w:r>
      <w:r w:rsidR="00CD45F0">
        <w:t>VET results</w:t>
      </w:r>
      <w:r w:rsidRPr="00C7552C">
        <w:t xml:space="preserve"> file to the </w:t>
      </w:r>
      <w:r w:rsidR="00E26E9F" w:rsidRPr="00C7552C">
        <w:t xml:space="preserve">Data </w:t>
      </w:r>
      <w:r w:rsidRPr="00C7552C">
        <w:t xml:space="preserve">Services </w:t>
      </w:r>
      <w:r w:rsidR="00E26E9F" w:rsidRPr="00C7552C">
        <w:t>T</w:t>
      </w:r>
      <w:r w:rsidR="00573805" w:rsidRPr="00C7552C">
        <w:t>eam</w:t>
      </w:r>
      <w:r w:rsidR="00A76728">
        <w:t xml:space="preserve"> </w:t>
      </w:r>
      <w:hyperlink r:id="rId11" w:history="1">
        <w:r w:rsidR="00A76728" w:rsidRPr="00A76728">
          <w:rPr>
            <w:rStyle w:val="Hyperlink"/>
          </w:rPr>
          <w:t>dataservices@scsa.wa.edu.au</w:t>
        </w:r>
      </w:hyperlink>
      <w:r w:rsidR="00A76728">
        <w:t xml:space="preserve"> </w:t>
      </w:r>
      <w:r w:rsidR="009841FE" w:rsidRPr="00C7552C">
        <w:t>for uploading</w:t>
      </w:r>
      <w:r w:rsidR="00573805" w:rsidRPr="00C7552C">
        <w:t xml:space="preserve"> to SIRS. </w:t>
      </w:r>
    </w:p>
    <w:p w14:paraId="36557CAD" w14:textId="2997BBEC" w:rsidR="00833646" w:rsidRPr="006F7392" w:rsidRDefault="00E26E9F">
      <w:r w:rsidRPr="00DD1669">
        <w:t>Note:</w:t>
      </w:r>
      <w:r w:rsidRPr="00C7552C">
        <w:t xml:space="preserve"> </w:t>
      </w:r>
      <w:r w:rsidR="00154B97" w:rsidRPr="00C7552C">
        <w:t>where specific students within the data file are affected</w:t>
      </w:r>
      <w:r w:rsidR="00956936">
        <w:t>,</w:t>
      </w:r>
      <w:r w:rsidR="00154B97" w:rsidRPr="00C7552C">
        <w:t xml:space="preserve"> ensure that </w:t>
      </w:r>
      <w:r w:rsidR="002746B1" w:rsidRPr="00C7552C">
        <w:t>the</w:t>
      </w:r>
      <w:r w:rsidR="00573805" w:rsidRPr="00C7552C">
        <w:t xml:space="preserve"> name and student number </w:t>
      </w:r>
      <w:r w:rsidR="002746B1" w:rsidRPr="00C7552C">
        <w:t>of</w:t>
      </w:r>
      <w:r w:rsidR="00573805" w:rsidRPr="00C7552C">
        <w:t xml:space="preserve"> the student/s </w:t>
      </w:r>
      <w:r w:rsidR="00515768" w:rsidRPr="00C7552C">
        <w:t>for whom the change is to be made</w:t>
      </w:r>
      <w:r w:rsidRPr="00C7552C">
        <w:t xml:space="preserve"> are included in the email</w:t>
      </w:r>
      <w:r w:rsidR="00154B97" w:rsidRPr="00C7552C">
        <w:t>.</w:t>
      </w:r>
      <w:r w:rsidR="00833646">
        <w:br w:type="page"/>
      </w:r>
    </w:p>
    <w:p w14:paraId="346A2F41" w14:textId="50FDDEB4" w:rsidR="00474BE4" w:rsidRDefault="007C0879" w:rsidP="009F5C87">
      <w:pPr>
        <w:pStyle w:val="Heading1"/>
      </w:pPr>
      <w:r>
        <w:lastRenderedPageBreak/>
        <w:t>Discrepancies</w:t>
      </w:r>
      <w:r w:rsidR="00552CB4">
        <w:t xml:space="preserve"> between </w:t>
      </w:r>
      <w:r w:rsidR="00552CB4" w:rsidRPr="00552CB4">
        <w:t xml:space="preserve">SIRS and school database </w:t>
      </w:r>
    </w:p>
    <w:p w14:paraId="68A3AB46" w14:textId="004251B9" w:rsidR="00552CB4" w:rsidRDefault="00172B67" w:rsidP="00172B67">
      <w:pPr>
        <w:pStyle w:val="IntroText"/>
      </w:pPr>
      <w:r>
        <w:drawing>
          <wp:anchor distT="0" distB="0" distL="114300" distR="114300" simplePos="0" relativeHeight="251661312" behindDoc="0" locked="1" layoutInCell="1" allowOverlap="1" wp14:anchorId="111362BE" wp14:editId="3CD2E588">
            <wp:simplePos x="0" y="0"/>
            <wp:positionH relativeFrom="column">
              <wp:posOffset>3810</wp:posOffset>
            </wp:positionH>
            <wp:positionV relativeFrom="paragraph">
              <wp:posOffset>-11430</wp:posOffset>
            </wp:positionV>
            <wp:extent cx="215900" cy="215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o-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CB4" w:rsidRPr="00394A50">
        <w:t>Where VET enrolments have been deleted from the school database</w:t>
      </w:r>
      <w:r w:rsidR="00DD1669">
        <w:t>,</w:t>
      </w:r>
      <w:r w:rsidR="00552CB4" w:rsidRPr="00394A50">
        <w:t xml:space="preserve"> but </w:t>
      </w:r>
      <w:r w:rsidR="00394A50">
        <w:t>were</w:t>
      </w:r>
      <w:r w:rsidR="00552CB4" w:rsidRPr="00394A50">
        <w:t xml:space="preserve"> not </w:t>
      </w:r>
      <w:r w:rsidR="00394A50">
        <w:t xml:space="preserve">first </w:t>
      </w:r>
      <w:r w:rsidR="00552CB4" w:rsidRPr="00394A50">
        <w:t xml:space="preserve">deleted </w:t>
      </w:r>
      <w:r w:rsidR="006F7392">
        <w:br/>
      </w:r>
      <w:r w:rsidR="00552CB4" w:rsidRPr="00394A50">
        <w:t>from SIRS.</w:t>
      </w:r>
    </w:p>
    <w:p w14:paraId="69EE9463" w14:textId="716292EE" w:rsidR="00713131" w:rsidRPr="00C7552C" w:rsidRDefault="00713131" w:rsidP="00F77506">
      <w:pPr>
        <w:rPr>
          <w:rFonts w:cstheme="minorHAnsi"/>
        </w:rPr>
      </w:pPr>
      <w:r w:rsidRPr="00C7552C">
        <w:t>T</w:t>
      </w:r>
      <w:r w:rsidR="00552CB4" w:rsidRPr="00C7552C">
        <w:t>o delete VET enrolments from SIRS</w:t>
      </w:r>
      <w:r w:rsidRPr="00C7552C">
        <w:t xml:space="preserve"> where this </w:t>
      </w:r>
      <w:r w:rsidR="00CD45F0">
        <w:t>situation</w:t>
      </w:r>
      <w:r w:rsidRPr="00C7552C">
        <w:t xml:space="preserve"> has occurred, </w:t>
      </w:r>
      <w:r w:rsidR="004636A4">
        <w:t>an RSVET</w:t>
      </w:r>
      <w:r w:rsidR="00552CB4" w:rsidRPr="00C7552C">
        <w:t xml:space="preserve"> file must be created and uploaded to SIRS with the result code </w:t>
      </w:r>
      <w:r w:rsidR="00552CB4" w:rsidRPr="00833646">
        <w:rPr>
          <w:b/>
        </w:rPr>
        <w:t>99</w:t>
      </w:r>
      <w:r w:rsidR="00552CB4" w:rsidRPr="00172B67">
        <w:t xml:space="preserve">: </w:t>
      </w:r>
      <w:r w:rsidR="00552CB4" w:rsidRPr="00172B67">
        <w:rPr>
          <w:rFonts w:cstheme="minorHAnsi"/>
        </w:rPr>
        <w:t>Student did not participate in a competency/module</w:t>
      </w:r>
      <w:r w:rsidR="00552CB4" w:rsidRPr="00C7552C">
        <w:rPr>
          <w:rFonts w:cstheme="minorHAnsi"/>
        </w:rPr>
        <w:t xml:space="preserve"> </w:t>
      </w:r>
      <w:r w:rsidR="00DE2593" w:rsidRPr="00C7552C">
        <w:rPr>
          <w:rFonts w:cstheme="minorHAnsi"/>
        </w:rPr>
        <w:t xml:space="preserve">against </w:t>
      </w:r>
      <w:r w:rsidR="00DE2593" w:rsidRPr="00C7552C">
        <w:rPr>
          <w:rFonts w:cstheme="minorHAnsi"/>
          <w:b/>
        </w:rPr>
        <w:t>each</w:t>
      </w:r>
      <w:r w:rsidR="00DE2593" w:rsidRPr="00C7552C">
        <w:rPr>
          <w:rFonts w:cstheme="minorHAnsi"/>
        </w:rPr>
        <w:t xml:space="preserve"> VET enrolment </w:t>
      </w:r>
      <w:r w:rsidR="00552CB4" w:rsidRPr="00C7552C">
        <w:rPr>
          <w:rFonts w:cstheme="minorHAnsi"/>
        </w:rPr>
        <w:t>and subsequently uploaded to SIRS.</w:t>
      </w:r>
      <w:r w:rsidR="00DE2593" w:rsidRPr="00C7552C">
        <w:rPr>
          <w:rFonts w:cstheme="minorHAnsi"/>
        </w:rPr>
        <w:t xml:space="preserve"> </w:t>
      </w:r>
    </w:p>
    <w:p w14:paraId="00BF92C1" w14:textId="77777777" w:rsidR="00552CB4" w:rsidRPr="00C7552C" w:rsidRDefault="00DE2593" w:rsidP="00F77506">
      <w:r w:rsidRPr="00C7552C">
        <w:t>To do this:</w:t>
      </w:r>
    </w:p>
    <w:p w14:paraId="20991933" w14:textId="54A59AC2" w:rsidR="003C7D77" w:rsidRPr="00B86619" w:rsidRDefault="003C7D77" w:rsidP="00F85460">
      <w:pPr>
        <w:pStyle w:val="ListParagraph"/>
        <w:numPr>
          <w:ilvl w:val="0"/>
          <w:numId w:val="13"/>
        </w:numPr>
        <w:ind w:left="357" w:hanging="357"/>
      </w:pPr>
      <w:r>
        <w:t xml:space="preserve">Generate a </w:t>
      </w:r>
      <w:r w:rsidRPr="00C7552C">
        <w:t>missing achievements report (CSE009</w:t>
      </w:r>
      <w:r w:rsidR="00DD1669">
        <w:rPr>
          <w:rStyle w:val="FootnoteReference"/>
        </w:rPr>
        <w:footnoteReference w:id="4"/>
      </w:r>
      <w:r w:rsidRPr="00C7552C">
        <w:t xml:space="preserve"> </w:t>
      </w:r>
      <w:r>
        <w:t>to determine which enrolments have been deleted without being withdrawn</w:t>
      </w:r>
      <w:r w:rsidR="00E249ED">
        <w:t xml:space="preserve"> from SIRS</w:t>
      </w:r>
      <w:r>
        <w:t>.</w:t>
      </w:r>
      <w:r w:rsidRPr="003C7D77">
        <w:t xml:space="preserve"> </w:t>
      </w:r>
      <w:r w:rsidRPr="00C7552C">
        <w:t xml:space="preserve">The CSE009 report will indicate missing achievements based on the VET enrolments recorded </w:t>
      </w:r>
      <w:r>
        <w:t>for</w:t>
      </w:r>
      <w:r w:rsidRPr="00C7552C">
        <w:t xml:space="preserve"> the school.</w:t>
      </w:r>
    </w:p>
    <w:p w14:paraId="506DA218" w14:textId="5B0B8E49" w:rsidR="00DE2593" w:rsidRDefault="003C7D77" w:rsidP="00F85460">
      <w:pPr>
        <w:pStyle w:val="ListParagraph"/>
        <w:numPr>
          <w:ilvl w:val="0"/>
          <w:numId w:val="13"/>
        </w:numPr>
        <w:ind w:left="357" w:hanging="357"/>
      </w:pPr>
      <w:r>
        <w:t xml:space="preserve">Locate the </w:t>
      </w:r>
      <w:r w:rsidR="00DE2593" w:rsidRPr="00C7552C">
        <w:t xml:space="preserve">RSVET </w:t>
      </w:r>
      <w:r w:rsidR="00CD45F0">
        <w:t xml:space="preserve">file </w:t>
      </w:r>
      <w:r w:rsidR="00DE2593" w:rsidRPr="00C7552C">
        <w:t>previously expo</w:t>
      </w:r>
      <w:r w:rsidR="00CD45F0">
        <w:t>rted from the school’s database.</w:t>
      </w:r>
    </w:p>
    <w:p w14:paraId="18F06477" w14:textId="096A32BF" w:rsidR="00DE2593" w:rsidRDefault="00CD45F0" w:rsidP="00F85460">
      <w:pPr>
        <w:pStyle w:val="ListParagraph"/>
        <w:numPr>
          <w:ilvl w:val="0"/>
          <w:numId w:val="13"/>
        </w:numPr>
        <w:ind w:left="357" w:hanging="357"/>
      </w:pPr>
      <w:r>
        <w:t>C</w:t>
      </w:r>
      <w:r w:rsidR="00DE2593" w:rsidRPr="00C7552C">
        <w:t>opy and paste</w:t>
      </w:r>
      <w:r w:rsidR="004636A4">
        <w:t xml:space="preserve"> each row of data</w:t>
      </w:r>
      <w:r w:rsidR="00AF1FD5">
        <w:t xml:space="preserve"> for the relevant student in</w:t>
      </w:r>
      <w:r w:rsidR="00DE2593" w:rsidRPr="00C7552C">
        <w:t xml:space="preserve">to a new </w:t>
      </w:r>
      <w:r w:rsidR="004636A4">
        <w:t>spreadsheet</w:t>
      </w:r>
      <w:r>
        <w:t>.</w:t>
      </w:r>
    </w:p>
    <w:p w14:paraId="24C9CCFF" w14:textId="30B4684E" w:rsidR="003C7D77" w:rsidRPr="00C7552C" w:rsidRDefault="003C7D77" w:rsidP="00F85460">
      <w:pPr>
        <w:pStyle w:val="ListParagraph"/>
        <w:numPr>
          <w:ilvl w:val="0"/>
          <w:numId w:val="13"/>
        </w:numPr>
        <w:ind w:left="357" w:hanging="357"/>
      </w:pPr>
      <w:r>
        <w:t>Replace existing qualification</w:t>
      </w:r>
      <w:r w:rsidR="00291223">
        <w:t xml:space="preserve">, RTO provider and units </w:t>
      </w:r>
      <w:r>
        <w:t>o</w:t>
      </w:r>
      <w:r w:rsidR="00291223">
        <w:t>f competency</w:t>
      </w:r>
      <w:r>
        <w:t xml:space="preserve"> code values with corresponding values on the CSE009 report.</w:t>
      </w:r>
    </w:p>
    <w:p w14:paraId="187C4AD6" w14:textId="3FD800D2" w:rsidR="00CD45F0" w:rsidRDefault="00DE2593" w:rsidP="00F85460">
      <w:pPr>
        <w:pStyle w:val="ListParagraph"/>
        <w:numPr>
          <w:ilvl w:val="0"/>
          <w:numId w:val="13"/>
        </w:numPr>
        <w:ind w:left="357" w:hanging="357"/>
      </w:pPr>
      <w:r w:rsidRPr="00C7552C">
        <w:t xml:space="preserve">Result </w:t>
      </w:r>
      <w:r w:rsidR="00CD45F0">
        <w:t>each</w:t>
      </w:r>
      <w:r w:rsidRPr="00C7552C">
        <w:t xml:space="preserve"> </w:t>
      </w:r>
      <w:r w:rsidR="00CD45F0">
        <w:t>unit of competency</w:t>
      </w:r>
      <w:r w:rsidRPr="00C7552C">
        <w:t xml:space="preserve"> with </w:t>
      </w:r>
      <w:r w:rsidR="00CD45F0">
        <w:t>the</w:t>
      </w:r>
      <w:r w:rsidRPr="00C7552C">
        <w:t xml:space="preserve"> result code </w:t>
      </w:r>
      <w:r w:rsidRPr="00F85460">
        <w:t>99</w:t>
      </w:r>
      <w:r w:rsidR="004636A4" w:rsidRPr="00F85460">
        <w:t xml:space="preserve"> </w:t>
      </w:r>
      <w:r w:rsidR="004636A4" w:rsidRPr="004636A4">
        <w:t>in</w:t>
      </w:r>
      <w:r w:rsidR="004636A4">
        <w:t xml:space="preserve"> the</w:t>
      </w:r>
      <w:r w:rsidR="004636A4" w:rsidRPr="004636A4">
        <w:t xml:space="preserve"> appropriate column (refer to</w:t>
      </w:r>
      <w:r w:rsidR="00E03F76">
        <w:t xml:space="preserve"> the</w:t>
      </w:r>
      <w:r w:rsidR="004636A4" w:rsidRPr="004636A4">
        <w:t xml:space="preserve"> </w:t>
      </w:r>
      <w:hyperlink r:id="rId12" w:history="1">
        <w:r w:rsidR="00677DE5" w:rsidRPr="00F85460">
          <w:rPr>
            <w:rStyle w:val="Hyperlink"/>
          </w:rPr>
          <w:t>Data Procedures Manual</w:t>
        </w:r>
      </w:hyperlink>
      <w:r w:rsidR="004636A4" w:rsidRPr="004636A4">
        <w:t xml:space="preserve"> for ENVET and RSVET file formats)</w:t>
      </w:r>
      <w:r w:rsidR="00AF1FD5">
        <w:t>.</w:t>
      </w:r>
    </w:p>
    <w:p w14:paraId="594ADDD4" w14:textId="37DD7F80" w:rsidR="00DE2593" w:rsidRPr="00C7552C" w:rsidRDefault="00CD45F0" w:rsidP="00F85460">
      <w:pPr>
        <w:pStyle w:val="ListParagraph"/>
        <w:numPr>
          <w:ilvl w:val="0"/>
          <w:numId w:val="13"/>
        </w:numPr>
        <w:ind w:left="357" w:hanging="357"/>
      </w:pPr>
      <w:r>
        <w:t>U</w:t>
      </w:r>
      <w:r w:rsidR="00DE2593" w:rsidRPr="00C7552C">
        <w:t xml:space="preserve">pload </w:t>
      </w:r>
      <w:r w:rsidR="003C7D77">
        <w:t xml:space="preserve">RSVET </w:t>
      </w:r>
      <w:r>
        <w:t xml:space="preserve">file to </w:t>
      </w:r>
      <w:r w:rsidR="00DE2593" w:rsidRPr="00C7552C">
        <w:t>SIRS</w:t>
      </w:r>
      <w:r>
        <w:t>.</w:t>
      </w:r>
    </w:p>
    <w:p w14:paraId="60B8AC58" w14:textId="2A0D3F5C" w:rsidR="00552CB4" w:rsidRPr="00C7552C" w:rsidRDefault="006456E0" w:rsidP="00F77506">
      <w:r>
        <w:t>Once complete</w:t>
      </w:r>
      <w:r w:rsidR="00F85460">
        <w:t>,</w:t>
      </w:r>
      <w:r>
        <w:t xml:space="preserve"> generate</w:t>
      </w:r>
      <w:r w:rsidR="003C7D77">
        <w:t xml:space="preserve"> the CSE009 report</w:t>
      </w:r>
      <w:r w:rsidR="00552CB4" w:rsidRPr="00C7552C">
        <w:t xml:space="preserve"> in SIRS to confirm whether the VET enrolments have been deleted. </w:t>
      </w:r>
    </w:p>
    <w:p w14:paraId="21341033" w14:textId="58969C61" w:rsidR="00AF3EAD" w:rsidRPr="006F7392" w:rsidRDefault="00B82A94" w:rsidP="00F85460">
      <w:pPr>
        <w:rPr>
          <w:rFonts w:asciiTheme="majorHAnsi" w:eastAsiaTheme="majorEastAsia" w:hAnsiTheme="majorHAnsi" w:cstheme="majorBidi"/>
          <w:color w:val="B596C8" w:themeColor="accent6" w:themeShade="BF"/>
        </w:rPr>
      </w:pPr>
      <w:r w:rsidRPr="00C7552C">
        <w:t>E</w:t>
      </w:r>
      <w:r w:rsidR="00F31B58" w:rsidRPr="00C7552C">
        <w:t xml:space="preserve">mail </w:t>
      </w:r>
      <w:r w:rsidRPr="00C7552C">
        <w:t xml:space="preserve">the </w:t>
      </w:r>
      <w:r w:rsidR="00F31B58" w:rsidRPr="00C7552C">
        <w:t xml:space="preserve">Data Services Team </w:t>
      </w:r>
      <w:hyperlink r:id="rId13" w:history="1">
        <w:r w:rsidR="00F31B58" w:rsidRPr="00F85460">
          <w:rPr>
            <w:rStyle w:val="Hyperlink"/>
          </w:rPr>
          <w:t>dataservices@scsa.wa.edu.au</w:t>
        </w:r>
      </w:hyperlink>
      <w:r w:rsidR="00F85460" w:rsidRPr="00DD1669">
        <w:t>,</w:t>
      </w:r>
      <w:r w:rsidR="00F31B58" w:rsidRPr="00C7552C">
        <w:t xml:space="preserve"> if you require assistance with this process.</w:t>
      </w:r>
      <w:r w:rsidR="00AF3EAD">
        <w:br w:type="page"/>
      </w:r>
    </w:p>
    <w:p w14:paraId="2C8A3037" w14:textId="39C3A23F" w:rsidR="003618A2" w:rsidRDefault="007E483D" w:rsidP="009F5C87">
      <w:pPr>
        <w:pStyle w:val="Heading1"/>
      </w:pPr>
      <w:r>
        <w:lastRenderedPageBreak/>
        <w:t>Amending an</w:t>
      </w:r>
      <w:r w:rsidR="008026C4" w:rsidRPr="00B82A94">
        <w:t xml:space="preserve"> RTO code </w:t>
      </w:r>
      <w:r>
        <w:t>against</w:t>
      </w:r>
      <w:r w:rsidR="00B82A94">
        <w:t xml:space="preserve"> a unit of competency</w:t>
      </w:r>
    </w:p>
    <w:p w14:paraId="41FD2B1D" w14:textId="053C11E9" w:rsidR="008026C4" w:rsidRDefault="006C3C49" w:rsidP="006C3C49">
      <w:pPr>
        <w:pStyle w:val="IntroText"/>
      </w:pPr>
      <w:r>
        <w:drawing>
          <wp:anchor distT="0" distB="0" distL="114300" distR="114300" simplePos="0" relativeHeight="251663360" behindDoc="0" locked="1" layoutInCell="1" allowOverlap="1" wp14:anchorId="6C87DBD4" wp14:editId="3283763A">
            <wp:simplePos x="0" y="0"/>
            <wp:positionH relativeFrom="column">
              <wp:posOffset>3810</wp:posOffset>
            </wp:positionH>
            <wp:positionV relativeFrom="paragraph">
              <wp:posOffset>-20955</wp:posOffset>
            </wp:positionV>
            <wp:extent cx="215900" cy="2159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o-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8A2" w:rsidRPr="003618A2">
        <w:t>Where an RTO code requires amendment against a unit of competency</w:t>
      </w:r>
      <w:r w:rsidR="00314A63">
        <w:t xml:space="preserve"> enrolment or result</w:t>
      </w:r>
      <w:r>
        <w:t>.</w:t>
      </w:r>
    </w:p>
    <w:p w14:paraId="286BDC64" w14:textId="63E777AA" w:rsidR="00622C4E" w:rsidRPr="00857D81" w:rsidRDefault="003618A2" w:rsidP="00F77506">
      <w:r w:rsidRPr="00857D81">
        <w:t>T</w:t>
      </w:r>
      <w:r w:rsidR="007E483D" w:rsidRPr="00857D81">
        <w:t>he process is</w:t>
      </w:r>
      <w:r w:rsidR="00622C4E" w:rsidRPr="00857D81">
        <w:t xml:space="preserve"> to</w:t>
      </w:r>
      <w:r w:rsidR="007E483D" w:rsidRPr="00857D81">
        <w:t xml:space="preserve"> </w:t>
      </w:r>
      <w:r w:rsidR="00622C4E" w:rsidRPr="00857D81">
        <w:t xml:space="preserve">upload </w:t>
      </w:r>
      <w:r w:rsidR="000F31C8" w:rsidRPr="00857D81">
        <w:t>an</w:t>
      </w:r>
      <w:r w:rsidR="00F06EDE" w:rsidRPr="00857D81">
        <w:t xml:space="preserve"> </w:t>
      </w:r>
      <w:r w:rsidR="00F06EDE" w:rsidRPr="00857D81">
        <w:rPr>
          <w:b/>
        </w:rPr>
        <w:t>existing</w:t>
      </w:r>
      <w:r w:rsidR="000F31C8" w:rsidRPr="00857D81">
        <w:rPr>
          <w:rStyle w:val="FootnoteReference"/>
          <w:b/>
          <w:szCs w:val="22"/>
        </w:rPr>
        <w:footnoteReference w:id="5"/>
      </w:r>
      <w:r w:rsidR="00622C4E" w:rsidRPr="00857D81">
        <w:t xml:space="preserve"> ENVET </w:t>
      </w:r>
      <w:r w:rsidR="00F06EDE" w:rsidRPr="00857D81">
        <w:t xml:space="preserve">file </w:t>
      </w:r>
      <w:r w:rsidR="00622C4E" w:rsidRPr="00857D81">
        <w:t>or</w:t>
      </w:r>
      <w:r w:rsidR="00F06EDE" w:rsidRPr="00857D81">
        <w:t xml:space="preserve"> </w:t>
      </w:r>
      <w:r w:rsidR="000F31C8" w:rsidRPr="00857D81">
        <w:t>a</w:t>
      </w:r>
      <w:r w:rsidR="00F06EDE" w:rsidRPr="00857D81">
        <w:t xml:space="preserve"> </w:t>
      </w:r>
      <w:r w:rsidR="00F06EDE" w:rsidRPr="00857D81">
        <w:rPr>
          <w:b/>
        </w:rPr>
        <w:t>new</w:t>
      </w:r>
      <w:r w:rsidR="00AB746B" w:rsidRPr="00857D81">
        <w:rPr>
          <w:rStyle w:val="FootnoteReference"/>
          <w:b/>
          <w:szCs w:val="22"/>
        </w:rPr>
        <w:footnoteReference w:id="6"/>
      </w:r>
      <w:r w:rsidR="00622C4E" w:rsidRPr="00857D81">
        <w:t xml:space="preserve"> RSVET </w:t>
      </w:r>
      <w:r w:rsidR="007E483D" w:rsidRPr="00857D81">
        <w:t>file</w:t>
      </w:r>
      <w:r w:rsidR="00F06EDE" w:rsidRPr="00857D81">
        <w:t xml:space="preserve"> </w:t>
      </w:r>
      <w:r w:rsidR="00622C4E" w:rsidRPr="00857D81">
        <w:t xml:space="preserve">with the correct RTO code </w:t>
      </w:r>
      <w:r w:rsidR="007E483D" w:rsidRPr="00857D81">
        <w:t>which will result in</w:t>
      </w:r>
      <w:r w:rsidR="00622C4E" w:rsidRPr="00857D81">
        <w:t xml:space="preserve"> SIRS replac</w:t>
      </w:r>
      <w:r w:rsidR="007E483D" w:rsidRPr="00857D81">
        <w:t>ing</w:t>
      </w:r>
      <w:r w:rsidR="00622C4E" w:rsidRPr="00857D81">
        <w:t xml:space="preserve"> the RTO</w:t>
      </w:r>
      <w:r w:rsidR="007E483D" w:rsidRPr="00857D81">
        <w:t xml:space="preserve"> code</w:t>
      </w:r>
      <w:r w:rsidR="00622C4E" w:rsidRPr="00857D81">
        <w:t xml:space="preserve"> </w:t>
      </w:r>
      <w:r w:rsidR="007E483D" w:rsidRPr="00857D81">
        <w:t>against that unit of competency.  In this scenario schools are not required to withdraw students from enrolments in units of competency where there is a change to the RTO code.</w:t>
      </w:r>
    </w:p>
    <w:p w14:paraId="151E9F2E" w14:textId="7C93662B" w:rsidR="008026C4" w:rsidRPr="00857D81" w:rsidRDefault="007E483D" w:rsidP="00F77506">
      <w:r w:rsidRPr="00857D81">
        <w:t xml:space="preserve">Below are </w:t>
      </w:r>
      <w:r w:rsidR="00643D67" w:rsidRPr="00857D81">
        <w:t>examples</w:t>
      </w:r>
      <w:r w:rsidRPr="00857D81">
        <w:t xml:space="preserve"> of </w:t>
      </w:r>
      <w:r w:rsidR="00C95496" w:rsidRPr="00857D81">
        <w:t>different SIRS enrolment outcomes</w:t>
      </w:r>
      <w:r w:rsidRPr="00857D81">
        <w:t xml:space="preserve"> where </w:t>
      </w:r>
      <w:r w:rsidR="004A31C1" w:rsidRPr="00857D81">
        <w:t>changes</w:t>
      </w:r>
      <w:r w:rsidR="00C95496" w:rsidRPr="00857D81">
        <w:t xml:space="preserve"> have been applied</w:t>
      </w:r>
      <w:r w:rsidR="004A31C1" w:rsidRPr="00857D81">
        <w:t xml:space="preserve"> to the </w:t>
      </w:r>
      <w:r w:rsidR="003C2189">
        <w:t xml:space="preserve">RTO code </w:t>
      </w:r>
      <w:r w:rsidR="003C2189" w:rsidRPr="003C2189">
        <w:t>and</w:t>
      </w:r>
      <w:r w:rsidR="003C2189">
        <w:t xml:space="preserve"> </w:t>
      </w:r>
      <w:r w:rsidR="00857D81" w:rsidRPr="00857D81">
        <w:t>calendar year, qualification and result</w:t>
      </w:r>
      <w:r w:rsidR="004A31C1" w:rsidRPr="00857D81">
        <w:t xml:space="preserve"> code </w:t>
      </w:r>
      <w:r w:rsidR="00D959C7" w:rsidRPr="00857D81">
        <w:t xml:space="preserve">in </w:t>
      </w:r>
      <w:r w:rsidR="003C2189">
        <w:t>various</w:t>
      </w:r>
      <w:r w:rsidR="00C95496" w:rsidRPr="00857D81">
        <w:t xml:space="preserve"> combinations</w:t>
      </w:r>
      <w:r w:rsidR="004A31C1" w:rsidRPr="00857D81">
        <w:t>.</w:t>
      </w:r>
    </w:p>
    <w:tbl>
      <w:tblPr>
        <w:tblStyle w:val="GridTable4-Accent3"/>
        <w:tblW w:w="9067" w:type="dxa"/>
        <w:tblLook w:val="0620" w:firstRow="1" w:lastRow="0" w:firstColumn="0" w:lastColumn="0" w:noHBand="1" w:noVBand="1"/>
      </w:tblPr>
      <w:tblGrid>
        <w:gridCol w:w="1502"/>
        <w:gridCol w:w="1502"/>
        <w:gridCol w:w="1502"/>
        <w:gridCol w:w="1585"/>
        <w:gridCol w:w="2976"/>
      </w:tblGrid>
      <w:tr w:rsidR="00B54B2B" w:rsidRPr="006C3C49" w14:paraId="59EB3AFA" w14:textId="77777777" w:rsidTr="006C3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tcW w:w="1502" w:type="dxa"/>
            <w:vAlign w:val="center"/>
          </w:tcPr>
          <w:p w14:paraId="0765D5FC" w14:textId="77777777" w:rsidR="00B54B2B" w:rsidRPr="006C3C49" w:rsidRDefault="00B54B2B" w:rsidP="0031196E">
            <w:pPr>
              <w:spacing w:before="20" w:after="20"/>
              <w:rPr>
                <w:b w:val="0"/>
                <w:sz w:val="20"/>
              </w:rPr>
            </w:pPr>
            <w:r w:rsidRPr="006C3C49">
              <w:rPr>
                <w:sz w:val="20"/>
              </w:rPr>
              <w:t>Calendar Year</w:t>
            </w:r>
          </w:p>
        </w:tc>
        <w:tc>
          <w:tcPr>
            <w:tcW w:w="1502" w:type="dxa"/>
            <w:vAlign w:val="center"/>
          </w:tcPr>
          <w:p w14:paraId="68CEE788" w14:textId="57833C29" w:rsidR="00B54B2B" w:rsidRPr="006C3C49" w:rsidRDefault="00B54B2B" w:rsidP="0031196E">
            <w:pPr>
              <w:spacing w:before="20" w:after="20"/>
              <w:jc w:val="center"/>
              <w:rPr>
                <w:b w:val="0"/>
                <w:sz w:val="20"/>
              </w:rPr>
            </w:pPr>
            <w:r w:rsidRPr="006C3C49">
              <w:rPr>
                <w:sz w:val="20"/>
              </w:rPr>
              <w:t>Qualification</w:t>
            </w:r>
          </w:p>
        </w:tc>
        <w:tc>
          <w:tcPr>
            <w:tcW w:w="1502" w:type="dxa"/>
            <w:vAlign w:val="center"/>
          </w:tcPr>
          <w:p w14:paraId="64953514" w14:textId="77777777" w:rsidR="00B54B2B" w:rsidRPr="006C3C49" w:rsidRDefault="00B54B2B" w:rsidP="0031196E">
            <w:pPr>
              <w:spacing w:before="20" w:after="20"/>
              <w:jc w:val="center"/>
              <w:rPr>
                <w:b w:val="0"/>
                <w:sz w:val="20"/>
              </w:rPr>
            </w:pPr>
            <w:r w:rsidRPr="006C3C49">
              <w:rPr>
                <w:sz w:val="20"/>
              </w:rPr>
              <w:t>Result Code</w:t>
            </w:r>
          </w:p>
        </w:tc>
        <w:tc>
          <w:tcPr>
            <w:tcW w:w="1585" w:type="dxa"/>
            <w:vAlign w:val="center"/>
          </w:tcPr>
          <w:p w14:paraId="4B2236F4" w14:textId="77777777" w:rsidR="00B54B2B" w:rsidRPr="006C3C49" w:rsidRDefault="00B54B2B" w:rsidP="0031196E">
            <w:pPr>
              <w:spacing w:before="20" w:after="20"/>
              <w:jc w:val="center"/>
              <w:rPr>
                <w:b w:val="0"/>
                <w:sz w:val="20"/>
              </w:rPr>
            </w:pPr>
            <w:r w:rsidRPr="006C3C49">
              <w:rPr>
                <w:sz w:val="20"/>
              </w:rPr>
              <w:t>RTO Code</w:t>
            </w:r>
          </w:p>
        </w:tc>
        <w:tc>
          <w:tcPr>
            <w:tcW w:w="2976" w:type="dxa"/>
            <w:vAlign w:val="center"/>
          </w:tcPr>
          <w:p w14:paraId="7AA2FDB0" w14:textId="77777777" w:rsidR="00B54B2B" w:rsidRPr="006C3C49" w:rsidRDefault="00B54B2B" w:rsidP="0031196E">
            <w:pPr>
              <w:spacing w:before="20" w:after="20"/>
              <w:rPr>
                <w:b w:val="0"/>
                <w:sz w:val="20"/>
              </w:rPr>
            </w:pPr>
            <w:r w:rsidRPr="006C3C49">
              <w:rPr>
                <w:sz w:val="20"/>
              </w:rPr>
              <w:t>SIRS enrolment outcome</w:t>
            </w:r>
          </w:p>
        </w:tc>
      </w:tr>
      <w:tr w:rsidR="00B54B2B" w:rsidRPr="006C3C49" w14:paraId="0076208D" w14:textId="77777777" w:rsidTr="006C3C49">
        <w:trPr>
          <w:trHeight w:hRule="exact" w:val="397"/>
        </w:trPr>
        <w:tc>
          <w:tcPr>
            <w:tcW w:w="9067" w:type="dxa"/>
            <w:gridSpan w:val="5"/>
            <w:vAlign w:val="center"/>
          </w:tcPr>
          <w:p w14:paraId="30427458" w14:textId="77777777" w:rsidR="00B54B2B" w:rsidRPr="006C3C49" w:rsidRDefault="00B54B2B" w:rsidP="0031196E">
            <w:pPr>
              <w:spacing w:before="20" w:after="20"/>
              <w:rPr>
                <w:b/>
                <w:sz w:val="20"/>
              </w:rPr>
            </w:pPr>
            <w:r w:rsidRPr="006C3C49">
              <w:rPr>
                <w:b/>
                <w:sz w:val="20"/>
              </w:rPr>
              <w:t>ENVET</w:t>
            </w:r>
          </w:p>
        </w:tc>
      </w:tr>
      <w:tr w:rsidR="00B54B2B" w:rsidRPr="006C3C49" w14:paraId="5C63C525" w14:textId="77777777" w:rsidTr="006C3C49">
        <w:tc>
          <w:tcPr>
            <w:tcW w:w="1502" w:type="dxa"/>
            <w:vAlign w:val="center"/>
          </w:tcPr>
          <w:p w14:paraId="4ECB66C3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6C3220C1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5A1F7037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N/A</w:t>
            </w:r>
          </w:p>
        </w:tc>
        <w:tc>
          <w:tcPr>
            <w:tcW w:w="1585" w:type="dxa"/>
            <w:vAlign w:val="center"/>
          </w:tcPr>
          <w:p w14:paraId="0320E199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1F7B687A" w14:textId="77777777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sz w:val="20"/>
              </w:rPr>
              <w:t>Change applied to existing enrolment only</w:t>
            </w:r>
          </w:p>
        </w:tc>
      </w:tr>
      <w:tr w:rsidR="00B54B2B" w:rsidRPr="006C3C49" w14:paraId="0A535445" w14:textId="77777777" w:rsidTr="006C3C49">
        <w:tc>
          <w:tcPr>
            <w:tcW w:w="1502" w:type="dxa"/>
            <w:vAlign w:val="center"/>
          </w:tcPr>
          <w:p w14:paraId="7A8F0F74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5D50CE60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1502" w:type="dxa"/>
            <w:vAlign w:val="center"/>
          </w:tcPr>
          <w:p w14:paraId="000A0ED2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N/A</w:t>
            </w:r>
          </w:p>
        </w:tc>
        <w:tc>
          <w:tcPr>
            <w:tcW w:w="1585" w:type="dxa"/>
            <w:vAlign w:val="center"/>
          </w:tcPr>
          <w:p w14:paraId="1CE74EE1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70C9D73E" w14:textId="77777777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</w:t>
            </w:r>
          </w:p>
        </w:tc>
      </w:tr>
      <w:tr w:rsidR="00B54B2B" w:rsidRPr="006C3C49" w14:paraId="2D1F1D22" w14:textId="77777777" w:rsidTr="006C3C49">
        <w:trPr>
          <w:trHeight w:hRule="exact" w:val="397"/>
        </w:trPr>
        <w:tc>
          <w:tcPr>
            <w:tcW w:w="9067" w:type="dxa"/>
            <w:gridSpan w:val="5"/>
            <w:vAlign w:val="center"/>
          </w:tcPr>
          <w:p w14:paraId="39D4A087" w14:textId="77777777" w:rsidR="00B54B2B" w:rsidRPr="006C3C49" w:rsidRDefault="00B54B2B" w:rsidP="0031196E">
            <w:pPr>
              <w:spacing w:before="20" w:after="20"/>
              <w:rPr>
                <w:b/>
                <w:sz w:val="20"/>
              </w:rPr>
            </w:pPr>
            <w:r w:rsidRPr="006C3C49">
              <w:rPr>
                <w:b/>
                <w:sz w:val="20"/>
              </w:rPr>
              <w:t>RSVET (initial upload)</w:t>
            </w:r>
          </w:p>
        </w:tc>
      </w:tr>
      <w:tr w:rsidR="00B54B2B" w:rsidRPr="006C3C49" w14:paraId="178EE15B" w14:textId="77777777" w:rsidTr="006C3C49">
        <w:tc>
          <w:tcPr>
            <w:tcW w:w="1502" w:type="dxa"/>
            <w:vAlign w:val="center"/>
          </w:tcPr>
          <w:p w14:paraId="1DAD5CC6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1ECCCCFB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31E083BD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85" w:type="dxa"/>
            <w:vAlign w:val="center"/>
          </w:tcPr>
          <w:p w14:paraId="0D2AB93D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3B1108E4" w14:textId="77777777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sz w:val="20"/>
              </w:rPr>
              <w:t>Change applied to existing enrolment only</w:t>
            </w:r>
          </w:p>
        </w:tc>
      </w:tr>
      <w:tr w:rsidR="00B54B2B" w:rsidRPr="006C3C49" w14:paraId="38ACBD9F" w14:textId="77777777" w:rsidTr="006C3C49">
        <w:tc>
          <w:tcPr>
            <w:tcW w:w="1502" w:type="dxa"/>
            <w:vAlign w:val="center"/>
          </w:tcPr>
          <w:p w14:paraId="5F682152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38D328A5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17CB2453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New Result</w:t>
            </w:r>
            <w:r w:rsidRPr="006C3C49">
              <w:rPr>
                <w:rStyle w:val="FootnoteReference"/>
                <w:b/>
                <w:sz w:val="20"/>
              </w:rPr>
              <w:footnoteReference w:id="7"/>
            </w:r>
          </w:p>
        </w:tc>
        <w:tc>
          <w:tcPr>
            <w:tcW w:w="1585" w:type="dxa"/>
            <w:vAlign w:val="center"/>
          </w:tcPr>
          <w:p w14:paraId="673D4A95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35632C71" w14:textId="77777777" w:rsidR="00B54B2B" w:rsidRPr="00765DCD" w:rsidRDefault="00B54B2B" w:rsidP="0031196E">
            <w:pPr>
              <w:spacing w:before="20" w:after="20"/>
              <w:rPr>
                <w:sz w:val="20"/>
              </w:rPr>
            </w:pPr>
            <w:r w:rsidRPr="00765DCD">
              <w:rPr>
                <w:sz w:val="20"/>
              </w:rPr>
              <w:t>Change applied to existing enrolment only</w:t>
            </w:r>
            <w:bookmarkStart w:id="0" w:name="_GoBack"/>
            <w:bookmarkEnd w:id="0"/>
          </w:p>
        </w:tc>
      </w:tr>
      <w:tr w:rsidR="00B54B2B" w:rsidRPr="006C3C49" w14:paraId="5A891D6B" w14:textId="77777777" w:rsidTr="006C3C49">
        <w:tc>
          <w:tcPr>
            <w:tcW w:w="1502" w:type="dxa"/>
            <w:vAlign w:val="center"/>
          </w:tcPr>
          <w:p w14:paraId="55F35D0B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7445587E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1502" w:type="dxa"/>
            <w:vAlign w:val="center"/>
          </w:tcPr>
          <w:p w14:paraId="2360D063" w14:textId="07A24C1A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85" w:type="dxa"/>
            <w:vAlign w:val="center"/>
          </w:tcPr>
          <w:p w14:paraId="54272E1F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7E213206" w14:textId="577038E8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 (both results recorded in SIRS)</w:t>
            </w:r>
          </w:p>
        </w:tc>
      </w:tr>
      <w:tr w:rsidR="00B54B2B" w:rsidRPr="006C3C49" w14:paraId="33879CAB" w14:textId="77777777" w:rsidTr="006C3C49">
        <w:trPr>
          <w:trHeight w:hRule="exact" w:val="397"/>
        </w:trPr>
        <w:tc>
          <w:tcPr>
            <w:tcW w:w="9067" w:type="dxa"/>
            <w:gridSpan w:val="5"/>
            <w:vAlign w:val="center"/>
          </w:tcPr>
          <w:p w14:paraId="593A7AD8" w14:textId="77777777" w:rsidR="00B54B2B" w:rsidRPr="006C3C49" w:rsidRDefault="00B54B2B" w:rsidP="0031196E">
            <w:pPr>
              <w:spacing w:before="20" w:after="20"/>
              <w:rPr>
                <w:b/>
                <w:sz w:val="20"/>
              </w:rPr>
            </w:pPr>
            <w:r w:rsidRPr="006C3C49">
              <w:rPr>
                <w:b/>
                <w:sz w:val="20"/>
              </w:rPr>
              <w:t>RSVET (subsequent uploads)</w:t>
            </w:r>
          </w:p>
        </w:tc>
      </w:tr>
      <w:tr w:rsidR="00B54B2B" w:rsidRPr="006C3C49" w14:paraId="74EF4048" w14:textId="77777777" w:rsidTr="006C3C49">
        <w:tc>
          <w:tcPr>
            <w:tcW w:w="1502" w:type="dxa"/>
            <w:vAlign w:val="center"/>
          </w:tcPr>
          <w:p w14:paraId="74920AAF" w14:textId="2BB4E506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21B0CF1E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170668F9" w14:textId="784E462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  <w:bookmarkStart w:id="1" w:name="_Ref483474325"/>
            <w:r w:rsidR="00B86619" w:rsidRPr="006C3C49">
              <w:rPr>
                <w:rStyle w:val="FootnoteReference"/>
                <w:sz w:val="20"/>
              </w:rPr>
              <w:footnoteReference w:id="8"/>
            </w:r>
            <w:bookmarkEnd w:id="1"/>
          </w:p>
        </w:tc>
        <w:tc>
          <w:tcPr>
            <w:tcW w:w="1585" w:type="dxa"/>
            <w:vAlign w:val="center"/>
          </w:tcPr>
          <w:p w14:paraId="6BF5DF56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5285E000" w14:textId="77777777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 (both results recorded in SIRS)</w:t>
            </w:r>
          </w:p>
        </w:tc>
      </w:tr>
      <w:tr w:rsidR="00B54B2B" w:rsidRPr="006C3C49" w14:paraId="2FD9EB87" w14:textId="77777777" w:rsidTr="006C3C49">
        <w:tc>
          <w:tcPr>
            <w:tcW w:w="1502" w:type="dxa"/>
            <w:vAlign w:val="center"/>
          </w:tcPr>
          <w:p w14:paraId="1981F3A8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296D4448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5FE1463C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1585" w:type="dxa"/>
            <w:vAlign w:val="center"/>
          </w:tcPr>
          <w:p w14:paraId="605061F5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06CADF01" w14:textId="77777777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 (both results recorded in SIRS)</w:t>
            </w:r>
          </w:p>
        </w:tc>
      </w:tr>
      <w:tr w:rsidR="00B54B2B" w:rsidRPr="006C3C49" w14:paraId="271E6784" w14:textId="77777777" w:rsidTr="006C3C49">
        <w:tc>
          <w:tcPr>
            <w:tcW w:w="1502" w:type="dxa"/>
            <w:vAlign w:val="center"/>
          </w:tcPr>
          <w:p w14:paraId="562D5C6E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253FBF41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1502" w:type="dxa"/>
            <w:vAlign w:val="center"/>
          </w:tcPr>
          <w:p w14:paraId="1998EB8B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1585" w:type="dxa"/>
            <w:vAlign w:val="center"/>
          </w:tcPr>
          <w:p w14:paraId="1A90FF8D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47A885B6" w14:textId="77777777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  (both results recorded in SIRS)</w:t>
            </w:r>
          </w:p>
        </w:tc>
      </w:tr>
      <w:tr w:rsidR="00B54B2B" w:rsidRPr="006C3C49" w14:paraId="10A58CB7" w14:textId="77777777" w:rsidTr="006C3C49">
        <w:tc>
          <w:tcPr>
            <w:tcW w:w="1502" w:type="dxa"/>
            <w:vAlign w:val="center"/>
          </w:tcPr>
          <w:p w14:paraId="547608F8" w14:textId="77777777" w:rsidR="00B54B2B" w:rsidRPr="00765DCD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4F430003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1502" w:type="dxa"/>
            <w:vAlign w:val="center"/>
          </w:tcPr>
          <w:p w14:paraId="58645ED6" w14:textId="0DA428EE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  <w:r w:rsidR="00AF3EAD" w:rsidRPr="006C3C49">
              <w:rPr>
                <w:sz w:val="20"/>
                <w:vertAlign w:val="superscript"/>
              </w:rPr>
              <w:fldChar w:fldCharType="begin"/>
            </w:r>
            <w:r w:rsidR="00AF3EAD" w:rsidRPr="006C3C49">
              <w:rPr>
                <w:sz w:val="20"/>
                <w:vertAlign w:val="superscript"/>
              </w:rPr>
              <w:instrText xml:space="preserve"> NOTEREF _Ref483474325 \h </w:instrText>
            </w:r>
            <w:r w:rsidR="00A14281" w:rsidRPr="006C3C49">
              <w:rPr>
                <w:sz w:val="20"/>
                <w:vertAlign w:val="superscript"/>
              </w:rPr>
              <w:instrText xml:space="preserve"> \* MERGEFORMAT </w:instrText>
            </w:r>
            <w:r w:rsidR="00AF3EAD" w:rsidRPr="006C3C49">
              <w:rPr>
                <w:sz w:val="20"/>
                <w:vertAlign w:val="superscript"/>
              </w:rPr>
            </w:r>
            <w:r w:rsidR="00AF3EAD" w:rsidRPr="006C3C49">
              <w:rPr>
                <w:sz w:val="20"/>
                <w:vertAlign w:val="superscript"/>
              </w:rPr>
              <w:fldChar w:fldCharType="separate"/>
            </w:r>
            <w:r w:rsidR="0086236F">
              <w:rPr>
                <w:sz w:val="20"/>
                <w:vertAlign w:val="superscript"/>
              </w:rPr>
              <w:t>4</w:t>
            </w:r>
            <w:r w:rsidR="00AF3EAD" w:rsidRPr="006C3C49">
              <w:rPr>
                <w:sz w:val="20"/>
                <w:vertAlign w:val="superscript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1D97193A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48AF859C" w14:textId="7EC4D6E5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 (both results recorded in SIRS)</w:t>
            </w:r>
          </w:p>
        </w:tc>
      </w:tr>
      <w:tr w:rsidR="00B54B2B" w:rsidRPr="006C3C49" w14:paraId="5DB31A82" w14:textId="77777777" w:rsidTr="006C3C49">
        <w:tc>
          <w:tcPr>
            <w:tcW w:w="1502" w:type="dxa"/>
            <w:vAlign w:val="center"/>
          </w:tcPr>
          <w:p w14:paraId="3A13F031" w14:textId="537E24E1" w:rsidR="00B54B2B" w:rsidRPr="006C3C49" w:rsidRDefault="00B54B2B" w:rsidP="00765DCD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  <w:r w:rsidR="00AF3EAD" w:rsidRPr="006C3C49">
              <w:rPr>
                <w:sz w:val="20"/>
                <w:vertAlign w:val="superscript"/>
              </w:rPr>
              <w:fldChar w:fldCharType="begin"/>
            </w:r>
            <w:r w:rsidR="00AF3EAD" w:rsidRPr="006C3C49">
              <w:rPr>
                <w:sz w:val="20"/>
                <w:vertAlign w:val="superscript"/>
              </w:rPr>
              <w:instrText xml:space="preserve"> NOTEREF _Ref483474384 \h  \* MERGEFORMAT </w:instrText>
            </w:r>
            <w:r w:rsidR="00AF3EAD" w:rsidRPr="006C3C49">
              <w:rPr>
                <w:sz w:val="20"/>
                <w:vertAlign w:val="superscript"/>
              </w:rPr>
            </w:r>
            <w:r w:rsidR="00AF3EAD" w:rsidRPr="006C3C49">
              <w:rPr>
                <w:sz w:val="20"/>
                <w:vertAlign w:val="superscript"/>
              </w:rPr>
              <w:fldChar w:fldCharType="separate"/>
            </w:r>
            <w:r w:rsidR="0086236F">
              <w:rPr>
                <w:sz w:val="20"/>
                <w:vertAlign w:val="superscript"/>
              </w:rPr>
              <w:t>5</w:t>
            </w:r>
            <w:r w:rsidR="00AF3EAD" w:rsidRPr="006C3C49">
              <w:rPr>
                <w:sz w:val="20"/>
                <w:vertAlign w:val="superscript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29F26BFB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</w:p>
        </w:tc>
        <w:tc>
          <w:tcPr>
            <w:tcW w:w="1502" w:type="dxa"/>
            <w:vAlign w:val="center"/>
          </w:tcPr>
          <w:p w14:paraId="54255067" w14:textId="4B091319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No Change</w:t>
            </w:r>
            <w:r w:rsidR="00AF3EAD" w:rsidRPr="006C3C49">
              <w:rPr>
                <w:sz w:val="20"/>
                <w:vertAlign w:val="superscript"/>
              </w:rPr>
              <w:fldChar w:fldCharType="begin"/>
            </w:r>
            <w:r w:rsidR="00AF3EAD" w:rsidRPr="006C3C49">
              <w:rPr>
                <w:sz w:val="20"/>
                <w:vertAlign w:val="superscript"/>
              </w:rPr>
              <w:instrText xml:space="preserve"> NOTEREF _Ref483474325 \h  \* MERGEFORMAT </w:instrText>
            </w:r>
            <w:r w:rsidR="00AF3EAD" w:rsidRPr="006C3C49">
              <w:rPr>
                <w:sz w:val="20"/>
                <w:vertAlign w:val="superscript"/>
              </w:rPr>
            </w:r>
            <w:r w:rsidR="00AF3EAD" w:rsidRPr="006C3C49">
              <w:rPr>
                <w:sz w:val="20"/>
                <w:vertAlign w:val="superscript"/>
              </w:rPr>
              <w:fldChar w:fldCharType="separate"/>
            </w:r>
            <w:r w:rsidR="0086236F">
              <w:rPr>
                <w:sz w:val="20"/>
                <w:vertAlign w:val="superscript"/>
              </w:rPr>
              <w:t>4</w:t>
            </w:r>
            <w:r w:rsidR="00AF3EAD" w:rsidRPr="006C3C49">
              <w:rPr>
                <w:sz w:val="20"/>
                <w:vertAlign w:val="superscript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368A5F8D" w14:textId="77777777" w:rsidR="00B54B2B" w:rsidRPr="006C3C49" w:rsidRDefault="00B54B2B" w:rsidP="0031196E">
            <w:pPr>
              <w:spacing w:before="20" w:after="20"/>
              <w:jc w:val="center"/>
              <w:rPr>
                <w:sz w:val="20"/>
              </w:rPr>
            </w:pPr>
            <w:r w:rsidRPr="006C3C49">
              <w:rPr>
                <w:sz w:val="20"/>
              </w:rPr>
              <w:t>Change Applied</w:t>
            </w:r>
          </w:p>
        </w:tc>
        <w:tc>
          <w:tcPr>
            <w:tcW w:w="2976" w:type="dxa"/>
            <w:vAlign w:val="center"/>
          </w:tcPr>
          <w:p w14:paraId="75807FC8" w14:textId="4569DDA4" w:rsidR="00B54B2B" w:rsidRPr="006C3C49" w:rsidRDefault="00B54B2B" w:rsidP="0031196E">
            <w:pPr>
              <w:spacing w:before="20" w:after="20"/>
              <w:rPr>
                <w:sz w:val="20"/>
              </w:rPr>
            </w:pPr>
            <w:r w:rsidRPr="006C3C49">
              <w:rPr>
                <w:b/>
                <w:sz w:val="20"/>
              </w:rPr>
              <w:t>New</w:t>
            </w:r>
            <w:r w:rsidRPr="006C3C49">
              <w:rPr>
                <w:sz w:val="20"/>
              </w:rPr>
              <w:t xml:space="preserve"> enrolment record created (both results recorded in SIRS</w:t>
            </w:r>
            <w:bookmarkStart w:id="2" w:name="_Ref483474384"/>
            <w:r w:rsidR="00291223" w:rsidRPr="006C3C49">
              <w:rPr>
                <w:rStyle w:val="FootnoteReference"/>
                <w:sz w:val="20"/>
              </w:rPr>
              <w:footnoteReference w:id="9"/>
            </w:r>
            <w:bookmarkEnd w:id="2"/>
            <w:r w:rsidRPr="006C3C49">
              <w:rPr>
                <w:sz w:val="20"/>
              </w:rPr>
              <w:t>)</w:t>
            </w:r>
          </w:p>
        </w:tc>
      </w:tr>
    </w:tbl>
    <w:p w14:paraId="7417A2FE" w14:textId="5F69F714" w:rsidR="00883F21" w:rsidRPr="00A12010" w:rsidRDefault="00A12010" w:rsidP="00A12010">
      <w:pPr>
        <w:spacing w:before="160"/>
      </w:pPr>
      <w:r w:rsidRPr="00DD1669">
        <w:t>N</w:t>
      </w:r>
      <w:r w:rsidR="00782653" w:rsidRPr="00DD1669">
        <w:t>ote:</w:t>
      </w:r>
      <w:r w:rsidR="00212298" w:rsidRPr="00857D81">
        <w:t xml:space="preserve"> </w:t>
      </w:r>
      <w:r w:rsidR="00777F74">
        <w:t>Ensure t</w:t>
      </w:r>
      <w:r w:rsidR="0089478F" w:rsidRPr="00A12010">
        <w:t xml:space="preserve">he </w:t>
      </w:r>
      <w:r w:rsidR="00FC4EBC" w:rsidRPr="00A12010">
        <w:t>CSE005 – VET unit of competency achievement by</w:t>
      </w:r>
      <w:r w:rsidR="00FC4EBC" w:rsidRPr="00857D81">
        <w:t xml:space="preserve"> provider SIRS</w:t>
      </w:r>
      <w:r w:rsidR="00210D37" w:rsidRPr="00857D81">
        <w:t xml:space="preserve"> report </w:t>
      </w:r>
      <w:r w:rsidR="00212298" w:rsidRPr="00857D81">
        <w:t>is extracted</w:t>
      </w:r>
      <w:r w:rsidR="00883F21" w:rsidRPr="00857D81">
        <w:t xml:space="preserve"> after </w:t>
      </w:r>
      <w:r w:rsidR="00210D37" w:rsidRPr="00857D81">
        <w:t xml:space="preserve">any amendments to data have been made </w:t>
      </w:r>
      <w:r w:rsidR="0013196E" w:rsidRPr="00857D81">
        <w:t xml:space="preserve">to </w:t>
      </w:r>
      <w:r w:rsidR="00FD1219" w:rsidRPr="00857D81">
        <w:t>confirm</w:t>
      </w:r>
      <w:r w:rsidR="0013196E" w:rsidRPr="00857D81">
        <w:t xml:space="preserve"> </w:t>
      </w:r>
      <w:r w:rsidR="00210D37" w:rsidRPr="00857D81">
        <w:t xml:space="preserve">the corrections </w:t>
      </w:r>
      <w:r w:rsidR="00212298" w:rsidRPr="00857D81">
        <w:t xml:space="preserve">are </w:t>
      </w:r>
      <w:r w:rsidR="00DE47DF" w:rsidRPr="00857D81">
        <w:t xml:space="preserve">accurately </w:t>
      </w:r>
      <w:r w:rsidR="00210D37" w:rsidRPr="00857D81">
        <w:t>reflected</w:t>
      </w:r>
      <w:r w:rsidR="0013196E" w:rsidRPr="00857D81">
        <w:t xml:space="preserve"> in</w:t>
      </w:r>
      <w:r w:rsidR="00210D37" w:rsidRPr="00857D81">
        <w:t xml:space="preserve"> SIRS</w:t>
      </w:r>
      <w:r w:rsidR="0013196E" w:rsidRPr="00857D81">
        <w:t xml:space="preserve">. </w:t>
      </w:r>
      <w:r w:rsidR="00FC4EBC" w:rsidRPr="00857D81">
        <w:t xml:space="preserve">The </w:t>
      </w:r>
      <w:r w:rsidR="00FC4EBC" w:rsidRPr="00A12010">
        <w:t>CSE005</w:t>
      </w:r>
      <w:r w:rsidR="00210D37" w:rsidRPr="00A12010">
        <w:t xml:space="preserve"> can be accessed</w:t>
      </w:r>
      <w:r w:rsidR="00883F21" w:rsidRPr="00A12010">
        <w:t xml:space="preserve"> </w:t>
      </w:r>
      <w:r w:rsidR="00FC4EBC" w:rsidRPr="00A12010">
        <w:t>via</w:t>
      </w:r>
      <w:r w:rsidR="00883F21" w:rsidRPr="00A12010">
        <w:t xml:space="preserve"> </w:t>
      </w:r>
      <w:r w:rsidR="00D1054A" w:rsidRPr="00A12010">
        <w:rPr>
          <w:b/>
        </w:rPr>
        <w:t>Reports</w:t>
      </w:r>
      <w:r w:rsidR="00883F21" w:rsidRPr="00A12010">
        <w:rPr>
          <w:b/>
        </w:rPr>
        <w:t>&gt;</w:t>
      </w:r>
      <w:r w:rsidR="00D1054A" w:rsidRPr="00A12010">
        <w:rPr>
          <w:b/>
        </w:rPr>
        <w:t>Other Reports</w:t>
      </w:r>
      <w:r w:rsidR="00883F21" w:rsidRPr="00A12010">
        <w:rPr>
          <w:b/>
        </w:rPr>
        <w:t>&gt;</w:t>
      </w:r>
      <w:r w:rsidR="00D1054A" w:rsidRPr="00A12010">
        <w:rPr>
          <w:b/>
        </w:rPr>
        <w:t>Achievements</w:t>
      </w:r>
      <w:r w:rsidR="00883F21" w:rsidRPr="00A12010">
        <w:t>.</w:t>
      </w:r>
    </w:p>
    <w:p w14:paraId="207B9BAF" w14:textId="24FA28EE" w:rsidR="00622C4E" w:rsidRPr="00C314E0" w:rsidRDefault="00212298" w:rsidP="00F77506">
      <w:r w:rsidRPr="00857D81">
        <w:t xml:space="preserve">Where a school requires the amended files to be checked for accuracy prior to being uploaded to SIRS email the Data Services Team </w:t>
      </w:r>
      <w:hyperlink r:id="rId14" w:history="1">
        <w:r w:rsidRPr="00A12010">
          <w:rPr>
            <w:rStyle w:val="Hyperlink"/>
          </w:rPr>
          <w:t>dataservices@scsa.wa.edu.au</w:t>
        </w:r>
      </w:hyperlink>
      <w:r w:rsidR="00AE11B7" w:rsidRPr="0031196E">
        <w:t>.</w:t>
      </w:r>
    </w:p>
    <w:sectPr w:rsidR="00622C4E" w:rsidRPr="00C314E0" w:rsidSect="0086236F"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  <w:numRestart w:val="eachPage"/>
      </w:footnotePr>
      <w:type w:val="continuous"/>
      <w:pgSz w:w="11906" w:h="16838"/>
      <w:pgMar w:top="1134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389D" w14:textId="77777777" w:rsidR="00092935" w:rsidRDefault="00092935" w:rsidP="00F77506">
      <w:r>
        <w:separator/>
      </w:r>
    </w:p>
  </w:endnote>
  <w:endnote w:type="continuationSeparator" w:id="0">
    <w:p w14:paraId="787BB349" w14:textId="77777777" w:rsidR="00092935" w:rsidRDefault="00092935" w:rsidP="00F7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4863E" w14:textId="48A89869" w:rsidR="00734DF7" w:rsidRPr="00734DF7" w:rsidRDefault="00734DF7" w:rsidP="00734DF7">
    <w:pPr>
      <w:pStyle w:val="Footer"/>
      <w:pBdr>
        <w:top w:val="single" w:sz="4" w:space="4" w:color="9C70B7" w:themeColor="accent3"/>
      </w:pBdr>
      <w:rPr>
        <w:sz w:val="18"/>
      </w:rPr>
    </w:pPr>
    <w:r w:rsidRPr="00734DF7">
      <w:rPr>
        <w:sz w:val="18"/>
      </w:rPr>
      <w:t xml:space="preserve">Page </w:t>
    </w:r>
    <w:r w:rsidRPr="00734DF7">
      <w:rPr>
        <w:sz w:val="18"/>
      </w:rPr>
      <w:fldChar w:fldCharType="begin"/>
    </w:r>
    <w:r w:rsidRPr="00734DF7">
      <w:rPr>
        <w:sz w:val="18"/>
      </w:rPr>
      <w:instrText xml:space="preserve"> PAGE   \* MERGEFORMAT </w:instrText>
    </w:r>
    <w:r w:rsidRPr="00734DF7">
      <w:rPr>
        <w:sz w:val="18"/>
      </w:rPr>
      <w:fldChar w:fldCharType="separate"/>
    </w:r>
    <w:r w:rsidR="00765DCD">
      <w:rPr>
        <w:noProof/>
        <w:sz w:val="18"/>
      </w:rPr>
      <w:t>4</w:t>
    </w:r>
    <w:r w:rsidRPr="00734DF7">
      <w:rPr>
        <w:noProof/>
        <w:sz w:val="18"/>
      </w:rPr>
      <w:fldChar w:fldCharType="end"/>
    </w:r>
    <w:r w:rsidRPr="00734DF7">
      <w:rPr>
        <w:sz w:val="18"/>
      </w:rPr>
      <w:ptab w:relativeTo="margin" w:alignment="center" w:leader="none"/>
    </w:r>
    <w:r w:rsidRPr="00734DF7">
      <w:rPr>
        <w:sz w:val="18"/>
      </w:rPr>
      <w:ptab w:relativeTo="margin" w:alignment="right" w:leader="none"/>
    </w:r>
    <w:r w:rsidRPr="00734DF7">
      <w:rPr>
        <w:sz w:val="18"/>
      </w:rPr>
      <w:t>Reporting VET achievements in SIRS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A6F98" w14:textId="60E9BC30" w:rsidR="003E58A8" w:rsidRPr="00734DF7" w:rsidRDefault="00734DF7" w:rsidP="00734DF7">
    <w:pPr>
      <w:pStyle w:val="Footer"/>
      <w:pBdr>
        <w:top w:val="single" w:sz="4" w:space="4" w:color="9C70B7" w:themeColor="accent3"/>
      </w:pBdr>
      <w:rPr>
        <w:sz w:val="18"/>
      </w:rPr>
    </w:pPr>
    <w:r w:rsidRPr="00734DF7">
      <w:rPr>
        <w:sz w:val="18"/>
      </w:rPr>
      <w:t>Reporting VET achievements in SIRS</w:t>
    </w:r>
    <w:r w:rsidRPr="00734DF7">
      <w:rPr>
        <w:sz w:val="18"/>
      </w:rPr>
      <w:ptab w:relativeTo="margin" w:alignment="center" w:leader="none"/>
    </w:r>
    <w:r w:rsidRPr="00734DF7">
      <w:rPr>
        <w:sz w:val="18"/>
      </w:rPr>
      <w:ptab w:relativeTo="margin" w:alignment="right" w:leader="none"/>
    </w:r>
    <w:r w:rsidRPr="00734DF7">
      <w:rPr>
        <w:sz w:val="18"/>
      </w:rPr>
      <w:t xml:space="preserve">Page </w:t>
    </w:r>
    <w:r w:rsidRPr="00734DF7">
      <w:rPr>
        <w:sz w:val="18"/>
      </w:rPr>
      <w:fldChar w:fldCharType="begin"/>
    </w:r>
    <w:r w:rsidRPr="00734DF7">
      <w:rPr>
        <w:sz w:val="18"/>
      </w:rPr>
      <w:instrText xml:space="preserve"> PAGE   \* MERGEFORMAT </w:instrText>
    </w:r>
    <w:r w:rsidRPr="00734DF7">
      <w:rPr>
        <w:sz w:val="18"/>
      </w:rPr>
      <w:fldChar w:fldCharType="separate"/>
    </w:r>
    <w:r w:rsidR="00765DCD">
      <w:rPr>
        <w:noProof/>
        <w:sz w:val="18"/>
      </w:rPr>
      <w:t>3</w:t>
    </w:r>
    <w:r w:rsidRPr="00734DF7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E402A" w14:textId="6A035F6C" w:rsidR="00734DF7" w:rsidRPr="00734DF7" w:rsidRDefault="000021ED" w:rsidP="00734DF7">
    <w:pPr>
      <w:pStyle w:val="Footer"/>
      <w:pBdr>
        <w:top w:val="single" w:sz="4" w:space="4" w:color="9C70B7" w:themeColor="accent3"/>
      </w:pBdr>
      <w:rPr>
        <w:sz w:val="18"/>
      </w:rPr>
    </w:pPr>
    <w:r w:rsidRPr="00C87421">
      <w:rPr>
        <w:rFonts w:cstheme="minorHAnsi"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6D7DA" wp14:editId="49D31F72">
              <wp:simplePos x="0" y="0"/>
              <wp:positionH relativeFrom="column">
                <wp:posOffset>-95250</wp:posOffset>
              </wp:positionH>
              <wp:positionV relativeFrom="paragraph">
                <wp:posOffset>-238760</wp:posOffset>
              </wp:positionV>
              <wp:extent cx="10382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4F599" w14:textId="3225C96F" w:rsidR="00734DF7" w:rsidRPr="00C87421" w:rsidRDefault="000021ED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2017/26467[2]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6D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5pt;margin-top:-18.8pt;width:8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" filled="f" stroked="f">
              <v:textbox style="mso-fit-shape-to-text:t">
                <w:txbxContent>
                  <w:p w14:paraId="17E4F599" w14:textId="3225C96F" w:rsidR="00734DF7" w:rsidRPr="00C87421" w:rsidRDefault="000021ED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2017/26467[2]</w:t>
                    </w:r>
                  </w:p>
                </w:txbxContent>
              </v:textbox>
            </v:shape>
          </w:pict>
        </mc:Fallback>
      </mc:AlternateContent>
    </w:r>
    <w:r w:rsidR="00734DF7" w:rsidRPr="00734DF7">
      <w:rPr>
        <w:sz w:val="18"/>
      </w:rPr>
      <w:t>Reporting VET achievements in SIRS</w:t>
    </w:r>
    <w:r w:rsidR="00734DF7" w:rsidRPr="00734DF7">
      <w:rPr>
        <w:sz w:val="18"/>
      </w:rPr>
      <w:ptab w:relativeTo="margin" w:alignment="center" w:leader="none"/>
    </w:r>
    <w:r w:rsidR="00734DF7" w:rsidRPr="00734DF7">
      <w:rPr>
        <w:sz w:val="18"/>
      </w:rPr>
      <w:ptab w:relativeTo="margin" w:alignment="right" w:leader="none"/>
    </w:r>
    <w:r w:rsidR="00734DF7" w:rsidRPr="00734DF7">
      <w:rPr>
        <w:sz w:val="18"/>
      </w:rPr>
      <w:t xml:space="preserve">Page </w:t>
    </w:r>
    <w:r w:rsidR="00734DF7" w:rsidRPr="00734DF7">
      <w:rPr>
        <w:sz w:val="18"/>
      </w:rPr>
      <w:fldChar w:fldCharType="begin"/>
    </w:r>
    <w:r w:rsidR="00734DF7" w:rsidRPr="00734DF7">
      <w:rPr>
        <w:sz w:val="18"/>
      </w:rPr>
      <w:instrText xml:space="preserve"> PAGE   \* MERGEFORMAT </w:instrText>
    </w:r>
    <w:r w:rsidR="00734DF7" w:rsidRPr="00734DF7">
      <w:rPr>
        <w:sz w:val="18"/>
      </w:rPr>
      <w:fldChar w:fldCharType="separate"/>
    </w:r>
    <w:r w:rsidR="00765DCD">
      <w:rPr>
        <w:noProof/>
        <w:sz w:val="18"/>
      </w:rPr>
      <w:t>1</w:t>
    </w:r>
    <w:r w:rsidR="00734DF7" w:rsidRPr="00734DF7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A647C" w14:textId="77777777" w:rsidR="00092935" w:rsidRDefault="00092935" w:rsidP="00F77506">
      <w:r>
        <w:separator/>
      </w:r>
    </w:p>
  </w:footnote>
  <w:footnote w:type="continuationSeparator" w:id="0">
    <w:p w14:paraId="3E26A92B" w14:textId="77777777" w:rsidR="00092935" w:rsidRDefault="00092935" w:rsidP="00F77506">
      <w:r>
        <w:continuationSeparator/>
      </w:r>
    </w:p>
  </w:footnote>
  <w:footnote w:id="1">
    <w:p w14:paraId="4E013AC2" w14:textId="687E5132" w:rsidR="008B587F" w:rsidRDefault="008B58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587F">
        <w:t xml:space="preserve">A SIRS error message will appear if the unit of competency is not linked to the new qualification in SIRS.  Email </w:t>
      </w:r>
      <w:hyperlink r:id="rId1" w:history="1">
        <w:r w:rsidRPr="00833646">
          <w:rPr>
            <w:rStyle w:val="Hyperlink"/>
          </w:rPr>
          <w:t>VETlinking@scsa.wa.edu.au</w:t>
        </w:r>
      </w:hyperlink>
      <w:r w:rsidRPr="008B587F">
        <w:t xml:space="preserve"> with the qualification code and name, and the unit of competency code and name to be linked.</w:t>
      </w:r>
    </w:p>
  </w:footnote>
  <w:footnote w:id="2">
    <w:p w14:paraId="5D208F89" w14:textId="31C8C1D6" w:rsidR="008B587F" w:rsidRDefault="008B58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587F">
        <w:t>Where units of competency are enrolled (but not resulted) in the current calendar year against the superseded qualification, will need to be withdrawn (</w:t>
      </w:r>
      <w:r w:rsidRPr="008B587F">
        <w:rPr>
          <w:b/>
        </w:rPr>
        <w:t>40</w:t>
      </w:r>
      <w:r w:rsidRPr="008B587F">
        <w:t xml:space="preserve">) or resulted as </w:t>
      </w:r>
      <w:r w:rsidRPr="00833646">
        <w:rPr>
          <w:b/>
        </w:rPr>
        <w:t>99: did not participate</w:t>
      </w:r>
      <w:r w:rsidRPr="008B587F">
        <w:t>.</w:t>
      </w:r>
    </w:p>
  </w:footnote>
  <w:footnote w:id="3">
    <w:p w14:paraId="3FCF5DD8" w14:textId="15669A1F" w:rsidR="00833646" w:rsidRDefault="00833646">
      <w:pPr>
        <w:pStyle w:val="FootnoteText"/>
      </w:pPr>
      <w:r>
        <w:rPr>
          <w:rStyle w:val="FootnoteReference"/>
        </w:rPr>
        <w:footnoteRef/>
      </w:r>
      <w:r>
        <w:t xml:space="preserve"> These include, but are not limited to, Reporting to Parents (RTP), </w:t>
      </w:r>
      <w:proofErr w:type="spellStart"/>
      <w:r>
        <w:t>Civica</w:t>
      </w:r>
      <w:proofErr w:type="spellEnd"/>
      <w:r>
        <w:t xml:space="preserve"> Maze, Synergetic and SEQTA.</w:t>
      </w:r>
    </w:p>
  </w:footnote>
  <w:footnote w:id="4">
    <w:p w14:paraId="702EDF36" w14:textId="48C15209" w:rsidR="00DD1669" w:rsidRPr="00DD1669" w:rsidRDefault="00DD1669">
      <w:pPr>
        <w:pStyle w:val="FootnoteText"/>
      </w:pPr>
      <w:r w:rsidRPr="00DD1669">
        <w:rPr>
          <w:rStyle w:val="FootnoteReference"/>
        </w:rPr>
        <w:footnoteRef/>
      </w:r>
      <w:r w:rsidRPr="00DD1669">
        <w:t xml:space="preserve"> CSE009 Missing Achievements can be found via </w:t>
      </w:r>
      <w:r w:rsidRPr="00956936">
        <w:rPr>
          <w:b/>
        </w:rPr>
        <w:t>Reports&gt;Other Reports&gt;Missing Achievements</w:t>
      </w:r>
    </w:p>
  </w:footnote>
  <w:footnote w:id="5">
    <w:p w14:paraId="1360AF53" w14:textId="6F9A3ED2" w:rsidR="000F31C8" w:rsidRPr="00DD1669" w:rsidRDefault="000F31C8" w:rsidP="00F77506">
      <w:pPr>
        <w:pStyle w:val="FootnoteText"/>
        <w:rPr>
          <w:sz w:val="20"/>
        </w:rPr>
      </w:pPr>
      <w:r w:rsidRPr="00DD1669">
        <w:rPr>
          <w:rStyle w:val="FootnoteReference"/>
          <w:sz w:val="20"/>
        </w:rPr>
        <w:footnoteRef/>
      </w:r>
      <w:r w:rsidRPr="00DD1669">
        <w:rPr>
          <w:sz w:val="20"/>
        </w:rPr>
        <w:t xml:space="preserve"> Where an enrolment has been created</w:t>
      </w:r>
      <w:r w:rsidR="00013711" w:rsidRPr="00DD1669">
        <w:rPr>
          <w:sz w:val="20"/>
        </w:rPr>
        <w:t xml:space="preserve"> in SIRS</w:t>
      </w:r>
      <w:r w:rsidR="00A12010" w:rsidRPr="00DD1669">
        <w:rPr>
          <w:sz w:val="20"/>
        </w:rPr>
        <w:t>.</w:t>
      </w:r>
    </w:p>
  </w:footnote>
  <w:footnote w:id="6">
    <w:p w14:paraId="41E68E99" w14:textId="0B68F069" w:rsidR="00AB746B" w:rsidRPr="00DD1669" w:rsidRDefault="00AB746B" w:rsidP="00F77506">
      <w:pPr>
        <w:pStyle w:val="FootnoteText"/>
        <w:rPr>
          <w:sz w:val="20"/>
        </w:rPr>
      </w:pPr>
      <w:r w:rsidRPr="00DD1669">
        <w:rPr>
          <w:rStyle w:val="FootnoteReference"/>
          <w:sz w:val="20"/>
        </w:rPr>
        <w:footnoteRef/>
      </w:r>
      <w:r w:rsidRPr="00DD1669">
        <w:rPr>
          <w:sz w:val="20"/>
        </w:rPr>
        <w:t xml:space="preserve"> Where no result has been recorded in SIRS</w:t>
      </w:r>
      <w:r w:rsidR="00A12010" w:rsidRPr="00DD1669">
        <w:rPr>
          <w:sz w:val="20"/>
        </w:rPr>
        <w:t>.</w:t>
      </w:r>
    </w:p>
  </w:footnote>
  <w:footnote w:id="7">
    <w:p w14:paraId="11AD6D24" w14:textId="77777777" w:rsidR="00B54B2B" w:rsidRPr="00DD1669" w:rsidRDefault="00B54B2B" w:rsidP="00F77506">
      <w:pPr>
        <w:pStyle w:val="FootnoteText"/>
        <w:rPr>
          <w:sz w:val="20"/>
        </w:rPr>
      </w:pPr>
      <w:r w:rsidRPr="00DD1669">
        <w:rPr>
          <w:rStyle w:val="FootnoteReference"/>
          <w:sz w:val="20"/>
        </w:rPr>
        <w:footnoteRef/>
      </w:r>
      <w:r w:rsidRPr="00DD1669">
        <w:rPr>
          <w:sz w:val="20"/>
        </w:rPr>
        <w:t xml:space="preserve"> Where no result has been recorded in SIRS </w:t>
      </w:r>
      <w:r w:rsidRPr="00DD1669">
        <w:rPr>
          <w:b/>
          <w:sz w:val="20"/>
        </w:rPr>
        <w:t>and</w:t>
      </w:r>
      <w:r w:rsidRPr="00DD1669">
        <w:rPr>
          <w:sz w:val="20"/>
        </w:rPr>
        <w:t xml:space="preserve"> where an enrolment has occurred using one RTO code and the result is applied to a different RTO code, the new result will be applied to the most recent RTO code.</w:t>
      </w:r>
    </w:p>
  </w:footnote>
  <w:footnote w:id="8">
    <w:p w14:paraId="6DE635A9" w14:textId="335EEC66" w:rsidR="00B86619" w:rsidRPr="00DD1669" w:rsidRDefault="00B86619" w:rsidP="00F77506">
      <w:pPr>
        <w:pStyle w:val="FootnoteText"/>
        <w:rPr>
          <w:sz w:val="20"/>
        </w:rPr>
      </w:pPr>
      <w:r w:rsidRPr="00DD1669">
        <w:rPr>
          <w:rStyle w:val="FootnoteReference"/>
          <w:sz w:val="20"/>
        </w:rPr>
        <w:footnoteRef/>
      </w:r>
      <w:r w:rsidRPr="00DD1669">
        <w:rPr>
          <w:sz w:val="20"/>
        </w:rPr>
        <w:t xml:space="preserve"> SIRS will not accept more than one result of 20</w:t>
      </w:r>
      <w:r w:rsidR="00A12010" w:rsidRPr="00DD1669">
        <w:rPr>
          <w:sz w:val="20"/>
        </w:rPr>
        <w:t>.</w:t>
      </w:r>
      <w:r w:rsidRPr="00DD1669">
        <w:rPr>
          <w:sz w:val="20"/>
        </w:rPr>
        <w:t xml:space="preserve"> </w:t>
      </w:r>
      <w:r w:rsidR="00A12010" w:rsidRPr="00DD1669">
        <w:rPr>
          <w:sz w:val="20"/>
        </w:rPr>
        <w:t>A</w:t>
      </w:r>
      <w:r w:rsidRPr="00DD1669">
        <w:rPr>
          <w:sz w:val="20"/>
        </w:rPr>
        <w:t>ll subsequent results in the same unit of competency must be 60.</w:t>
      </w:r>
    </w:p>
  </w:footnote>
  <w:footnote w:id="9">
    <w:p w14:paraId="0968A9E8" w14:textId="7E676D8C" w:rsidR="00291223" w:rsidRPr="00DD1669" w:rsidRDefault="00291223" w:rsidP="00F77506">
      <w:pPr>
        <w:pStyle w:val="FootnoteText"/>
        <w:rPr>
          <w:sz w:val="20"/>
        </w:rPr>
      </w:pPr>
      <w:r w:rsidRPr="00DD1669">
        <w:rPr>
          <w:rStyle w:val="FootnoteReference"/>
          <w:sz w:val="20"/>
        </w:rPr>
        <w:footnoteRef/>
      </w:r>
      <w:r w:rsidRPr="00DD1669">
        <w:rPr>
          <w:sz w:val="20"/>
        </w:rPr>
        <w:t xml:space="preserve"> Where calendar year has been changed, the school may not be able to upload the file to SIRS and it will need to be emailed to the Data Services Team </w:t>
      </w:r>
      <w:hyperlink r:id="rId2" w:history="1">
        <w:r w:rsidRPr="00DD1669">
          <w:rPr>
            <w:rStyle w:val="Hyperlink"/>
            <w:sz w:val="20"/>
          </w:rPr>
          <w:t>dataservices@scsa.wa.edu.au</w:t>
        </w:r>
      </w:hyperlink>
      <w:r w:rsidRPr="00DD1669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4ABF" w14:textId="348890DD" w:rsidR="00970995" w:rsidRDefault="00970995">
    <w:pPr>
      <w:pStyle w:val="Header"/>
    </w:pPr>
    <w:r>
      <w:rPr>
        <w:noProof/>
        <w:lang w:eastAsia="en-AU"/>
      </w:rPr>
      <w:drawing>
        <wp:inline distT="0" distB="0" distL="0" distR="0" wp14:anchorId="1B242A3A" wp14:editId="6D948B1F">
          <wp:extent cx="5731510" cy="5763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4813"/>
    <w:multiLevelType w:val="hybridMultilevel"/>
    <w:tmpl w:val="DC9CF5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230"/>
    <w:multiLevelType w:val="hybridMultilevel"/>
    <w:tmpl w:val="CE74C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0477E"/>
    <w:multiLevelType w:val="hybridMultilevel"/>
    <w:tmpl w:val="99141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33817"/>
    <w:multiLevelType w:val="hybridMultilevel"/>
    <w:tmpl w:val="3070B74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BBE15E9"/>
    <w:multiLevelType w:val="hybridMultilevel"/>
    <w:tmpl w:val="901E6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D1B09"/>
    <w:multiLevelType w:val="hybridMultilevel"/>
    <w:tmpl w:val="CC4AB03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69D3E1A"/>
    <w:multiLevelType w:val="hybridMultilevel"/>
    <w:tmpl w:val="7938C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25CB7"/>
    <w:multiLevelType w:val="hybridMultilevel"/>
    <w:tmpl w:val="66CC2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A6882"/>
    <w:multiLevelType w:val="hybridMultilevel"/>
    <w:tmpl w:val="0C5C9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60EF3"/>
    <w:multiLevelType w:val="hybridMultilevel"/>
    <w:tmpl w:val="40903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E5D53"/>
    <w:multiLevelType w:val="hybridMultilevel"/>
    <w:tmpl w:val="0E984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558CF"/>
    <w:multiLevelType w:val="hybridMultilevel"/>
    <w:tmpl w:val="3E6E7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932A5"/>
    <w:multiLevelType w:val="hybridMultilevel"/>
    <w:tmpl w:val="5F3A8D96"/>
    <w:lvl w:ilvl="0" w:tplc="2C787DF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252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05"/>
    <w:rsid w:val="000021ED"/>
    <w:rsid w:val="00006613"/>
    <w:rsid w:val="00013711"/>
    <w:rsid w:val="00064FA0"/>
    <w:rsid w:val="00092935"/>
    <w:rsid w:val="00095838"/>
    <w:rsid w:val="000D17A8"/>
    <w:rsid w:val="000D4640"/>
    <w:rsid w:val="000F31C8"/>
    <w:rsid w:val="00113F9F"/>
    <w:rsid w:val="0011629D"/>
    <w:rsid w:val="0013196E"/>
    <w:rsid w:val="0014115F"/>
    <w:rsid w:val="00151A76"/>
    <w:rsid w:val="00154B97"/>
    <w:rsid w:val="00172B67"/>
    <w:rsid w:val="0017669A"/>
    <w:rsid w:val="00181D18"/>
    <w:rsid w:val="00190A5E"/>
    <w:rsid w:val="001C1B97"/>
    <w:rsid w:val="00210D37"/>
    <w:rsid w:val="00212298"/>
    <w:rsid w:val="0022027F"/>
    <w:rsid w:val="00221156"/>
    <w:rsid w:val="002359EC"/>
    <w:rsid w:val="0027226A"/>
    <w:rsid w:val="002724F5"/>
    <w:rsid w:val="002746B1"/>
    <w:rsid w:val="00276A1F"/>
    <w:rsid w:val="00291223"/>
    <w:rsid w:val="00294C2D"/>
    <w:rsid w:val="002951D2"/>
    <w:rsid w:val="002C4767"/>
    <w:rsid w:val="002F7ACF"/>
    <w:rsid w:val="0031196E"/>
    <w:rsid w:val="00314A63"/>
    <w:rsid w:val="003618A2"/>
    <w:rsid w:val="00394A50"/>
    <w:rsid w:val="003C2189"/>
    <w:rsid w:val="003C7D77"/>
    <w:rsid w:val="003E58A8"/>
    <w:rsid w:val="00451CEF"/>
    <w:rsid w:val="00455E31"/>
    <w:rsid w:val="004636A4"/>
    <w:rsid w:val="00473F40"/>
    <w:rsid w:val="00474BE4"/>
    <w:rsid w:val="004873CB"/>
    <w:rsid w:val="004A31C1"/>
    <w:rsid w:val="0051414A"/>
    <w:rsid w:val="00515768"/>
    <w:rsid w:val="00552CB4"/>
    <w:rsid w:val="00557526"/>
    <w:rsid w:val="00573805"/>
    <w:rsid w:val="005B1076"/>
    <w:rsid w:val="005C28CF"/>
    <w:rsid w:val="005C3231"/>
    <w:rsid w:val="005D0D5F"/>
    <w:rsid w:val="005E0706"/>
    <w:rsid w:val="006019A0"/>
    <w:rsid w:val="00616369"/>
    <w:rsid w:val="00622C4E"/>
    <w:rsid w:val="00641CCF"/>
    <w:rsid w:val="006429C7"/>
    <w:rsid w:val="00643D67"/>
    <w:rsid w:val="006456E0"/>
    <w:rsid w:val="006672F7"/>
    <w:rsid w:val="00677DE5"/>
    <w:rsid w:val="006A106E"/>
    <w:rsid w:val="006C3C49"/>
    <w:rsid w:val="006D30BD"/>
    <w:rsid w:val="006D7101"/>
    <w:rsid w:val="006F7392"/>
    <w:rsid w:val="00713131"/>
    <w:rsid w:val="00734DF7"/>
    <w:rsid w:val="007469FF"/>
    <w:rsid w:val="00755078"/>
    <w:rsid w:val="00765DCD"/>
    <w:rsid w:val="007678E6"/>
    <w:rsid w:val="00770811"/>
    <w:rsid w:val="0077374C"/>
    <w:rsid w:val="00777F74"/>
    <w:rsid w:val="00782653"/>
    <w:rsid w:val="007C0879"/>
    <w:rsid w:val="007C0E1E"/>
    <w:rsid w:val="007E483D"/>
    <w:rsid w:val="007F707C"/>
    <w:rsid w:val="008026C4"/>
    <w:rsid w:val="00815F2D"/>
    <w:rsid w:val="0081762A"/>
    <w:rsid w:val="00833646"/>
    <w:rsid w:val="00857D81"/>
    <w:rsid w:val="0086236F"/>
    <w:rsid w:val="00883F21"/>
    <w:rsid w:val="0088451C"/>
    <w:rsid w:val="00886D53"/>
    <w:rsid w:val="0089478F"/>
    <w:rsid w:val="008A096C"/>
    <w:rsid w:val="008B587F"/>
    <w:rsid w:val="008C51F8"/>
    <w:rsid w:val="008D38C7"/>
    <w:rsid w:val="008F26C2"/>
    <w:rsid w:val="00916987"/>
    <w:rsid w:val="00956936"/>
    <w:rsid w:val="00970995"/>
    <w:rsid w:val="009841FE"/>
    <w:rsid w:val="009D74E0"/>
    <w:rsid w:val="009F0699"/>
    <w:rsid w:val="009F5C87"/>
    <w:rsid w:val="009F73B4"/>
    <w:rsid w:val="00A12010"/>
    <w:rsid w:val="00A13506"/>
    <w:rsid w:val="00A14281"/>
    <w:rsid w:val="00A425A5"/>
    <w:rsid w:val="00A436B6"/>
    <w:rsid w:val="00A6433D"/>
    <w:rsid w:val="00A71F4E"/>
    <w:rsid w:val="00A76728"/>
    <w:rsid w:val="00AB746B"/>
    <w:rsid w:val="00AE11B7"/>
    <w:rsid w:val="00AF1FD5"/>
    <w:rsid w:val="00AF3EAD"/>
    <w:rsid w:val="00AF6DCF"/>
    <w:rsid w:val="00B26011"/>
    <w:rsid w:val="00B2754C"/>
    <w:rsid w:val="00B37D9D"/>
    <w:rsid w:val="00B44482"/>
    <w:rsid w:val="00B54B2B"/>
    <w:rsid w:val="00B82A94"/>
    <w:rsid w:val="00B86619"/>
    <w:rsid w:val="00BA0773"/>
    <w:rsid w:val="00BB71E9"/>
    <w:rsid w:val="00BD015D"/>
    <w:rsid w:val="00BE599D"/>
    <w:rsid w:val="00C05A38"/>
    <w:rsid w:val="00C102E1"/>
    <w:rsid w:val="00C314E0"/>
    <w:rsid w:val="00C360EE"/>
    <w:rsid w:val="00C7552C"/>
    <w:rsid w:val="00C95496"/>
    <w:rsid w:val="00CB46C8"/>
    <w:rsid w:val="00CD45F0"/>
    <w:rsid w:val="00CD549B"/>
    <w:rsid w:val="00D03BFA"/>
    <w:rsid w:val="00D1054A"/>
    <w:rsid w:val="00D32A0D"/>
    <w:rsid w:val="00D42313"/>
    <w:rsid w:val="00D959C7"/>
    <w:rsid w:val="00DD1669"/>
    <w:rsid w:val="00DE2593"/>
    <w:rsid w:val="00DE47DF"/>
    <w:rsid w:val="00E03F76"/>
    <w:rsid w:val="00E249ED"/>
    <w:rsid w:val="00E26E9F"/>
    <w:rsid w:val="00E37065"/>
    <w:rsid w:val="00EB197E"/>
    <w:rsid w:val="00EB35B3"/>
    <w:rsid w:val="00EC10EF"/>
    <w:rsid w:val="00EC435F"/>
    <w:rsid w:val="00EE6859"/>
    <w:rsid w:val="00F06EDE"/>
    <w:rsid w:val="00F31B58"/>
    <w:rsid w:val="00F417B2"/>
    <w:rsid w:val="00F53B71"/>
    <w:rsid w:val="00F61C9C"/>
    <w:rsid w:val="00F76235"/>
    <w:rsid w:val="00F77506"/>
    <w:rsid w:val="00F81F3F"/>
    <w:rsid w:val="00F85460"/>
    <w:rsid w:val="00FA0AC0"/>
    <w:rsid w:val="00FC4EBC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5A4802"/>
  <w15:docId w15:val="{1306A2F7-BEA9-4117-B79B-6C52693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67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C8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5D3972" w:themeColor="accent2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F707C"/>
    <w:pPr>
      <w:spacing w:before="240"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CC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52A5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1CC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1C3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1CC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52A5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CC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E1C3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CC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E1C39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CC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E1C39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CC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E1C39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A8"/>
  </w:style>
  <w:style w:type="paragraph" w:styleId="Footer">
    <w:name w:val="footer"/>
    <w:basedOn w:val="Normal"/>
    <w:link w:val="FooterChar"/>
    <w:uiPriority w:val="99"/>
    <w:unhideWhenUsed/>
    <w:rsid w:val="003E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A8"/>
  </w:style>
  <w:style w:type="character" w:customStyle="1" w:styleId="Heading1Char">
    <w:name w:val="Heading 1 Char"/>
    <w:basedOn w:val="DefaultParagraphFont"/>
    <w:link w:val="Heading1"/>
    <w:uiPriority w:val="9"/>
    <w:rsid w:val="009F5C87"/>
    <w:rPr>
      <w:rFonts w:asciiTheme="majorHAnsi" w:eastAsiaTheme="majorEastAsia" w:hAnsiTheme="majorHAnsi" w:cstheme="majorBidi"/>
      <w:b/>
      <w:color w:val="5D3972" w:themeColor="accent2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A76728"/>
    <w:rPr>
      <w:color w:val="5D3972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707C"/>
    <w:rPr>
      <w:rFonts w:asciiTheme="majorHAnsi" w:eastAsiaTheme="majorEastAsia" w:hAnsiTheme="majorHAnsi" w:cstheme="majorBidi"/>
      <w:b/>
      <w:color w:val="5D3972" w:themeColor="accent2"/>
      <w:sz w:val="24"/>
      <w:szCs w:val="40"/>
    </w:rPr>
  </w:style>
  <w:style w:type="paragraph" w:styleId="NormalWeb">
    <w:name w:val="Normal (Web)"/>
    <w:basedOn w:val="Normal"/>
    <w:uiPriority w:val="99"/>
    <w:semiHidden/>
    <w:unhideWhenUsed/>
    <w:rsid w:val="006A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A106E"/>
  </w:style>
  <w:style w:type="character" w:styleId="Strong">
    <w:name w:val="Strong"/>
    <w:basedOn w:val="DefaultParagraphFont"/>
    <w:uiPriority w:val="22"/>
    <w:qFormat/>
    <w:rsid w:val="00641C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1CCF"/>
    <w:rPr>
      <w:rFonts w:asciiTheme="majorHAnsi" w:eastAsiaTheme="majorEastAsia" w:hAnsiTheme="majorHAnsi" w:cstheme="majorBidi"/>
      <w:color w:val="452A5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41CCF"/>
    <w:rPr>
      <w:rFonts w:asciiTheme="majorHAnsi" w:eastAsiaTheme="majorEastAsia" w:hAnsiTheme="majorHAnsi" w:cstheme="majorBidi"/>
      <w:i/>
      <w:iCs/>
      <w:color w:val="2E1C3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41CCF"/>
    <w:rPr>
      <w:rFonts w:asciiTheme="majorHAnsi" w:eastAsiaTheme="majorEastAsia" w:hAnsiTheme="majorHAnsi" w:cstheme="majorBidi"/>
      <w:color w:val="452A5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CCF"/>
    <w:rPr>
      <w:rFonts w:asciiTheme="majorHAnsi" w:eastAsiaTheme="majorEastAsia" w:hAnsiTheme="majorHAnsi" w:cstheme="majorBidi"/>
      <w:i/>
      <w:iCs/>
      <w:color w:val="2E1C3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CCF"/>
    <w:rPr>
      <w:rFonts w:asciiTheme="majorHAnsi" w:eastAsiaTheme="majorEastAsia" w:hAnsiTheme="majorHAnsi" w:cstheme="majorBidi"/>
      <w:b/>
      <w:bCs/>
      <w:color w:val="2E1C3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CCF"/>
    <w:rPr>
      <w:rFonts w:asciiTheme="majorHAnsi" w:eastAsiaTheme="majorEastAsia" w:hAnsiTheme="majorHAnsi" w:cstheme="majorBidi"/>
      <w:color w:val="2E1C3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CCF"/>
    <w:rPr>
      <w:rFonts w:asciiTheme="majorHAnsi" w:eastAsiaTheme="majorEastAsia" w:hAnsiTheme="majorHAnsi" w:cstheme="majorBidi"/>
      <w:i/>
      <w:iCs/>
      <w:color w:val="2E1C3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CC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707C"/>
    <w:pPr>
      <w:spacing w:before="360" w:after="360" w:line="240" w:lineRule="auto"/>
      <w:contextualSpacing/>
      <w:jc w:val="center"/>
    </w:pPr>
    <w:rPr>
      <w:rFonts w:asciiTheme="majorHAnsi" w:eastAsiaTheme="majorEastAsia" w:hAnsiTheme="majorHAnsi" w:cstheme="majorBidi"/>
      <w:color w:val="5D3972" w:themeColor="accent2"/>
      <w:sz w:val="40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F707C"/>
    <w:rPr>
      <w:rFonts w:asciiTheme="majorHAnsi" w:eastAsiaTheme="majorEastAsia" w:hAnsiTheme="majorHAnsi" w:cstheme="majorBidi"/>
      <w:color w:val="5D3972" w:themeColor="accent2"/>
      <w:sz w:val="40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CC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CCF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1CCF"/>
    <w:rPr>
      <w:i/>
      <w:iCs/>
      <w:color w:val="000000" w:themeColor="text1"/>
    </w:rPr>
  </w:style>
  <w:style w:type="paragraph" w:styleId="NoSpacing">
    <w:name w:val="No Spacing"/>
    <w:uiPriority w:val="1"/>
    <w:qFormat/>
    <w:rsid w:val="00641C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1CC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1C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CCF"/>
    <w:pPr>
      <w:pBdr>
        <w:top w:val="single" w:sz="24" w:space="4" w:color="5D397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CC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41C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1CCF"/>
    <w:rPr>
      <w:b/>
      <w:bCs/>
      <w:i/>
      <w:iCs/>
      <w:caps w:val="0"/>
      <w:smallCaps w:val="0"/>
      <w:strike w:val="0"/>
      <w:dstrike w:val="0"/>
      <w:color w:val="5D3972" w:themeColor="accent2"/>
    </w:rPr>
  </w:style>
  <w:style w:type="character" w:styleId="SubtleReference">
    <w:name w:val="Subtle Reference"/>
    <w:basedOn w:val="DefaultParagraphFont"/>
    <w:uiPriority w:val="31"/>
    <w:qFormat/>
    <w:rsid w:val="00641CC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1CC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41CC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CCF"/>
    <w:pPr>
      <w:outlineLvl w:val="9"/>
    </w:pPr>
  </w:style>
  <w:style w:type="table" w:styleId="GridTable4-Accent6">
    <w:name w:val="Grid Table 4 Accent 6"/>
    <w:basedOn w:val="TableNormal"/>
    <w:uiPriority w:val="49"/>
    <w:rsid w:val="009D74E0"/>
    <w:pPr>
      <w:spacing w:after="0" w:line="240" w:lineRule="auto"/>
    </w:pPr>
    <w:tblPr>
      <w:tblStyleRowBandSize w:val="1"/>
      <w:tblStyleColBandSize w:val="1"/>
      <w:tblBorders>
        <w:top w:val="single" w:sz="4" w:space="0" w:color="F3EEF6" w:themeColor="accent6" w:themeTint="99"/>
        <w:left w:val="single" w:sz="4" w:space="0" w:color="F3EEF6" w:themeColor="accent6" w:themeTint="99"/>
        <w:bottom w:val="single" w:sz="4" w:space="0" w:color="F3EEF6" w:themeColor="accent6" w:themeTint="99"/>
        <w:right w:val="single" w:sz="4" w:space="0" w:color="F3EEF6" w:themeColor="accent6" w:themeTint="99"/>
        <w:insideH w:val="single" w:sz="4" w:space="0" w:color="F3EEF6" w:themeColor="accent6" w:themeTint="99"/>
        <w:insideV w:val="single" w:sz="4" w:space="0" w:color="F3EE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E4F1" w:themeColor="accent6"/>
          <w:left w:val="single" w:sz="4" w:space="0" w:color="ECE4F1" w:themeColor="accent6"/>
          <w:bottom w:val="single" w:sz="4" w:space="0" w:color="ECE4F1" w:themeColor="accent6"/>
          <w:right w:val="single" w:sz="4" w:space="0" w:color="ECE4F1" w:themeColor="accent6"/>
          <w:insideH w:val="nil"/>
          <w:insideV w:val="nil"/>
        </w:tcBorders>
        <w:shd w:val="clear" w:color="auto" w:fill="ECE4F1" w:themeFill="accent6"/>
      </w:tcPr>
    </w:tblStylePr>
    <w:tblStylePr w:type="lastRow">
      <w:rPr>
        <w:b/>
        <w:bCs/>
      </w:rPr>
      <w:tblPr/>
      <w:tcPr>
        <w:tcBorders>
          <w:top w:val="double" w:sz="4" w:space="0" w:color="ECE4F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C" w:themeFill="accent6" w:themeFillTint="33"/>
      </w:tcPr>
    </w:tblStylePr>
    <w:tblStylePr w:type="band1Horz">
      <w:tblPr/>
      <w:tcPr>
        <w:shd w:val="clear" w:color="auto" w:fill="FBF9FC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1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7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D166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669"/>
    <w:rPr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1C8"/>
    <w:rPr>
      <w:vertAlign w:val="superscript"/>
    </w:rPr>
  </w:style>
  <w:style w:type="table" w:styleId="PlainTable3">
    <w:name w:val="Plain Table 3"/>
    <w:basedOn w:val="TableNormal"/>
    <w:uiPriority w:val="43"/>
    <w:rsid w:val="00C75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4636A4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970995"/>
    <w:pPr>
      <w:spacing w:after="0" w:line="240" w:lineRule="auto"/>
    </w:pPr>
    <w:tblPr>
      <w:tblStyleRowBandSize w:val="1"/>
      <w:tblStyleColBandSize w:val="1"/>
      <w:tblBorders>
        <w:top w:val="single" w:sz="4" w:space="0" w:color="C3A9D3" w:themeColor="accent3" w:themeTint="99"/>
        <w:left w:val="single" w:sz="4" w:space="0" w:color="C3A9D3" w:themeColor="accent3" w:themeTint="99"/>
        <w:bottom w:val="single" w:sz="4" w:space="0" w:color="C3A9D3" w:themeColor="accent3" w:themeTint="99"/>
        <w:right w:val="single" w:sz="4" w:space="0" w:color="C3A9D3" w:themeColor="accent3" w:themeTint="99"/>
        <w:insideH w:val="single" w:sz="4" w:space="0" w:color="C3A9D3" w:themeColor="accent3" w:themeTint="99"/>
        <w:insideV w:val="single" w:sz="4" w:space="0" w:color="C3A9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nil"/>
          <w:insideV w:val="nil"/>
        </w:tcBorders>
        <w:shd w:val="clear" w:color="auto" w:fill="9C70B7" w:themeFill="accent3"/>
      </w:tcPr>
    </w:tblStylePr>
    <w:tblStylePr w:type="lastRow">
      <w:rPr>
        <w:b/>
        <w:bCs/>
      </w:rPr>
      <w:tblPr/>
      <w:tcPr>
        <w:tcBorders>
          <w:top w:val="double" w:sz="4" w:space="0" w:color="9C70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2F0" w:themeFill="accent3" w:themeFillTint="33"/>
      </w:tcPr>
    </w:tblStylePr>
    <w:tblStylePr w:type="band1Horz">
      <w:tblPr/>
      <w:tcPr>
        <w:shd w:val="clear" w:color="auto" w:fill="EBE2F0" w:themeFill="accent3" w:themeFillTint="33"/>
      </w:tcPr>
    </w:tblStylePr>
  </w:style>
  <w:style w:type="paragraph" w:customStyle="1" w:styleId="IntroText">
    <w:name w:val="Intro Text"/>
    <w:basedOn w:val="Normal"/>
    <w:qFormat/>
    <w:rsid w:val="00A76728"/>
    <w:pPr>
      <w:spacing w:after="320"/>
      <w:ind w:left="567"/>
    </w:pPr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taservices@scsa.wa.edu.a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sa.wa.edu.au/publications/data-procedures-manu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services@scsa.wa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sa.wa.edu.au/__data/assets/pdf_file/0008/347876/Data-Procedures-Manual-2017-web-versio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ace1516.scsa.wa.edu.au/vet/vet-industry-specific" TargetMode="External"/><Relationship Id="rId14" Type="http://schemas.openxmlformats.org/officeDocument/2006/relationships/hyperlink" Target="mailto:dataservices@scsa.wa.edu.a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taservices@scsa.wa.edu.au" TargetMode="External"/><Relationship Id="rId1" Type="http://schemas.openxmlformats.org/officeDocument/2006/relationships/hyperlink" Target="mailto:VETlinking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21A7-9AF5-4860-AD82-C2111A5B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Wright</dc:creator>
  <cp:lastModifiedBy>Jo Merrey</cp:lastModifiedBy>
  <cp:revision>101</cp:revision>
  <cp:lastPrinted>2017-11-09T03:38:00Z</cp:lastPrinted>
  <dcterms:created xsi:type="dcterms:W3CDTF">2017-05-23T01:12:00Z</dcterms:created>
  <dcterms:modified xsi:type="dcterms:W3CDTF">2017-12-01T07:11:00Z</dcterms:modified>
</cp:coreProperties>
</file>