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1D" w:rsidRPr="00A71521" w:rsidRDefault="00DD361D" w:rsidP="00DD361D">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rsidR="00DD361D" w:rsidRDefault="00DD361D" w:rsidP="00DD361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Children, Family and the Community</w:t>
      </w:r>
    </w:p>
    <w:p w:rsidR="00DD361D" w:rsidRPr="00891E0F" w:rsidRDefault="00977EF6" w:rsidP="00977EF6">
      <w:pPr>
        <w:keepNext/>
        <w:pBdr>
          <w:top w:val="single" w:sz="8" w:space="3" w:color="4F6228"/>
          <w:bottom w:val="single" w:sz="8" w:space="3" w:color="4F6228"/>
        </w:pBdr>
        <w:ind w:left="1701" w:right="1701" w:firstLine="459"/>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DD361D">
        <w:rPr>
          <w:rFonts w:ascii="Franklin Gothic Medium" w:hAnsi="Franklin Gothic Medium"/>
          <w:smallCaps/>
          <w:color w:val="5F497A"/>
          <w:sz w:val="28"/>
          <w:szCs w:val="28"/>
        </w:rPr>
        <w:t xml:space="preserve"> Year </w:t>
      </w:r>
      <w:r w:rsidR="00DD361D" w:rsidRPr="00891E0F">
        <w:rPr>
          <w:rFonts w:ascii="Franklin Gothic Medium" w:hAnsi="Franklin Gothic Medium"/>
          <w:smallCaps/>
          <w:color w:val="5F497A"/>
          <w:sz w:val="28"/>
          <w:szCs w:val="28"/>
        </w:rPr>
        <w:t>11</w:t>
      </w:r>
    </w:p>
    <w:p w:rsidR="00DD361D" w:rsidRPr="00891E0F" w:rsidRDefault="00DD361D" w:rsidP="00DD361D">
      <w:pPr>
        <w:keepNext/>
        <w:jc w:val="center"/>
        <w:outlineLvl w:val="0"/>
        <w:rPr>
          <w:rFonts w:ascii="Calibri" w:hAnsi="Calibri"/>
          <w:b/>
        </w:rPr>
      </w:pPr>
    </w:p>
    <w:p w:rsidR="00DD361D" w:rsidRPr="0017191C" w:rsidRDefault="00DD361D" w:rsidP="00DD361D">
      <w:pPr>
        <w:keepNext/>
        <w:spacing w:before="3500"/>
        <w:jc w:val="center"/>
        <w:outlineLvl w:val="0"/>
        <w:rPr>
          <w:rFonts w:ascii="Franklin Gothic Medium" w:hAnsi="Franklin Gothic Medium"/>
          <w:smallCaps/>
          <w:color w:val="463969"/>
          <w:sz w:val="52"/>
          <w:szCs w:val="52"/>
        </w:rPr>
      </w:pPr>
    </w:p>
    <w:p w:rsidR="00DD361D" w:rsidRPr="0017191C" w:rsidRDefault="00DD361D" w:rsidP="00DD361D">
      <w:pPr>
        <w:spacing w:after="240"/>
        <w:rPr>
          <w:rFonts w:ascii="Franklin Gothic Book" w:hAnsi="Franklin Gothic Book"/>
          <w:sz w:val="44"/>
          <w:szCs w:val="44"/>
        </w:rPr>
      </w:pPr>
    </w:p>
    <w:p w:rsidR="00DD361D" w:rsidRPr="0017191C" w:rsidRDefault="00DD361D" w:rsidP="00DD361D">
      <w:pPr>
        <w:rPr>
          <w:b/>
          <w:sz w:val="28"/>
          <w:szCs w:val="28"/>
        </w:rPr>
      </w:pPr>
    </w:p>
    <w:p w:rsidR="00DD361D" w:rsidRPr="0017191C" w:rsidRDefault="00DD361D" w:rsidP="00DD361D">
      <w:pPr>
        <w:rPr>
          <w:b/>
          <w:sz w:val="28"/>
          <w:szCs w:val="28"/>
        </w:rPr>
      </w:pPr>
    </w:p>
    <w:p w:rsidR="00DD361D" w:rsidRPr="0017191C" w:rsidRDefault="00DD361D" w:rsidP="00DD361D">
      <w:pPr>
        <w:rPr>
          <w:b/>
          <w:sz w:val="28"/>
          <w:szCs w:val="28"/>
        </w:rPr>
      </w:pPr>
    </w:p>
    <w:p w:rsidR="00DD361D" w:rsidRPr="0017191C" w:rsidRDefault="00DD361D" w:rsidP="00DD361D">
      <w:pPr>
        <w:keepNext/>
        <w:spacing w:line="264" w:lineRule="auto"/>
        <w:rPr>
          <w:rFonts w:ascii="Franklin Gothic Book" w:hAnsi="Franklin Gothic Book"/>
          <w:b/>
          <w:color w:val="9688BE"/>
          <w:sz w:val="20"/>
          <w:szCs w:val="20"/>
        </w:rPr>
      </w:pPr>
    </w:p>
    <w:p w:rsidR="00DD361D" w:rsidRPr="0017191C" w:rsidRDefault="00DD361D" w:rsidP="00DD361D">
      <w:pPr>
        <w:spacing w:line="264" w:lineRule="auto"/>
      </w:pPr>
      <w:r w:rsidRPr="0017191C">
        <w:br w:type="page"/>
      </w:r>
    </w:p>
    <w:p w:rsidR="00DD361D" w:rsidRPr="0017191C" w:rsidRDefault="00DD361D" w:rsidP="00DD361D">
      <w:pPr>
        <w:spacing w:before="10000" w:after="80" w:line="264" w:lineRule="auto"/>
        <w:jc w:val="both"/>
        <w:rPr>
          <w:b/>
          <w:sz w:val="16"/>
        </w:rPr>
      </w:pPr>
    </w:p>
    <w:p w:rsidR="00DD361D" w:rsidRPr="0017191C" w:rsidRDefault="00DD361D" w:rsidP="00DD361D">
      <w:pPr>
        <w:spacing w:before="10000" w:after="80" w:line="264" w:lineRule="auto"/>
        <w:ind w:right="68"/>
        <w:jc w:val="both"/>
        <w:rPr>
          <w:rFonts w:ascii="Calibri" w:hAnsi="Calibri"/>
          <w:b/>
          <w:sz w:val="16"/>
        </w:rPr>
      </w:pPr>
      <w:r w:rsidRPr="0017191C">
        <w:rPr>
          <w:rFonts w:ascii="Calibri" w:hAnsi="Calibri"/>
          <w:b/>
          <w:sz w:val="16"/>
        </w:rPr>
        <w:t>Copyright</w:t>
      </w:r>
    </w:p>
    <w:p w:rsidR="00DD361D" w:rsidRPr="0017191C" w:rsidRDefault="00DD361D" w:rsidP="00DD361D">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DD361D" w:rsidRPr="0017191C" w:rsidRDefault="00DD361D" w:rsidP="00DD361D">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D361D" w:rsidRPr="0017191C" w:rsidRDefault="00DD361D" w:rsidP="00DD361D">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DD361D" w:rsidRPr="0017191C" w:rsidRDefault="00DD361D" w:rsidP="00DD361D">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Attribution-NonCommercial 3.0 Australia licence</w:t>
        </w:r>
      </w:hyperlink>
    </w:p>
    <w:p w:rsidR="00DD361D" w:rsidRPr="0017191C" w:rsidRDefault="00DD361D" w:rsidP="00DD361D">
      <w:pPr>
        <w:spacing w:after="80" w:line="264" w:lineRule="auto"/>
        <w:ind w:right="68"/>
        <w:jc w:val="both"/>
        <w:rPr>
          <w:rFonts w:ascii="Calibri" w:hAnsi="Calibri"/>
          <w:b/>
          <w:sz w:val="16"/>
        </w:rPr>
      </w:pPr>
      <w:r w:rsidRPr="0017191C">
        <w:rPr>
          <w:rFonts w:ascii="Calibri" w:hAnsi="Calibri"/>
          <w:b/>
          <w:sz w:val="16"/>
        </w:rPr>
        <w:t>Disclaimer</w:t>
      </w:r>
    </w:p>
    <w:p w:rsidR="00DD361D" w:rsidRPr="0017191C" w:rsidRDefault="00DD361D" w:rsidP="00DD361D">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D361D" w:rsidRPr="0017191C" w:rsidRDefault="00DD361D" w:rsidP="00DD361D">
      <w:pPr>
        <w:spacing w:line="264" w:lineRule="auto"/>
        <w:ind w:right="68"/>
        <w:jc w:val="both"/>
        <w:rPr>
          <w:rFonts w:ascii="Calibri" w:hAnsi="Calibri"/>
          <w:sz w:val="16"/>
        </w:rPr>
        <w:sectPr w:rsidR="00DD361D" w:rsidRPr="0017191C" w:rsidSect="00DD361D">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DD361D" w:rsidRDefault="00DD361D" w:rsidP="00DD361D">
      <w:pPr>
        <w:pStyle w:val="Heading1"/>
      </w:pPr>
      <w:r w:rsidRPr="00F60A46">
        <w:lastRenderedPageBreak/>
        <w:t>Sample a</w:t>
      </w:r>
      <w:r>
        <w:t>ssessment outline</w:t>
      </w:r>
    </w:p>
    <w:p w:rsidR="00DD361D" w:rsidRPr="00F60A46" w:rsidRDefault="00DD361D" w:rsidP="00DD361D">
      <w:pPr>
        <w:pStyle w:val="Heading1"/>
      </w:pPr>
      <w:r>
        <w:t>Children, Family and the Community</w:t>
      </w:r>
      <w:r w:rsidRPr="00F60A46">
        <w:t xml:space="preserve"> – ATAR Year 11</w:t>
      </w:r>
    </w:p>
    <w:p w:rsidR="00DD361D" w:rsidRDefault="00DD361D" w:rsidP="00DD361D">
      <w:pPr>
        <w:pStyle w:val="Heading2"/>
      </w:pPr>
      <w:r w:rsidRPr="00F60A46">
        <w:t>Unit 1 and Unit 2</w:t>
      </w:r>
    </w:p>
    <w:tbl>
      <w:tblPr>
        <w:tblW w:w="5380" w:type="pct"/>
        <w:tblInd w:w="-564" w:type="dxa"/>
        <w:tblBorders>
          <w:top w:val="single" w:sz="4" w:space="0" w:color="BFB7D8" w:themeColor="accent4" w:themeTint="99"/>
          <w:left w:val="single" w:sz="4" w:space="0" w:color="BFB7D8" w:themeColor="accent4" w:themeTint="99"/>
          <w:bottom w:val="single" w:sz="4" w:space="0" w:color="BFB7D8" w:themeColor="accent4" w:themeTint="99"/>
          <w:right w:val="single" w:sz="4" w:space="0" w:color="BFB7D8" w:themeColor="accent4" w:themeTint="99"/>
          <w:insideH w:val="single" w:sz="4" w:space="0" w:color="BFB7D8" w:themeColor="accent4" w:themeTint="99"/>
          <w:insideV w:val="single" w:sz="4" w:space="0" w:color="BFB7D8" w:themeColor="accent4" w:themeTint="99"/>
        </w:tblBorders>
        <w:tblLayout w:type="fixed"/>
        <w:tblCellMar>
          <w:left w:w="0" w:type="dxa"/>
          <w:right w:w="0" w:type="dxa"/>
        </w:tblCellMar>
        <w:tblLook w:val="04A0" w:firstRow="1" w:lastRow="0" w:firstColumn="1" w:lastColumn="0" w:noHBand="0" w:noVBand="1"/>
      </w:tblPr>
      <w:tblGrid>
        <w:gridCol w:w="1563"/>
        <w:gridCol w:w="1275"/>
        <w:gridCol w:w="1332"/>
        <w:gridCol w:w="1644"/>
        <w:gridCol w:w="9216"/>
      </w:tblGrid>
      <w:tr w:rsidR="00DD361D" w:rsidRPr="0017191C" w:rsidTr="00D75B05">
        <w:tc>
          <w:tcPr>
            <w:tcW w:w="520" w:type="pct"/>
            <w:tcBorders>
              <w:bottom w:val="single" w:sz="2" w:space="0" w:color="BFB7D8" w:themeColor="accent4" w:themeTint="99"/>
              <w:right w:val="single" w:sz="4" w:space="0" w:color="FFFFFF" w:themeColor="background1"/>
            </w:tcBorders>
            <w:shd w:val="clear" w:color="auto" w:fill="9688BE" w:themeFill="accent4"/>
            <w:vAlign w:val="center"/>
            <w:hideMark/>
          </w:tcPr>
          <w:p w:rsidR="00DD361D" w:rsidRPr="0017191C" w:rsidRDefault="00DD361D" w:rsidP="00DD361D">
            <w:pPr>
              <w:spacing w:line="228" w:lineRule="auto"/>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p>
        </w:tc>
        <w:tc>
          <w:tcPr>
            <w:tcW w:w="424" w:type="pct"/>
            <w:tcBorders>
              <w:left w:val="single" w:sz="4" w:space="0" w:color="FFFFFF" w:themeColor="background1"/>
              <w:bottom w:val="single" w:sz="2" w:space="0" w:color="BFB7D8" w:themeColor="accent4" w:themeTint="99"/>
              <w:right w:val="single" w:sz="4" w:space="0" w:color="FFFFFF" w:themeColor="background1"/>
            </w:tcBorders>
            <w:shd w:val="clear" w:color="auto" w:fill="9688BE" w:themeFill="accent4"/>
            <w:vAlign w:val="center"/>
          </w:tcPr>
          <w:p w:rsidR="00DD361D" w:rsidRPr="0017191C" w:rsidRDefault="00DD361D" w:rsidP="00DD361D">
            <w:pPr>
              <w:spacing w:line="228" w:lineRule="auto"/>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t>
            </w:r>
            <w:r>
              <w:rPr>
                <w:rFonts w:asciiTheme="minorHAnsi" w:hAnsiTheme="minorHAnsi" w:cs="Arial"/>
                <w:b/>
                <w:bCs/>
                <w:color w:val="FFFFFF" w:themeColor="background1"/>
                <w:sz w:val="20"/>
                <w:szCs w:val="20"/>
                <w:lang w:val="en-US"/>
              </w:rPr>
              <w:br/>
              <w:t xml:space="preserve">weighting </w:t>
            </w:r>
          </w:p>
        </w:tc>
        <w:tc>
          <w:tcPr>
            <w:tcW w:w="443" w:type="pct"/>
            <w:tcBorders>
              <w:left w:val="single" w:sz="4" w:space="0" w:color="FFFFFF" w:themeColor="background1"/>
              <w:bottom w:val="single" w:sz="2" w:space="0" w:color="BFB7D8" w:themeColor="accent4" w:themeTint="99"/>
              <w:right w:val="single" w:sz="4" w:space="0" w:color="FFFFFF" w:themeColor="background1"/>
            </w:tcBorders>
            <w:shd w:val="clear" w:color="auto" w:fill="9688BE" w:themeFill="accent4"/>
            <w:vAlign w:val="center"/>
          </w:tcPr>
          <w:p w:rsidR="00DD361D" w:rsidRPr="0017191C" w:rsidRDefault="00DD361D" w:rsidP="00DD361D">
            <w:pPr>
              <w:spacing w:line="228" w:lineRule="auto"/>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DD361D" w:rsidRPr="0017191C" w:rsidRDefault="00DD361D" w:rsidP="00DD361D">
            <w:pPr>
              <w:spacing w:line="228" w:lineRule="auto"/>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DD361D" w:rsidRPr="0017191C" w:rsidRDefault="00DD361D" w:rsidP="00DD361D">
            <w:pPr>
              <w:spacing w:line="228" w:lineRule="auto"/>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47" w:type="pct"/>
            <w:tcBorders>
              <w:left w:val="single" w:sz="4" w:space="0" w:color="FFFFFF" w:themeColor="background1"/>
              <w:bottom w:val="single" w:sz="2" w:space="0" w:color="BFB7D8" w:themeColor="accent4" w:themeTint="99"/>
              <w:right w:val="single" w:sz="4" w:space="0" w:color="FFFFFF" w:themeColor="background1"/>
            </w:tcBorders>
            <w:shd w:val="clear" w:color="auto" w:fill="9688BE" w:themeFill="accent4"/>
            <w:vAlign w:val="center"/>
          </w:tcPr>
          <w:p w:rsidR="00DD361D" w:rsidRPr="0017191C" w:rsidRDefault="00DD361D" w:rsidP="00DD361D">
            <w:pPr>
              <w:spacing w:line="228"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D</w:t>
            </w:r>
            <w:r w:rsidRPr="0017191C">
              <w:rPr>
                <w:rFonts w:asciiTheme="minorHAnsi" w:hAnsiTheme="minorHAnsi" w:cs="Arial"/>
                <w:b/>
                <w:bCs/>
                <w:color w:val="FFFFFF" w:themeColor="background1"/>
                <w:sz w:val="20"/>
                <w:szCs w:val="20"/>
                <w:lang w:val="en-US"/>
              </w:rPr>
              <w:t>ue date</w:t>
            </w:r>
          </w:p>
        </w:tc>
        <w:tc>
          <w:tcPr>
            <w:tcW w:w="3066" w:type="pct"/>
            <w:tcBorders>
              <w:left w:val="single" w:sz="4" w:space="0" w:color="FFFFFF" w:themeColor="background1"/>
              <w:bottom w:val="single" w:sz="2" w:space="0" w:color="BFB7D8" w:themeColor="accent4" w:themeTint="99"/>
            </w:tcBorders>
            <w:shd w:val="clear" w:color="auto" w:fill="9688BE" w:themeFill="accent4"/>
            <w:vAlign w:val="center"/>
            <w:hideMark/>
          </w:tcPr>
          <w:p w:rsidR="00DD361D" w:rsidRPr="0017191C" w:rsidRDefault="00DD361D" w:rsidP="00DD361D">
            <w:pPr>
              <w:spacing w:line="228" w:lineRule="auto"/>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tabs>
                <w:tab w:val="left" w:pos="1440"/>
                <w:tab w:val="left" w:pos="4140"/>
                <w:tab w:val="left" w:pos="4800"/>
              </w:tabs>
              <w:ind w:left="3"/>
              <w:jc w:val="center"/>
              <w:rPr>
                <w:rFonts w:asciiTheme="minorHAnsi" w:hAnsiTheme="minorHAnsi" w:cs="Arial"/>
                <w:sz w:val="20"/>
                <w:szCs w:val="20"/>
              </w:rPr>
            </w:pPr>
            <w:r w:rsidRPr="00DD361D">
              <w:rPr>
                <w:rFonts w:asciiTheme="minorHAnsi" w:hAnsiTheme="minorHAnsi" w:cs="Arial"/>
                <w:sz w:val="20"/>
                <w:szCs w:val="20"/>
              </w:rPr>
              <w:t>Investigation</w:t>
            </w:r>
          </w:p>
        </w:tc>
        <w:tc>
          <w:tcPr>
            <w:tcW w:w="424"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tabs>
                <w:tab w:val="left" w:pos="4140"/>
                <w:tab w:val="left" w:pos="4800"/>
              </w:tabs>
              <w:ind w:left="93" w:right="71"/>
              <w:jc w:val="center"/>
              <w:rPr>
                <w:rFonts w:asciiTheme="minorHAnsi" w:hAnsiTheme="minorHAnsi" w:cs="Arial"/>
                <w:bCs/>
                <w:sz w:val="20"/>
                <w:szCs w:val="20"/>
                <w:lang w:eastAsia="en-US"/>
              </w:rPr>
            </w:pPr>
            <w:r w:rsidRPr="00DD361D">
              <w:rPr>
                <w:rFonts w:asciiTheme="minorHAnsi" w:hAnsiTheme="minorHAnsi" w:cs="Arial"/>
                <w:bCs/>
                <w:sz w:val="20"/>
                <w:szCs w:val="20"/>
                <w:lang w:eastAsia="en-US"/>
              </w:rPr>
              <w:t>20%</w:t>
            </w: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1</w:t>
            </w:r>
          </w:p>
          <w:p w:rsidR="00792E1A" w:rsidRPr="00DD361D" w:rsidRDefault="00560241"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Week 8</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tabs>
                <w:tab w:val="left" w:pos="4140"/>
                <w:tab w:val="left" w:pos="4800"/>
              </w:tabs>
              <w:ind w:left="93" w:right="71"/>
              <w:rPr>
                <w:rFonts w:asciiTheme="minorHAnsi" w:hAnsiTheme="minorHAnsi" w:cs="Arial"/>
                <w:b/>
                <w:sz w:val="20"/>
                <w:szCs w:val="20"/>
              </w:rPr>
            </w:pPr>
            <w:r w:rsidRPr="00DD361D">
              <w:rPr>
                <w:rFonts w:asciiTheme="minorHAnsi" w:hAnsiTheme="minorHAnsi" w:cs="Arial"/>
                <w:b/>
                <w:sz w:val="20"/>
                <w:szCs w:val="20"/>
              </w:rPr>
              <w:t xml:space="preserve">Task 2: </w:t>
            </w:r>
            <w:r w:rsidRPr="00DD361D">
              <w:rPr>
                <w:rFonts w:asciiTheme="minorHAnsi" w:hAnsiTheme="minorHAnsi" w:cs="Arial"/>
                <w:sz w:val="20"/>
                <w:szCs w:val="20"/>
              </w:rPr>
              <w:t xml:space="preserve">Family Law Act </w:t>
            </w:r>
            <w:r w:rsidRPr="00DD361D">
              <w:rPr>
                <w:rFonts w:asciiTheme="minorHAnsi" w:hAnsiTheme="minorHAnsi" w:cs="Arial"/>
                <w:b/>
                <w:sz w:val="20"/>
                <w:szCs w:val="20"/>
              </w:rPr>
              <w:t xml:space="preserve">– </w:t>
            </w:r>
            <w:r w:rsidRPr="00DD361D">
              <w:rPr>
                <w:rFonts w:asciiTheme="minorHAnsi" w:hAnsiTheme="minorHAnsi" w:cs="Arial"/>
                <w:bCs/>
                <w:sz w:val="20"/>
                <w:szCs w:val="20"/>
                <w:lang w:val="en-US" w:eastAsia="en-US"/>
              </w:rPr>
              <w:t xml:space="preserve">Investigate the </w:t>
            </w:r>
            <w:r w:rsidRPr="00C32428">
              <w:rPr>
                <w:rFonts w:asciiTheme="minorHAnsi" w:hAnsiTheme="minorHAnsi" w:cs="Arial"/>
                <w:bCs/>
                <w:i/>
                <w:sz w:val="20"/>
                <w:szCs w:val="20"/>
                <w:lang w:val="en-US" w:eastAsia="en-US"/>
              </w:rPr>
              <w:t>Family Law Act 1975</w:t>
            </w:r>
            <w:r w:rsidRPr="00DD361D">
              <w:rPr>
                <w:rFonts w:asciiTheme="minorHAnsi" w:hAnsiTheme="minorHAnsi" w:cs="Arial"/>
                <w:bCs/>
                <w:sz w:val="20"/>
                <w:szCs w:val="20"/>
                <w:lang w:val="en-US" w:eastAsia="en-US"/>
              </w:rPr>
              <w:t xml:space="preserve"> and its implementation in Western Australia. A case study related to the welfare and wellbeing of children provides the basis of this investigation and the validation essay at the conclusion of the task</w:t>
            </w:r>
            <w:r w:rsidR="00977EF6">
              <w:rPr>
                <w:rFonts w:asciiTheme="minorHAnsi" w:hAnsiTheme="minorHAnsi" w:cs="Arial"/>
                <w:bCs/>
                <w:sz w:val="20"/>
                <w:szCs w:val="20"/>
                <w:lang w:val="en-US" w:eastAsia="en-US"/>
              </w:rPr>
              <w:t>.</w:t>
            </w:r>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rPr>
                <w:rFonts w:asciiTheme="minorHAnsi" w:hAnsiTheme="minorHAnsi" w:cs="Arial"/>
                <w:sz w:val="20"/>
                <w:szCs w:val="20"/>
                <w:lang w:val="en-US" w:eastAsia="en-US"/>
              </w:rPr>
            </w:pPr>
          </w:p>
        </w:tc>
        <w:tc>
          <w:tcPr>
            <w:tcW w:w="424"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93" w:right="71"/>
              <w:rPr>
                <w:rFonts w:asciiTheme="minorHAnsi" w:hAnsiTheme="minorHAnsi" w:cs="Arial"/>
                <w:b w:val="0"/>
                <w:sz w:val="20"/>
                <w:szCs w:val="20"/>
                <w:lang w:val="en-AU"/>
              </w:rPr>
            </w:pP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2</w:t>
            </w:r>
          </w:p>
          <w:p w:rsidR="00792E1A" w:rsidRPr="00DD361D" w:rsidRDefault="00560241" w:rsidP="00DD361D">
            <w:pPr>
              <w:pStyle w:val="Title"/>
              <w:ind w:left="86"/>
              <w:jc w:val="left"/>
              <w:rPr>
                <w:rFonts w:asciiTheme="minorHAnsi" w:hAnsiTheme="minorHAnsi" w:cs="Arial"/>
                <w:b w:val="0"/>
                <w:bCs w:val="0"/>
                <w:sz w:val="20"/>
                <w:szCs w:val="20"/>
              </w:rPr>
            </w:pPr>
            <w:r w:rsidRPr="00DD361D">
              <w:rPr>
                <w:rFonts w:asciiTheme="minorHAnsi" w:hAnsiTheme="minorHAnsi" w:cs="Arial"/>
                <w:b w:val="0"/>
                <w:bCs w:val="0"/>
                <w:sz w:val="20"/>
                <w:szCs w:val="20"/>
                <w:lang w:val="en-AU"/>
              </w:rPr>
              <w:t>Week 2</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93" w:right="71"/>
              <w:jc w:val="left"/>
              <w:rPr>
                <w:rFonts w:asciiTheme="minorHAnsi" w:hAnsiTheme="minorHAnsi" w:cs="Arial"/>
                <w:b w:val="0"/>
                <w:i/>
                <w:sz w:val="20"/>
                <w:szCs w:val="20"/>
                <w:lang w:val="it-IT"/>
              </w:rPr>
            </w:pPr>
            <w:r w:rsidRPr="00DD361D">
              <w:rPr>
                <w:rFonts w:asciiTheme="minorHAnsi" w:hAnsiTheme="minorHAnsi" w:cs="Arial"/>
                <w:bCs w:val="0"/>
                <w:sz w:val="20"/>
                <w:szCs w:val="20"/>
                <w:lang w:val="it-IT" w:eastAsia="en-AU"/>
              </w:rPr>
              <w:t>Task 5:</w:t>
            </w:r>
            <w:r w:rsidRPr="00DD361D">
              <w:rPr>
                <w:rFonts w:asciiTheme="minorHAnsi" w:hAnsiTheme="minorHAnsi" w:cs="Arial"/>
                <w:sz w:val="20"/>
                <w:szCs w:val="20"/>
              </w:rPr>
              <w:t xml:space="preserve"> </w:t>
            </w:r>
            <w:r w:rsidRPr="00DD361D">
              <w:rPr>
                <w:rFonts w:asciiTheme="minorHAnsi" w:hAnsiTheme="minorHAnsi" w:cs="Arial"/>
                <w:b w:val="0"/>
                <w:sz w:val="20"/>
                <w:szCs w:val="20"/>
              </w:rPr>
              <w:t xml:space="preserve">Growth and development </w:t>
            </w:r>
            <w:r w:rsidR="00417E24" w:rsidRPr="00DD361D">
              <w:rPr>
                <w:rFonts w:asciiTheme="minorHAnsi" w:hAnsiTheme="minorHAnsi" w:cs="Arial"/>
                <w:b w:val="0"/>
                <w:sz w:val="20"/>
                <w:szCs w:val="20"/>
              </w:rPr>
              <w:t>–</w:t>
            </w:r>
            <w:r w:rsidRPr="00DD361D">
              <w:rPr>
                <w:rFonts w:asciiTheme="minorHAnsi" w:hAnsiTheme="minorHAnsi" w:cs="Arial"/>
                <w:b w:val="0"/>
                <w:sz w:val="20"/>
                <w:szCs w:val="20"/>
              </w:rPr>
              <w:t xml:space="preserve"> </w:t>
            </w:r>
            <w:r w:rsidR="00417E24" w:rsidRPr="00DD361D">
              <w:rPr>
                <w:rFonts w:asciiTheme="minorHAnsi" w:hAnsiTheme="minorHAnsi" w:cs="Arial"/>
                <w:b w:val="0"/>
                <w:sz w:val="20"/>
                <w:szCs w:val="20"/>
              </w:rPr>
              <w:t xml:space="preserve">Investigate Bronfenbrenner’s ecological systems theory and Vygotsky’s theory of sociocultural development and </w:t>
            </w:r>
            <w:r w:rsidR="008D2044" w:rsidRPr="00DD361D">
              <w:rPr>
                <w:rFonts w:asciiTheme="minorHAnsi" w:hAnsiTheme="minorHAnsi" w:cs="Arial"/>
                <w:b w:val="0"/>
                <w:sz w:val="20"/>
                <w:szCs w:val="20"/>
              </w:rPr>
              <w:t>impacts</w:t>
            </w:r>
            <w:r w:rsidR="00417E24" w:rsidRPr="00DD361D">
              <w:rPr>
                <w:rFonts w:asciiTheme="minorHAnsi" w:hAnsiTheme="minorHAnsi" w:cs="Arial"/>
                <w:b w:val="0"/>
                <w:sz w:val="20"/>
                <w:szCs w:val="20"/>
              </w:rPr>
              <w:t xml:space="preserve"> on </w:t>
            </w:r>
            <w:r w:rsidR="008D2044" w:rsidRPr="00DD361D">
              <w:rPr>
                <w:rFonts w:asciiTheme="minorHAnsi" w:hAnsiTheme="minorHAnsi" w:cs="Arial"/>
                <w:b w:val="0"/>
                <w:sz w:val="20"/>
                <w:szCs w:val="20"/>
              </w:rPr>
              <w:t xml:space="preserve">individual </w:t>
            </w:r>
            <w:r w:rsidR="00417E24" w:rsidRPr="00DD361D">
              <w:rPr>
                <w:rFonts w:asciiTheme="minorHAnsi" w:hAnsiTheme="minorHAnsi" w:cs="Arial"/>
                <w:b w:val="0"/>
                <w:sz w:val="20"/>
                <w:szCs w:val="20"/>
              </w:rPr>
              <w:t>growth and development. Compare, evaluate and analyse information from primary and secondary sources related to the</w:t>
            </w:r>
            <w:r w:rsidR="008D2044" w:rsidRPr="00DD361D">
              <w:rPr>
                <w:rFonts w:asciiTheme="minorHAnsi" w:hAnsiTheme="minorHAnsi" w:cs="Arial"/>
                <w:b w:val="0"/>
                <w:sz w:val="20"/>
                <w:szCs w:val="20"/>
              </w:rPr>
              <w:t>se</w:t>
            </w:r>
            <w:r w:rsidR="00977EF6">
              <w:rPr>
                <w:rFonts w:asciiTheme="minorHAnsi" w:hAnsiTheme="minorHAnsi" w:cs="Arial"/>
                <w:b w:val="0"/>
                <w:sz w:val="20"/>
                <w:szCs w:val="20"/>
              </w:rPr>
              <w:t xml:space="preserve"> theories.</w:t>
            </w:r>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tabs>
                <w:tab w:val="left" w:pos="1440"/>
                <w:tab w:val="left" w:pos="4140"/>
                <w:tab w:val="left" w:pos="4800"/>
              </w:tabs>
              <w:ind w:left="3"/>
              <w:jc w:val="center"/>
              <w:rPr>
                <w:rFonts w:asciiTheme="minorHAnsi" w:hAnsiTheme="minorHAnsi" w:cs="Arial"/>
                <w:sz w:val="20"/>
                <w:szCs w:val="20"/>
              </w:rPr>
            </w:pPr>
            <w:r w:rsidRPr="00DD361D">
              <w:rPr>
                <w:rFonts w:asciiTheme="minorHAnsi" w:hAnsiTheme="minorHAnsi" w:cs="Arial"/>
                <w:sz w:val="20"/>
                <w:szCs w:val="20"/>
              </w:rPr>
              <w:t>Production</w:t>
            </w:r>
          </w:p>
        </w:tc>
        <w:tc>
          <w:tcPr>
            <w:tcW w:w="424"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93" w:right="71"/>
              <w:rPr>
                <w:rFonts w:asciiTheme="minorHAnsi" w:hAnsiTheme="minorHAnsi" w:cs="Arial"/>
                <w:b w:val="0"/>
                <w:sz w:val="20"/>
                <w:szCs w:val="20"/>
                <w:lang w:val="en-AU"/>
              </w:rPr>
            </w:pPr>
            <w:r w:rsidRPr="00DD361D">
              <w:rPr>
                <w:rFonts w:asciiTheme="minorHAnsi" w:hAnsiTheme="minorHAnsi" w:cs="Arial"/>
                <w:b w:val="0"/>
                <w:bCs w:val="0"/>
                <w:sz w:val="20"/>
                <w:szCs w:val="20"/>
              </w:rPr>
              <w:t>15</w:t>
            </w:r>
            <w:r w:rsidRPr="00DD361D">
              <w:rPr>
                <w:rFonts w:asciiTheme="minorHAnsi" w:hAnsiTheme="minorHAnsi" w:cs="Arial"/>
                <w:b w:val="0"/>
                <w:sz w:val="20"/>
                <w:szCs w:val="20"/>
              </w:rPr>
              <w:t>%</w:t>
            </w: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1</w:t>
            </w:r>
          </w:p>
          <w:p w:rsidR="00792E1A" w:rsidRPr="00DD361D" w:rsidRDefault="00560241" w:rsidP="00DD361D">
            <w:pPr>
              <w:pStyle w:val="Title"/>
              <w:ind w:left="86" w:right="71"/>
              <w:jc w:val="left"/>
              <w:rPr>
                <w:rFonts w:asciiTheme="minorHAnsi" w:hAnsiTheme="minorHAnsi" w:cs="Arial"/>
                <w:b w:val="0"/>
                <w:sz w:val="20"/>
                <w:szCs w:val="20"/>
                <w:lang w:val="en-AU"/>
              </w:rPr>
            </w:pPr>
            <w:r w:rsidRPr="00DD361D">
              <w:rPr>
                <w:rFonts w:asciiTheme="minorHAnsi" w:hAnsiTheme="minorHAnsi" w:cs="Arial"/>
                <w:b w:val="0"/>
                <w:bCs w:val="0"/>
                <w:sz w:val="20"/>
                <w:szCs w:val="20"/>
                <w:lang w:val="en-AU"/>
              </w:rPr>
              <w:t>Week 12</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93" w:right="71"/>
              <w:jc w:val="left"/>
              <w:rPr>
                <w:rFonts w:asciiTheme="minorHAnsi" w:hAnsiTheme="minorHAnsi" w:cs="Arial"/>
                <w:b w:val="0"/>
                <w:sz w:val="20"/>
                <w:szCs w:val="20"/>
                <w:lang w:val="en-AU" w:eastAsia="en-AU"/>
              </w:rPr>
            </w:pPr>
            <w:proofErr w:type="gramStart"/>
            <w:r w:rsidRPr="00DD361D">
              <w:rPr>
                <w:rFonts w:asciiTheme="minorHAnsi" w:hAnsiTheme="minorHAnsi" w:cs="Arial"/>
                <w:sz w:val="20"/>
                <w:szCs w:val="20"/>
              </w:rPr>
              <w:t>Task 3:</w:t>
            </w:r>
            <w:r w:rsidRPr="00DD361D">
              <w:rPr>
                <w:rFonts w:asciiTheme="minorHAnsi" w:hAnsiTheme="minorHAnsi" w:cs="Arial"/>
                <w:b w:val="0"/>
                <w:sz w:val="20"/>
                <w:szCs w:val="20"/>
              </w:rPr>
              <w:t xml:space="preserve"> Cultural activity</w:t>
            </w:r>
            <w:r w:rsidRPr="00DD361D">
              <w:rPr>
                <w:rFonts w:asciiTheme="minorHAnsi" w:hAnsiTheme="minorHAnsi" w:cs="Arial"/>
                <w:sz w:val="20"/>
                <w:szCs w:val="20"/>
              </w:rPr>
              <w:t xml:space="preserve"> </w:t>
            </w:r>
            <w:r w:rsidR="00417E24" w:rsidRPr="00DD361D">
              <w:rPr>
                <w:rFonts w:asciiTheme="minorHAnsi" w:hAnsiTheme="minorHAnsi" w:cs="Arial"/>
                <w:sz w:val="20"/>
                <w:szCs w:val="20"/>
              </w:rPr>
              <w:t>–</w:t>
            </w:r>
            <w:r w:rsidR="00417E24" w:rsidRPr="00DD361D">
              <w:rPr>
                <w:rFonts w:asciiTheme="minorHAnsi" w:hAnsiTheme="minorHAnsi" w:cs="Arial"/>
                <w:b w:val="0"/>
                <w:sz w:val="20"/>
                <w:szCs w:val="20"/>
              </w:rPr>
              <w:t xml:space="preserve"> Plan and produce a cultural activity considering functional, social, cultural and economic features to inform and address a social issue or trend in the community</w:t>
            </w:r>
            <w:r w:rsidR="00977EF6">
              <w:rPr>
                <w:rFonts w:asciiTheme="minorHAnsi" w:hAnsiTheme="minorHAnsi" w:cs="Arial"/>
                <w:b w:val="0"/>
                <w:sz w:val="20"/>
                <w:szCs w:val="20"/>
              </w:rPr>
              <w:t>.</w:t>
            </w:r>
            <w:proofErr w:type="gramEnd"/>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rPr>
                <w:rFonts w:asciiTheme="minorHAnsi" w:hAnsiTheme="minorHAnsi" w:cs="Arial"/>
                <w:b/>
                <w:sz w:val="20"/>
                <w:szCs w:val="20"/>
              </w:rPr>
            </w:pPr>
          </w:p>
        </w:tc>
        <w:tc>
          <w:tcPr>
            <w:tcW w:w="424"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93" w:right="71"/>
              <w:rPr>
                <w:rFonts w:asciiTheme="minorHAnsi" w:hAnsiTheme="minorHAnsi" w:cs="Arial"/>
                <w:b w:val="0"/>
                <w:sz w:val="20"/>
                <w:szCs w:val="20"/>
              </w:rPr>
            </w:pP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5</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2</w:t>
            </w:r>
          </w:p>
          <w:p w:rsidR="00792E1A" w:rsidRPr="00DD361D" w:rsidRDefault="00560241" w:rsidP="00DD361D">
            <w:pPr>
              <w:pStyle w:val="Title"/>
              <w:ind w:left="86" w:right="71"/>
              <w:jc w:val="left"/>
              <w:rPr>
                <w:rFonts w:asciiTheme="minorHAnsi" w:hAnsiTheme="minorHAnsi" w:cs="Arial"/>
                <w:b w:val="0"/>
                <w:sz w:val="20"/>
                <w:szCs w:val="20"/>
              </w:rPr>
            </w:pPr>
            <w:r w:rsidRPr="00DD361D">
              <w:rPr>
                <w:rFonts w:asciiTheme="minorHAnsi" w:hAnsiTheme="minorHAnsi" w:cs="Arial"/>
                <w:b w:val="0"/>
                <w:sz w:val="20"/>
                <w:szCs w:val="20"/>
              </w:rPr>
              <w:t>Week 9</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560241" w:rsidP="00DD361D">
            <w:pPr>
              <w:pStyle w:val="Title"/>
              <w:ind w:left="93" w:right="71"/>
              <w:jc w:val="left"/>
              <w:rPr>
                <w:rFonts w:asciiTheme="minorHAnsi" w:hAnsiTheme="minorHAnsi" w:cs="Arial"/>
                <w:b w:val="0"/>
                <w:sz w:val="20"/>
                <w:szCs w:val="20"/>
              </w:rPr>
            </w:pPr>
            <w:proofErr w:type="gramStart"/>
            <w:r w:rsidRPr="00DD361D">
              <w:rPr>
                <w:rFonts w:asciiTheme="minorHAnsi" w:hAnsiTheme="minorHAnsi" w:cs="Arial"/>
                <w:sz w:val="20"/>
                <w:szCs w:val="20"/>
              </w:rPr>
              <w:t>Task 7</w:t>
            </w:r>
            <w:r w:rsidR="00DD361D">
              <w:rPr>
                <w:rFonts w:asciiTheme="minorHAnsi" w:hAnsiTheme="minorHAnsi" w:cs="Arial"/>
                <w:sz w:val="20"/>
                <w:szCs w:val="20"/>
              </w:rPr>
              <w:t>:</w:t>
            </w:r>
            <w:r w:rsidR="00792E1A" w:rsidRPr="00DD361D">
              <w:rPr>
                <w:rFonts w:asciiTheme="minorHAnsi" w:hAnsiTheme="minorHAnsi" w:cs="Arial"/>
                <w:sz w:val="20"/>
                <w:szCs w:val="20"/>
              </w:rPr>
              <w:t xml:space="preserve"> </w:t>
            </w:r>
            <w:r w:rsidR="00792E1A" w:rsidRPr="00DD361D">
              <w:rPr>
                <w:rFonts w:asciiTheme="minorHAnsi" w:hAnsiTheme="minorHAnsi" w:cs="Arial"/>
                <w:b w:val="0"/>
                <w:sz w:val="20"/>
                <w:szCs w:val="20"/>
              </w:rPr>
              <w:t xml:space="preserve">Social </w:t>
            </w:r>
            <w:r w:rsidR="008D2044" w:rsidRPr="00DD361D">
              <w:rPr>
                <w:rFonts w:asciiTheme="minorHAnsi" w:hAnsiTheme="minorHAnsi" w:cs="Arial"/>
                <w:b w:val="0"/>
                <w:sz w:val="20"/>
                <w:szCs w:val="20"/>
              </w:rPr>
              <w:t>cohesion –</w:t>
            </w:r>
            <w:r w:rsidR="00EC5449" w:rsidRPr="00DD361D">
              <w:rPr>
                <w:rFonts w:asciiTheme="minorHAnsi" w:hAnsiTheme="minorHAnsi" w:cs="Arial"/>
                <w:b w:val="0"/>
                <w:sz w:val="20"/>
                <w:szCs w:val="20"/>
              </w:rPr>
              <w:t xml:space="preserve"> Plan and produce a product,</w:t>
            </w:r>
            <w:r w:rsidR="008D2044" w:rsidRPr="00DD361D">
              <w:rPr>
                <w:rFonts w:asciiTheme="minorHAnsi" w:hAnsiTheme="minorHAnsi" w:cs="Arial"/>
                <w:b w:val="0"/>
                <w:sz w:val="20"/>
                <w:szCs w:val="20"/>
              </w:rPr>
              <w:t xml:space="preserve"> </w:t>
            </w:r>
            <w:r w:rsidR="00792E1A" w:rsidRPr="00DD361D">
              <w:rPr>
                <w:rFonts w:asciiTheme="minorHAnsi" w:hAnsiTheme="minorHAnsi" w:cs="Arial"/>
                <w:b w:val="0"/>
                <w:sz w:val="20"/>
                <w:szCs w:val="20"/>
              </w:rPr>
              <w:t>service or system to support social cohesion in the community</w:t>
            </w:r>
            <w:r w:rsidR="008D2044" w:rsidRPr="00DD361D">
              <w:rPr>
                <w:rFonts w:asciiTheme="minorHAnsi" w:hAnsiTheme="minorHAnsi" w:cs="Arial"/>
                <w:b w:val="0"/>
                <w:sz w:val="20"/>
                <w:szCs w:val="20"/>
              </w:rPr>
              <w:t>.</w:t>
            </w:r>
            <w:proofErr w:type="gramEnd"/>
            <w:r w:rsidR="008D2044" w:rsidRPr="00DD361D">
              <w:rPr>
                <w:rFonts w:asciiTheme="minorHAnsi" w:hAnsiTheme="minorHAnsi" w:cs="Arial"/>
                <w:b w:val="0"/>
                <w:sz w:val="20"/>
                <w:szCs w:val="20"/>
              </w:rPr>
              <w:t xml:space="preserve"> The production of a ‘story sack’ demonstrates links between the story and strategies for developing compassionate attitudes and actions</w:t>
            </w:r>
            <w:r w:rsidR="00977EF6">
              <w:rPr>
                <w:rFonts w:asciiTheme="minorHAnsi" w:hAnsiTheme="minorHAnsi" w:cs="Arial"/>
                <w:b w:val="0"/>
                <w:sz w:val="20"/>
                <w:szCs w:val="20"/>
              </w:rPr>
              <w:t>.</w:t>
            </w:r>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ind w:left="3"/>
              <w:jc w:val="center"/>
              <w:rPr>
                <w:rFonts w:asciiTheme="minorHAnsi" w:hAnsiTheme="minorHAnsi" w:cs="Arial"/>
                <w:sz w:val="20"/>
                <w:szCs w:val="20"/>
              </w:rPr>
            </w:pPr>
            <w:r w:rsidRPr="00DD361D">
              <w:rPr>
                <w:rFonts w:asciiTheme="minorHAnsi" w:hAnsiTheme="minorHAnsi" w:cs="Arial"/>
                <w:sz w:val="20"/>
                <w:szCs w:val="20"/>
              </w:rPr>
              <w:t>Response</w:t>
            </w:r>
          </w:p>
        </w:tc>
        <w:tc>
          <w:tcPr>
            <w:tcW w:w="424"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ind w:left="93" w:right="71"/>
              <w:jc w:val="center"/>
              <w:rPr>
                <w:rFonts w:asciiTheme="minorHAnsi" w:hAnsiTheme="minorHAnsi" w:cs="Arial"/>
                <w:sz w:val="20"/>
                <w:szCs w:val="20"/>
              </w:rPr>
            </w:pPr>
            <w:r w:rsidRPr="00DD361D">
              <w:rPr>
                <w:rFonts w:asciiTheme="minorHAnsi" w:hAnsiTheme="minorHAnsi" w:cs="Arial"/>
                <w:bCs/>
                <w:sz w:val="20"/>
                <w:szCs w:val="20"/>
                <w:lang w:eastAsia="en-US"/>
              </w:rPr>
              <w:t>25%</w:t>
            </w: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5</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1</w:t>
            </w:r>
          </w:p>
          <w:p w:rsidR="00792E1A" w:rsidRPr="00DD361D" w:rsidRDefault="00792E1A" w:rsidP="00DD361D">
            <w:pPr>
              <w:ind w:left="86" w:right="71"/>
              <w:rPr>
                <w:rFonts w:asciiTheme="minorHAnsi" w:hAnsiTheme="minorHAnsi" w:cs="Arial"/>
                <w:sz w:val="20"/>
                <w:szCs w:val="20"/>
              </w:rPr>
            </w:pPr>
            <w:r w:rsidRPr="00DD361D">
              <w:rPr>
                <w:rFonts w:asciiTheme="minorHAnsi" w:hAnsiTheme="minorHAnsi" w:cs="Arial"/>
                <w:bCs/>
                <w:sz w:val="20"/>
                <w:szCs w:val="20"/>
              </w:rPr>
              <w:t>Week 3</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75B05">
            <w:pPr>
              <w:ind w:left="93" w:right="71"/>
              <w:rPr>
                <w:rFonts w:asciiTheme="minorHAnsi" w:hAnsiTheme="minorHAnsi" w:cs="Arial"/>
                <w:b/>
                <w:sz w:val="20"/>
                <w:szCs w:val="20"/>
              </w:rPr>
            </w:pPr>
            <w:r w:rsidRPr="00DD361D">
              <w:rPr>
                <w:rFonts w:asciiTheme="minorHAnsi" w:hAnsiTheme="minorHAnsi" w:cs="Arial"/>
                <w:b/>
                <w:sz w:val="20"/>
                <w:szCs w:val="20"/>
              </w:rPr>
              <w:t>Task 1:</w:t>
            </w:r>
            <w:r w:rsidR="00E17DFE" w:rsidRPr="00DD361D">
              <w:rPr>
                <w:rFonts w:asciiTheme="minorHAnsi" w:hAnsiTheme="minorHAnsi" w:cs="Arial"/>
                <w:sz w:val="20"/>
                <w:szCs w:val="20"/>
              </w:rPr>
              <w:t xml:space="preserve"> </w:t>
            </w:r>
            <w:r w:rsidRPr="00DD361D">
              <w:rPr>
                <w:rFonts w:asciiTheme="minorHAnsi" w:hAnsiTheme="minorHAnsi" w:cs="Arial"/>
                <w:sz w:val="20"/>
                <w:szCs w:val="20"/>
              </w:rPr>
              <w:t xml:space="preserve">Families </w:t>
            </w:r>
            <w:r w:rsidR="00EC5449" w:rsidRPr="00DD361D">
              <w:rPr>
                <w:rFonts w:asciiTheme="minorHAnsi" w:hAnsiTheme="minorHAnsi" w:cs="Arial"/>
                <w:sz w:val="20"/>
                <w:szCs w:val="20"/>
              </w:rPr>
              <w:t xml:space="preserve">and the community </w:t>
            </w:r>
            <w:r w:rsidR="00E17DFE" w:rsidRPr="00DD361D">
              <w:rPr>
                <w:rFonts w:asciiTheme="minorHAnsi" w:hAnsiTheme="minorHAnsi" w:cs="Arial"/>
                <w:sz w:val="20"/>
                <w:szCs w:val="20"/>
              </w:rPr>
              <w:t>–</w:t>
            </w:r>
            <w:r w:rsidR="00E17DFE" w:rsidRPr="00DD361D">
              <w:rPr>
                <w:rFonts w:asciiTheme="minorHAnsi" w:hAnsiTheme="minorHAnsi" w:cs="Arial"/>
                <w:b/>
                <w:sz w:val="20"/>
                <w:szCs w:val="20"/>
              </w:rPr>
              <w:t xml:space="preserve"> </w:t>
            </w:r>
            <w:r w:rsidR="00E17DFE" w:rsidRPr="00DD361D">
              <w:rPr>
                <w:rFonts w:asciiTheme="minorHAnsi" w:hAnsiTheme="minorHAnsi" w:cs="Arial"/>
                <w:sz w:val="20"/>
                <w:szCs w:val="20"/>
              </w:rPr>
              <w:t xml:space="preserve">Identify </w:t>
            </w:r>
            <w:r w:rsidR="00560241" w:rsidRPr="00DD361D">
              <w:rPr>
                <w:rFonts w:asciiTheme="minorHAnsi" w:hAnsiTheme="minorHAnsi" w:cs="Arial"/>
                <w:sz w:val="20"/>
                <w:szCs w:val="20"/>
              </w:rPr>
              <w:t>f</w:t>
            </w:r>
            <w:r w:rsidRPr="00DD361D">
              <w:rPr>
                <w:rFonts w:asciiTheme="minorHAnsi" w:hAnsiTheme="minorHAnsi" w:cs="Arial"/>
                <w:sz w:val="20"/>
                <w:szCs w:val="20"/>
              </w:rPr>
              <w:t>amily types</w:t>
            </w:r>
            <w:r w:rsidR="00EC5449" w:rsidRPr="00DD361D">
              <w:rPr>
                <w:rFonts w:asciiTheme="minorHAnsi" w:hAnsiTheme="minorHAnsi" w:cs="Arial"/>
                <w:sz w:val="20"/>
                <w:szCs w:val="20"/>
              </w:rPr>
              <w:t xml:space="preserve"> and structues in Australia; </w:t>
            </w:r>
            <w:r w:rsidR="00E17DFE" w:rsidRPr="00DD361D">
              <w:rPr>
                <w:rFonts w:asciiTheme="minorHAnsi" w:hAnsiTheme="minorHAnsi" w:cs="Arial"/>
                <w:sz w:val="20"/>
                <w:szCs w:val="20"/>
              </w:rPr>
              <w:t xml:space="preserve">impact of change </w:t>
            </w:r>
            <w:r w:rsidR="00EC5449" w:rsidRPr="00DD361D">
              <w:rPr>
                <w:rFonts w:asciiTheme="minorHAnsi" w:hAnsiTheme="minorHAnsi" w:cs="Arial"/>
                <w:sz w:val="20"/>
                <w:szCs w:val="20"/>
              </w:rPr>
              <w:t>in family type on individuals,</w:t>
            </w:r>
            <w:r w:rsidR="00E17DFE" w:rsidRPr="00DD361D">
              <w:rPr>
                <w:rFonts w:asciiTheme="minorHAnsi" w:hAnsiTheme="minorHAnsi" w:cs="Arial"/>
                <w:sz w:val="20"/>
                <w:szCs w:val="20"/>
              </w:rPr>
              <w:t xml:space="preserve"> families</w:t>
            </w:r>
            <w:r w:rsidR="00EC5449" w:rsidRPr="00DD361D">
              <w:rPr>
                <w:rFonts w:asciiTheme="minorHAnsi" w:hAnsiTheme="minorHAnsi" w:cs="Arial"/>
                <w:sz w:val="20"/>
                <w:szCs w:val="20"/>
              </w:rPr>
              <w:t xml:space="preserve"> and communities</w:t>
            </w:r>
            <w:r w:rsidR="00E17DFE" w:rsidRPr="00DD361D">
              <w:rPr>
                <w:rFonts w:asciiTheme="minorHAnsi" w:hAnsiTheme="minorHAnsi" w:cs="Arial"/>
                <w:sz w:val="20"/>
                <w:szCs w:val="20"/>
              </w:rPr>
              <w:t xml:space="preserve">. </w:t>
            </w:r>
            <w:r w:rsidR="00EC5449" w:rsidRPr="00DD361D">
              <w:rPr>
                <w:rFonts w:asciiTheme="minorHAnsi" w:hAnsiTheme="minorHAnsi" w:cs="Arial"/>
                <w:sz w:val="20"/>
                <w:szCs w:val="20"/>
              </w:rPr>
              <w:t>Understand the roles and responsibilties</w:t>
            </w:r>
            <w:r w:rsidR="00E17DFE" w:rsidRPr="00DD361D">
              <w:rPr>
                <w:rFonts w:asciiTheme="minorHAnsi" w:hAnsiTheme="minorHAnsi" w:cs="Arial"/>
                <w:sz w:val="20"/>
                <w:szCs w:val="20"/>
              </w:rPr>
              <w:t xml:space="preserve"> </w:t>
            </w:r>
            <w:r w:rsidR="00EC5449" w:rsidRPr="00DD361D">
              <w:rPr>
                <w:rFonts w:asciiTheme="minorHAnsi" w:hAnsiTheme="minorHAnsi" w:cs="Arial"/>
                <w:sz w:val="20"/>
                <w:szCs w:val="20"/>
              </w:rPr>
              <w:t xml:space="preserve">of informal and formal community networks and support services. </w:t>
            </w:r>
            <w:r w:rsidR="00E17DFE" w:rsidRPr="00DD361D">
              <w:rPr>
                <w:rFonts w:asciiTheme="minorHAnsi" w:hAnsiTheme="minorHAnsi" w:cs="Arial"/>
                <w:sz w:val="20"/>
                <w:szCs w:val="20"/>
              </w:rPr>
              <w:t>In class validation test</w:t>
            </w:r>
            <w:r w:rsidR="00977EF6">
              <w:rPr>
                <w:rFonts w:asciiTheme="minorHAnsi" w:hAnsiTheme="minorHAnsi" w:cs="Arial"/>
                <w:sz w:val="20"/>
                <w:szCs w:val="20"/>
              </w:rPr>
              <w:t>.</w:t>
            </w:r>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rPr>
                <w:rFonts w:asciiTheme="minorHAnsi" w:hAnsiTheme="minorHAnsi" w:cs="Arial"/>
                <w:b/>
                <w:sz w:val="20"/>
                <w:szCs w:val="20"/>
                <w:lang w:val="en-US" w:eastAsia="en-US"/>
              </w:rPr>
            </w:pPr>
          </w:p>
        </w:tc>
        <w:tc>
          <w:tcPr>
            <w:tcW w:w="424"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93" w:right="71"/>
              <w:rPr>
                <w:rFonts w:asciiTheme="minorHAnsi" w:hAnsiTheme="minorHAnsi" w:cs="Arial"/>
                <w:b w:val="0"/>
                <w:sz w:val="20"/>
                <w:szCs w:val="20"/>
              </w:rPr>
            </w:pP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10</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2</w:t>
            </w:r>
          </w:p>
          <w:p w:rsidR="00792E1A" w:rsidRPr="00DD361D" w:rsidRDefault="00560241" w:rsidP="00DD361D">
            <w:pPr>
              <w:pStyle w:val="Title"/>
              <w:ind w:left="86" w:right="71"/>
              <w:jc w:val="left"/>
              <w:rPr>
                <w:rFonts w:asciiTheme="minorHAnsi" w:hAnsiTheme="minorHAnsi" w:cs="Arial"/>
                <w:b w:val="0"/>
                <w:sz w:val="20"/>
                <w:szCs w:val="20"/>
              </w:rPr>
            </w:pPr>
            <w:r w:rsidRPr="00DD361D">
              <w:rPr>
                <w:rFonts w:asciiTheme="minorHAnsi" w:hAnsiTheme="minorHAnsi" w:cs="Arial"/>
                <w:b w:val="0"/>
                <w:bCs w:val="0"/>
                <w:sz w:val="20"/>
                <w:szCs w:val="20"/>
                <w:lang w:val="en-AU"/>
              </w:rPr>
              <w:t>Week 13</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93" w:right="71"/>
              <w:jc w:val="left"/>
              <w:rPr>
                <w:rFonts w:asciiTheme="minorHAnsi" w:hAnsiTheme="minorHAnsi" w:cs="Arial"/>
                <w:b w:val="0"/>
                <w:sz w:val="20"/>
                <w:szCs w:val="20"/>
              </w:rPr>
            </w:pPr>
            <w:r w:rsidRPr="00DD361D">
              <w:rPr>
                <w:rFonts w:asciiTheme="minorHAnsi" w:hAnsiTheme="minorHAnsi" w:cs="Arial"/>
                <w:sz w:val="20"/>
                <w:szCs w:val="20"/>
              </w:rPr>
              <w:t xml:space="preserve">Task </w:t>
            </w:r>
            <w:r w:rsidR="00560241" w:rsidRPr="00DD361D">
              <w:rPr>
                <w:rFonts w:asciiTheme="minorHAnsi" w:hAnsiTheme="minorHAnsi" w:cs="Arial"/>
                <w:sz w:val="20"/>
                <w:szCs w:val="20"/>
              </w:rPr>
              <w:t>8</w:t>
            </w:r>
            <w:r w:rsidRPr="00DD361D">
              <w:rPr>
                <w:rFonts w:asciiTheme="minorHAnsi" w:hAnsiTheme="minorHAnsi" w:cs="Arial"/>
                <w:sz w:val="20"/>
                <w:szCs w:val="20"/>
              </w:rPr>
              <w:t xml:space="preserve">: </w:t>
            </w:r>
            <w:r w:rsidR="008D2044" w:rsidRPr="00DD361D">
              <w:rPr>
                <w:rFonts w:asciiTheme="minorHAnsi" w:hAnsiTheme="minorHAnsi" w:cs="Arial"/>
                <w:b w:val="0"/>
                <w:sz w:val="20"/>
                <w:szCs w:val="20"/>
              </w:rPr>
              <w:t>Com</w:t>
            </w:r>
            <w:r w:rsidR="00EC5449" w:rsidRPr="00DD361D">
              <w:rPr>
                <w:rFonts w:asciiTheme="minorHAnsi" w:hAnsiTheme="minorHAnsi" w:cs="Arial"/>
                <w:b w:val="0"/>
                <w:sz w:val="20"/>
                <w:szCs w:val="20"/>
              </w:rPr>
              <w:t>munity issues</w:t>
            </w:r>
            <w:r w:rsidR="00E17DFE" w:rsidRPr="00DD361D">
              <w:rPr>
                <w:rFonts w:asciiTheme="minorHAnsi" w:hAnsiTheme="minorHAnsi" w:cs="Arial"/>
                <w:b w:val="0"/>
                <w:sz w:val="20"/>
                <w:szCs w:val="20"/>
              </w:rPr>
              <w:t xml:space="preserve"> – </w:t>
            </w:r>
            <w:r w:rsidR="00F00D1B" w:rsidRPr="00DD361D">
              <w:rPr>
                <w:rFonts w:asciiTheme="minorHAnsi" w:hAnsiTheme="minorHAnsi" w:cs="Arial"/>
                <w:b w:val="0"/>
                <w:sz w:val="20"/>
                <w:szCs w:val="20"/>
              </w:rPr>
              <w:t xml:space="preserve">Identify community issues that impact on individuals and families. Consider matters of inequity and injustice and use human and non-human </w:t>
            </w:r>
            <w:r w:rsidR="00417E24" w:rsidRPr="00DD361D">
              <w:rPr>
                <w:rFonts w:asciiTheme="minorHAnsi" w:hAnsiTheme="minorHAnsi" w:cs="Arial"/>
                <w:b w:val="0"/>
                <w:sz w:val="20"/>
                <w:szCs w:val="20"/>
              </w:rPr>
              <w:t>resources to suggest</w:t>
            </w:r>
            <w:r w:rsidR="008D2044" w:rsidRPr="00DD361D">
              <w:rPr>
                <w:rFonts w:asciiTheme="minorHAnsi" w:hAnsiTheme="minorHAnsi" w:cs="Arial"/>
                <w:b w:val="0"/>
                <w:sz w:val="20"/>
                <w:szCs w:val="20"/>
              </w:rPr>
              <w:t xml:space="preserve"> possible solutions</w:t>
            </w:r>
            <w:r w:rsidR="00E17DFE" w:rsidRPr="00DD361D">
              <w:rPr>
                <w:rFonts w:asciiTheme="minorHAnsi" w:hAnsiTheme="minorHAnsi" w:cs="Arial"/>
                <w:b w:val="0"/>
                <w:sz w:val="20"/>
                <w:szCs w:val="20"/>
              </w:rPr>
              <w:t xml:space="preserve">. </w:t>
            </w:r>
            <w:proofErr w:type="gramStart"/>
            <w:r w:rsidR="00E17DFE" w:rsidRPr="00DD361D">
              <w:rPr>
                <w:rFonts w:asciiTheme="minorHAnsi" w:hAnsiTheme="minorHAnsi" w:cs="Arial"/>
                <w:b w:val="0"/>
                <w:sz w:val="20"/>
                <w:szCs w:val="20"/>
              </w:rPr>
              <w:t>In class validation test</w:t>
            </w:r>
            <w:r w:rsidR="00977EF6">
              <w:rPr>
                <w:rFonts w:asciiTheme="minorHAnsi" w:hAnsiTheme="minorHAnsi" w:cs="Arial"/>
                <w:b w:val="0"/>
                <w:sz w:val="20"/>
                <w:szCs w:val="20"/>
              </w:rPr>
              <w:t>.</w:t>
            </w:r>
            <w:proofErr w:type="gramEnd"/>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rPr>
                <w:rFonts w:asciiTheme="minorHAnsi" w:hAnsiTheme="minorHAnsi" w:cs="Arial"/>
                <w:b/>
                <w:sz w:val="20"/>
                <w:szCs w:val="20"/>
                <w:lang w:val="en-US" w:eastAsia="en-US"/>
              </w:rPr>
            </w:pPr>
          </w:p>
        </w:tc>
        <w:tc>
          <w:tcPr>
            <w:tcW w:w="424"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93" w:right="71"/>
              <w:rPr>
                <w:rFonts w:asciiTheme="minorHAnsi" w:hAnsiTheme="minorHAnsi" w:cs="Arial"/>
                <w:b w:val="0"/>
                <w:sz w:val="20"/>
                <w:szCs w:val="20"/>
              </w:rPr>
            </w:pP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10%</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Semester 2</w:t>
            </w:r>
          </w:p>
          <w:p w:rsidR="00792E1A" w:rsidRPr="00DD361D" w:rsidRDefault="00560241"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lang w:val="en-AU"/>
              </w:rPr>
              <w:t>Week 6</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93" w:right="71"/>
              <w:jc w:val="left"/>
              <w:rPr>
                <w:rFonts w:asciiTheme="minorHAnsi" w:hAnsiTheme="minorHAnsi" w:cs="Arial"/>
                <w:sz w:val="20"/>
                <w:szCs w:val="20"/>
              </w:rPr>
            </w:pPr>
            <w:proofErr w:type="gramStart"/>
            <w:r w:rsidRPr="00DD361D">
              <w:rPr>
                <w:rFonts w:asciiTheme="minorHAnsi" w:hAnsiTheme="minorHAnsi" w:cs="Arial"/>
                <w:sz w:val="20"/>
                <w:szCs w:val="20"/>
              </w:rPr>
              <w:t xml:space="preserve">Task 6: </w:t>
            </w:r>
            <w:r w:rsidRPr="00DD361D">
              <w:rPr>
                <w:rFonts w:asciiTheme="minorHAnsi" w:hAnsiTheme="minorHAnsi" w:cs="Arial"/>
                <w:b w:val="0"/>
                <w:sz w:val="20"/>
                <w:szCs w:val="20"/>
              </w:rPr>
              <w:t>Sustainable living</w:t>
            </w:r>
            <w:r w:rsidR="00E17DFE" w:rsidRPr="00DD361D">
              <w:rPr>
                <w:rFonts w:asciiTheme="minorHAnsi" w:hAnsiTheme="minorHAnsi" w:cs="Arial"/>
                <w:b w:val="0"/>
                <w:sz w:val="20"/>
                <w:szCs w:val="20"/>
              </w:rPr>
              <w:t xml:space="preserve"> –</w:t>
            </w:r>
            <w:r w:rsidR="00002A9D">
              <w:rPr>
                <w:rFonts w:asciiTheme="minorHAnsi" w:hAnsiTheme="minorHAnsi" w:cs="Arial"/>
                <w:b w:val="0"/>
                <w:sz w:val="20"/>
                <w:szCs w:val="20"/>
              </w:rPr>
              <w:t xml:space="preserve"> Apply decision-</w:t>
            </w:r>
            <w:r w:rsidR="00EC5449" w:rsidRPr="00DD361D">
              <w:rPr>
                <w:rFonts w:asciiTheme="minorHAnsi" w:hAnsiTheme="minorHAnsi" w:cs="Arial"/>
                <w:b w:val="0"/>
                <w:sz w:val="20"/>
                <w:szCs w:val="20"/>
              </w:rPr>
              <w:t>making tools to identify products, processes and systems to promote sustainable patterns of living.</w:t>
            </w:r>
            <w:proofErr w:type="gramEnd"/>
            <w:r w:rsidR="00EC5449" w:rsidRPr="00DD361D">
              <w:rPr>
                <w:rFonts w:asciiTheme="minorHAnsi" w:hAnsiTheme="minorHAnsi" w:cs="Arial"/>
                <w:b w:val="0"/>
                <w:sz w:val="20"/>
                <w:szCs w:val="20"/>
              </w:rPr>
              <w:t xml:space="preserve"> Identify social and environmental responsibilities of individuals and family groups in developing sustainable communities. </w:t>
            </w:r>
            <w:proofErr w:type="gramStart"/>
            <w:r w:rsidR="00EC5449" w:rsidRPr="00DD361D">
              <w:rPr>
                <w:rFonts w:asciiTheme="minorHAnsi" w:hAnsiTheme="minorHAnsi" w:cs="Arial"/>
                <w:b w:val="0"/>
                <w:sz w:val="20"/>
                <w:szCs w:val="20"/>
              </w:rPr>
              <w:t>In class validation test</w:t>
            </w:r>
            <w:r w:rsidR="00977EF6">
              <w:rPr>
                <w:rFonts w:asciiTheme="minorHAnsi" w:hAnsiTheme="minorHAnsi" w:cs="Arial"/>
                <w:b w:val="0"/>
                <w:sz w:val="20"/>
                <w:szCs w:val="20"/>
              </w:rPr>
              <w:t>.</w:t>
            </w:r>
            <w:proofErr w:type="gramEnd"/>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3"/>
              <w:rPr>
                <w:rFonts w:asciiTheme="minorHAnsi" w:hAnsiTheme="minorHAnsi" w:cs="Arial"/>
                <w:b w:val="0"/>
                <w:sz w:val="20"/>
                <w:szCs w:val="20"/>
              </w:rPr>
            </w:pPr>
            <w:r w:rsidRPr="00DD361D">
              <w:rPr>
                <w:rFonts w:asciiTheme="minorHAnsi" w:hAnsiTheme="minorHAnsi" w:cs="Arial"/>
                <w:b w:val="0"/>
                <w:sz w:val="20"/>
                <w:szCs w:val="20"/>
              </w:rPr>
              <w:t>Examination</w:t>
            </w:r>
          </w:p>
        </w:tc>
        <w:tc>
          <w:tcPr>
            <w:tcW w:w="424" w:type="pct"/>
            <w:vMerge w:val="restar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93"/>
              <w:rPr>
                <w:rFonts w:asciiTheme="minorHAnsi" w:hAnsiTheme="minorHAnsi" w:cs="Arial"/>
                <w:b w:val="0"/>
                <w:sz w:val="20"/>
                <w:szCs w:val="20"/>
              </w:rPr>
            </w:pPr>
            <w:r w:rsidRPr="00DD361D">
              <w:rPr>
                <w:rFonts w:asciiTheme="minorHAnsi" w:hAnsiTheme="minorHAnsi" w:cs="Arial"/>
                <w:b w:val="0"/>
                <w:bCs w:val="0"/>
                <w:sz w:val="20"/>
                <w:szCs w:val="20"/>
              </w:rPr>
              <w:t>40</w:t>
            </w:r>
            <w:r w:rsidRPr="00DD361D">
              <w:rPr>
                <w:rFonts w:asciiTheme="minorHAnsi" w:hAnsiTheme="minorHAnsi" w:cs="Arial"/>
                <w:b w:val="0"/>
                <w:sz w:val="20"/>
                <w:szCs w:val="20"/>
              </w:rPr>
              <w:t>%</w:t>
            </w: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15</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rPr>
            </w:pPr>
            <w:r w:rsidRPr="00DD361D">
              <w:rPr>
                <w:rFonts w:asciiTheme="minorHAnsi" w:hAnsiTheme="minorHAnsi" w:cs="Arial"/>
                <w:b w:val="0"/>
                <w:bCs w:val="0"/>
                <w:sz w:val="20"/>
                <w:szCs w:val="20"/>
              </w:rPr>
              <w:t>Examination</w:t>
            </w:r>
            <w:r w:rsidR="00DD361D">
              <w:rPr>
                <w:rFonts w:asciiTheme="minorHAnsi" w:hAnsiTheme="minorHAnsi" w:cs="Arial"/>
                <w:b w:val="0"/>
                <w:bCs w:val="0"/>
                <w:sz w:val="20"/>
                <w:szCs w:val="20"/>
              </w:rPr>
              <w:t xml:space="preserve"> </w:t>
            </w:r>
            <w:r w:rsidRPr="00DD361D">
              <w:rPr>
                <w:rFonts w:asciiTheme="minorHAnsi" w:hAnsiTheme="minorHAnsi" w:cs="Arial"/>
                <w:b w:val="0"/>
                <w:bCs w:val="0"/>
                <w:sz w:val="20"/>
                <w:szCs w:val="20"/>
              </w:rPr>
              <w:t>week</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DD361D" w:rsidRDefault="00792E1A" w:rsidP="00DD361D">
            <w:pPr>
              <w:pStyle w:val="Title"/>
              <w:ind w:left="93" w:right="71"/>
              <w:jc w:val="left"/>
              <w:rPr>
                <w:rFonts w:asciiTheme="minorHAnsi" w:hAnsiTheme="minorHAnsi" w:cs="Arial"/>
                <w:b w:val="0"/>
                <w:sz w:val="20"/>
                <w:szCs w:val="20"/>
                <w:lang w:val="en-AU"/>
              </w:rPr>
            </w:pPr>
            <w:r w:rsidRPr="00DD361D">
              <w:rPr>
                <w:rFonts w:asciiTheme="minorHAnsi" w:hAnsiTheme="minorHAnsi" w:cs="Arial"/>
                <w:sz w:val="20"/>
                <w:szCs w:val="20"/>
              </w:rPr>
              <w:t xml:space="preserve">Task 4: </w:t>
            </w:r>
            <w:r w:rsidRPr="00DD361D">
              <w:rPr>
                <w:rFonts w:asciiTheme="minorHAnsi" w:hAnsiTheme="minorHAnsi" w:cs="Arial"/>
                <w:b w:val="0"/>
                <w:sz w:val="20"/>
                <w:szCs w:val="20"/>
              </w:rPr>
              <w:t>Semester 1 examination</w:t>
            </w:r>
            <w:r w:rsidR="00DD361D" w:rsidRPr="00DD361D">
              <w:rPr>
                <w:rFonts w:asciiTheme="minorHAnsi" w:hAnsiTheme="minorHAnsi" w:cs="Arial"/>
                <w:b w:val="0"/>
                <w:sz w:val="20"/>
                <w:szCs w:val="20"/>
                <w:lang w:val="en-AU"/>
              </w:rPr>
              <w:t xml:space="preserve"> – </w:t>
            </w:r>
            <w:r w:rsidRPr="00DD361D">
              <w:rPr>
                <w:rFonts w:asciiTheme="minorHAnsi" w:hAnsiTheme="minorHAnsi" w:cs="Arial"/>
                <w:b w:val="0"/>
                <w:sz w:val="20"/>
                <w:szCs w:val="20"/>
                <w:lang w:val="en-AU"/>
              </w:rPr>
              <w:t xml:space="preserve">2.5 hours using a modified examination design brief from the </w:t>
            </w:r>
            <w:r w:rsidR="00A6614D">
              <w:rPr>
                <w:rFonts w:asciiTheme="minorHAnsi" w:hAnsiTheme="minorHAnsi" w:cs="Arial"/>
                <w:b w:val="0"/>
                <w:sz w:val="20"/>
                <w:szCs w:val="20"/>
                <w:lang w:val="en-AU"/>
              </w:rPr>
              <w:t xml:space="preserve">ATAR </w:t>
            </w:r>
            <w:r w:rsidRPr="00DD361D">
              <w:rPr>
                <w:rFonts w:asciiTheme="minorHAnsi" w:hAnsiTheme="minorHAnsi" w:cs="Arial"/>
                <w:b w:val="0"/>
                <w:sz w:val="20"/>
                <w:szCs w:val="20"/>
                <w:lang w:val="en-AU"/>
              </w:rPr>
              <w:t>Year 12 syllabus</w:t>
            </w:r>
            <w:r w:rsidR="00DD361D">
              <w:rPr>
                <w:rFonts w:asciiTheme="minorHAnsi" w:hAnsiTheme="minorHAnsi" w:cs="Arial"/>
                <w:b w:val="0"/>
                <w:sz w:val="20"/>
                <w:szCs w:val="20"/>
                <w:lang w:val="en-AU"/>
              </w:rPr>
              <w:t>.</w:t>
            </w:r>
          </w:p>
          <w:p w:rsidR="00DD361D" w:rsidRDefault="00792E1A" w:rsidP="00DD361D">
            <w:pPr>
              <w:pStyle w:val="Title"/>
              <w:ind w:left="93" w:right="71"/>
              <w:jc w:val="left"/>
              <w:rPr>
                <w:rFonts w:asciiTheme="minorHAnsi" w:hAnsiTheme="minorHAnsi" w:cs="Arial"/>
                <w:b w:val="0"/>
                <w:sz w:val="20"/>
                <w:szCs w:val="20"/>
                <w:lang w:val="en-AU"/>
              </w:rPr>
            </w:pPr>
            <w:r w:rsidRPr="00DD361D">
              <w:rPr>
                <w:rFonts w:asciiTheme="minorHAnsi" w:hAnsiTheme="minorHAnsi" w:cs="Arial"/>
                <w:b w:val="0"/>
                <w:sz w:val="20"/>
                <w:szCs w:val="20"/>
                <w:lang w:val="en-AU"/>
              </w:rPr>
              <w:t xml:space="preserve">Section </w:t>
            </w:r>
            <w:r w:rsidR="00DD361D">
              <w:rPr>
                <w:rFonts w:asciiTheme="minorHAnsi" w:hAnsiTheme="minorHAnsi" w:cs="Arial"/>
                <w:b w:val="0"/>
                <w:sz w:val="20"/>
                <w:szCs w:val="20"/>
                <w:lang w:val="en-AU"/>
              </w:rPr>
              <w:t>One</w:t>
            </w:r>
            <w:r w:rsidRPr="00DD361D">
              <w:rPr>
                <w:rFonts w:asciiTheme="minorHAnsi" w:hAnsiTheme="minorHAnsi" w:cs="Arial"/>
                <w:b w:val="0"/>
                <w:sz w:val="20"/>
                <w:szCs w:val="20"/>
                <w:lang w:val="en-AU"/>
              </w:rPr>
              <w:t xml:space="preserve">: 10 </w:t>
            </w:r>
            <w:r w:rsidR="00DD361D">
              <w:rPr>
                <w:rFonts w:asciiTheme="minorHAnsi" w:hAnsiTheme="minorHAnsi" w:cs="Arial"/>
                <w:b w:val="0"/>
                <w:sz w:val="20"/>
                <w:szCs w:val="20"/>
                <w:lang w:val="en-AU"/>
              </w:rPr>
              <w:t>multiple-</w:t>
            </w:r>
            <w:r w:rsidRPr="00DD361D">
              <w:rPr>
                <w:rFonts w:asciiTheme="minorHAnsi" w:hAnsiTheme="minorHAnsi" w:cs="Arial"/>
                <w:b w:val="0"/>
                <w:sz w:val="20"/>
                <w:szCs w:val="20"/>
                <w:lang w:val="en-AU"/>
              </w:rPr>
              <w:t>choice questions (10</w:t>
            </w:r>
            <w:r w:rsidR="00DD361D">
              <w:rPr>
                <w:rFonts w:asciiTheme="minorHAnsi" w:hAnsiTheme="minorHAnsi" w:cs="Arial"/>
                <w:b w:val="0"/>
                <w:sz w:val="20"/>
                <w:szCs w:val="20"/>
                <w:lang w:val="en-AU"/>
              </w:rPr>
              <w:t>%)</w:t>
            </w:r>
          </w:p>
          <w:p w:rsidR="00DD361D" w:rsidRDefault="00792E1A" w:rsidP="00DD361D">
            <w:pPr>
              <w:pStyle w:val="Title"/>
              <w:ind w:left="93" w:right="71"/>
              <w:jc w:val="left"/>
              <w:rPr>
                <w:rFonts w:asciiTheme="minorHAnsi" w:hAnsiTheme="minorHAnsi" w:cs="Arial"/>
                <w:b w:val="0"/>
                <w:sz w:val="20"/>
                <w:szCs w:val="20"/>
                <w:lang w:val="en-AU"/>
              </w:rPr>
            </w:pPr>
            <w:r w:rsidRPr="00DD361D">
              <w:rPr>
                <w:rFonts w:asciiTheme="minorHAnsi" w:hAnsiTheme="minorHAnsi" w:cs="Arial"/>
                <w:b w:val="0"/>
                <w:sz w:val="20"/>
                <w:szCs w:val="20"/>
                <w:lang w:val="en-AU"/>
              </w:rPr>
              <w:t xml:space="preserve">Section </w:t>
            </w:r>
            <w:r w:rsidR="00DD361D">
              <w:rPr>
                <w:rFonts w:asciiTheme="minorHAnsi" w:hAnsiTheme="minorHAnsi" w:cs="Arial"/>
                <w:b w:val="0"/>
                <w:sz w:val="20"/>
                <w:szCs w:val="20"/>
                <w:lang w:val="en-AU"/>
              </w:rPr>
              <w:t>Two</w:t>
            </w:r>
            <w:r w:rsidRPr="00DD361D">
              <w:rPr>
                <w:rFonts w:asciiTheme="minorHAnsi" w:hAnsiTheme="minorHAnsi" w:cs="Arial"/>
                <w:b w:val="0"/>
                <w:sz w:val="20"/>
                <w:szCs w:val="20"/>
                <w:lang w:val="en-AU"/>
              </w:rPr>
              <w:t xml:space="preserve">: </w:t>
            </w:r>
            <w:r w:rsidR="00DD361D">
              <w:rPr>
                <w:rFonts w:asciiTheme="minorHAnsi" w:hAnsiTheme="minorHAnsi" w:cs="Arial"/>
                <w:b w:val="0"/>
                <w:sz w:val="20"/>
                <w:szCs w:val="20"/>
                <w:lang w:val="en-AU"/>
              </w:rPr>
              <w:t>six</w:t>
            </w:r>
            <w:r w:rsidRPr="00DD361D">
              <w:rPr>
                <w:rFonts w:asciiTheme="minorHAnsi" w:hAnsiTheme="minorHAnsi" w:cs="Arial"/>
                <w:b w:val="0"/>
                <w:sz w:val="20"/>
                <w:szCs w:val="20"/>
                <w:lang w:val="en-AU"/>
              </w:rPr>
              <w:t xml:space="preserve"> questions (60%) </w:t>
            </w:r>
          </w:p>
          <w:p w:rsidR="00792E1A" w:rsidRPr="00DD361D" w:rsidRDefault="00792E1A" w:rsidP="00DD361D">
            <w:pPr>
              <w:pStyle w:val="Title"/>
              <w:ind w:left="93" w:right="71"/>
              <w:jc w:val="left"/>
              <w:rPr>
                <w:rFonts w:asciiTheme="minorHAnsi" w:hAnsiTheme="minorHAnsi" w:cs="Arial"/>
                <w:b w:val="0"/>
                <w:sz w:val="20"/>
                <w:szCs w:val="20"/>
                <w:lang w:val="en-AU"/>
              </w:rPr>
            </w:pPr>
            <w:r w:rsidRPr="00DD361D">
              <w:rPr>
                <w:rFonts w:asciiTheme="minorHAnsi" w:hAnsiTheme="minorHAnsi" w:cs="Arial"/>
                <w:b w:val="0"/>
                <w:sz w:val="20"/>
                <w:szCs w:val="20"/>
                <w:lang w:val="en-AU"/>
              </w:rPr>
              <w:t xml:space="preserve">Section </w:t>
            </w:r>
            <w:r w:rsidR="00DD361D">
              <w:rPr>
                <w:rFonts w:asciiTheme="minorHAnsi" w:hAnsiTheme="minorHAnsi" w:cs="Arial"/>
                <w:b w:val="0"/>
                <w:sz w:val="20"/>
                <w:szCs w:val="20"/>
                <w:lang w:val="en-AU"/>
              </w:rPr>
              <w:t>Three: two</w:t>
            </w:r>
            <w:r w:rsidRPr="00DD361D">
              <w:rPr>
                <w:rFonts w:asciiTheme="minorHAnsi" w:hAnsiTheme="minorHAnsi" w:cs="Arial"/>
                <w:b w:val="0"/>
                <w:sz w:val="20"/>
                <w:szCs w:val="20"/>
                <w:lang w:val="en-AU"/>
              </w:rPr>
              <w:t xml:space="preserve"> questions from a choice of </w:t>
            </w:r>
            <w:r w:rsidR="00DD361D">
              <w:rPr>
                <w:rFonts w:asciiTheme="minorHAnsi" w:hAnsiTheme="minorHAnsi" w:cs="Arial"/>
                <w:b w:val="0"/>
                <w:sz w:val="20"/>
                <w:szCs w:val="20"/>
                <w:lang w:val="en-AU"/>
              </w:rPr>
              <w:t>three</w:t>
            </w:r>
            <w:r w:rsidRPr="00DD361D">
              <w:rPr>
                <w:rFonts w:asciiTheme="minorHAnsi" w:hAnsiTheme="minorHAnsi" w:cs="Arial"/>
                <w:b w:val="0"/>
                <w:sz w:val="20"/>
                <w:szCs w:val="20"/>
                <w:lang w:val="en-AU"/>
              </w:rPr>
              <w:t xml:space="preserve"> (30%)</w:t>
            </w:r>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3"/>
              <w:rPr>
                <w:rFonts w:asciiTheme="minorHAnsi" w:hAnsiTheme="minorHAnsi" w:cs="Arial"/>
                <w:b w:val="0"/>
                <w:sz w:val="20"/>
                <w:szCs w:val="20"/>
              </w:rPr>
            </w:pPr>
          </w:p>
        </w:tc>
        <w:tc>
          <w:tcPr>
            <w:tcW w:w="424" w:type="pct"/>
            <w:vMerge/>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ind w:left="93"/>
              <w:rPr>
                <w:rFonts w:asciiTheme="minorHAnsi" w:hAnsiTheme="minorHAnsi" w:cs="Arial"/>
                <w:sz w:val="20"/>
                <w:szCs w:val="20"/>
              </w:rPr>
            </w:pP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792E1A">
            <w:pPr>
              <w:pStyle w:val="Title"/>
              <w:rPr>
                <w:rFonts w:asciiTheme="minorHAnsi" w:hAnsiTheme="minorHAnsi" w:cs="Arial"/>
                <w:b w:val="0"/>
                <w:bCs w:val="0"/>
                <w:sz w:val="20"/>
                <w:szCs w:val="20"/>
              </w:rPr>
            </w:pPr>
            <w:r w:rsidRPr="00DD361D">
              <w:rPr>
                <w:rFonts w:asciiTheme="minorHAnsi" w:hAnsiTheme="minorHAnsi" w:cs="Arial"/>
                <w:b w:val="0"/>
                <w:bCs w:val="0"/>
                <w:sz w:val="20"/>
                <w:szCs w:val="20"/>
              </w:rPr>
              <w:t>25</w:t>
            </w:r>
            <w:r w:rsidRPr="00DD361D">
              <w:rPr>
                <w:rFonts w:asciiTheme="minorHAnsi" w:hAnsiTheme="minorHAnsi" w:cs="Arial"/>
                <w:b w:val="0"/>
                <w:sz w:val="20"/>
                <w:szCs w:val="20"/>
              </w:rPr>
              <w:t>%</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792E1A" w:rsidRPr="00DD361D" w:rsidRDefault="00792E1A" w:rsidP="00DD361D">
            <w:pPr>
              <w:pStyle w:val="Title"/>
              <w:ind w:left="86"/>
              <w:jc w:val="left"/>
              <w:rPr>
                <w:rFonts w:asciiTheme="minorHAnsi" w:hAnsiTheme="minorHAnsi" w:cs="Arial"/>
                <w:b w:val="0"/>
                <w:bCs w:val="0"/>
                <w:sz w:val="20"/>
                <w:szCs w:val="20"/>
                <w:lang w:val="en-AU"/>
              </w:rPr>
            </w:pPr>
            <w:r w:rsidRPr="00DD361D">
              <w:rPr>
                <w:rFonts w:asciiTheme="minorHAnsi" w:hAnsiTheme="minorHAnsi" w:cs="Arial"/>
                <w:b w:val="0"/>
                <w:bCs w:val="0"/>
                <w:sz w:val="20"/>
                <w:szCs w:val="20"/>
              </w:rPr>
              <w:t>Examination</w:t>
            </w:r>
            <w:r w:rsidR="00DD361D">
              <w:rPr>
                <w:rFonts w:asciiTheme="minorHAnsi" w:hAnsiTheme="minorHAnsi" w:cs="Arial"/>
                <w:b w:val="0"/>
                <w:bCs w:val="0"/>
                <w:sz w:val="20"/>
                <w:szCs w:val="20"/>
              </w:rPr>
              <w:t xml:space="preserve"> </w:t>
            </w:r>
            <w:r w:rsidRPr="00DD361D">
              <w:rPr>
                <w:rFonts w:asciiTheme="minorHAnsi" w:hAnsiTheme="minorHAnsi" w:cs="Arial"/>
                <w:b w:val="0"/>
                <w:bCs w:val="0"/>
                <w:sz w:val="20"/>
                <w:szCs w:val="20"/>
              </w:rPr>
              <w:t>week</w:t>
            </w: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vAlign w:val="center"/>
          </w:tcPr>
          <w:p w:rsidR="00DD361D" w:rsidRDefault="00792E1A" w:rsidP="00DD361D">
            <w:pPr>
              <w:pStyle w:val="Title"/>
              <w:ind w:left="93" w:right="71"/>
              <w:jc w:val="left"/>
              <w:rPr>
                <w:rFonts w:asciiTheme="minorHAnsi" w:hAnsiTheme="minorHAnsi" w:cs="Arial"/>
                <w:b w:val="0"/>
                <w:sz w:val="20"/>
                <w:szCs w:val="20"/>
                <w:lang w:val="en-AU"/>
              </w:rPr>
            </w:pPr>
            <w:r w:rsidRPr="00DD361D">
              <w:rPr>
                <w:rFonts w:asciiTheme="minorHAnsi" w:hAnsiTheme="minorHAnsi" w:cs="Arial"/>
                <w:sz w:val="20"/>
                <w:szCs w:val="20"/>
              </w:rPr>
              <w:t xml:space="preserve">Task 9: </w:t>
            </w:r>
            <w:r w:rsidRPr="00DD361D">
              <w:rPr>
                <w:rFonts w:asciiTheme="minorHAnsi" w:hAnsiTheme="minorHAnsi" w:cs="Arial"/>
                <w:b w:val="0"/>
                <w:sz w:val="20"/>
                <w:szCs w:val="20"/>
              </w:rPr>
              <w:t xml:space="preserve">Semester 2 examination </w:t>
            </w:r>
            <w:r w:rsidR="00DD361D">
              <w:rPr>
                <w:rFonts w:asciiTheme="minorHAnsi" w:hAnsiTheme="minorHAnsi" w:cs="Arial"/>
                <w:b w:val="0"/>
                <w:sz w:val="20"/>
                <w:szCs w:val="20"/>
                <w:lang w:val="en-AU"/>
              </w:rPr>
              <w:t>–</w:t>
            </w:r>
            <w:r w:rsidRPr="00DD361D">
              <w:rPr>
                <w:rFonts w:asciiTheme="minorHAnsi" w:hAnsiTheme="minorHAnsi" w:cs="Arial"/>
                <w:b w:val="0"/>
                <w:sz w:val="20"/>
                <w:szCs w:val="20"/>
                <w:lang w:val="en-AU"/>
              </w:rPr>
              <w:t xml:space="preserve"> 3 hours using the examination design brief fro</w:t>
            </w:r>
            <w:r w:rsidR="00DD361D">
              <w:rPr>
                <w:rFonts w:asciiTheme="minorHAnsi" w:hAnsiTheme="minorHAnsi" w:cs="Arial"/>
                <w:b w:val="0"/>
                <w:sz w:val="20"/>
                <w:szCs w:val="20"/>
                <w:lang w:val="en-AU"/>
              </w:rPr>
              <w:t xml:space="preserve">m the </w:t>
            </w:r>
            <w:r w:rsidR="00A6614D">
              <w:rPr>
                <w:rFonts w:asciiTheme="minorHAnsi" w:hAnsiTheme="minorHAnsi" w:cs="Arial"/>
                <w:b w:val="0"/>
                <w:sz w:val="20"/>
                <w:szCs w:val="20"/>
                <w:lang w:val="en-AU"/>
              </w:rPr>
              <w:t xml:space="preserve">ATAR </w:t>
            </w:r>
            <w:bookmarkStart w:id="0" w:name="_GoBack"/>
            <w:bookmarkEnd w:id="0"/>
            <w:r w:rsidR="00DD361D">
              <w:rPr>
                <w:rFonts w:asciiTheme="minorHAnsi" w:hAnsiTheme="minorHAnsi" w:cs="Arial"/>
                <w:b w:val="0"/>
                <w:sz w:val="20"/>
                <w:szCs w:val="20"/>
                <w:lang w:val="en-AU"/>
              </w:rPr>
              <w:t>Year 12 syllabus</w:t>
            </w:r>
            <w:r w:rsidR="0076055C">
              <w:rPr>
                <w:rFonts w:asciiTheme="minorHAnsi" w:hAnsiTheme="minorHAnsi" w:cs="Arial"/>
                <w:b w:val="0"/>
                <w:sz w:val="20"/>
                <w:szCs w:val="20"/>
                <w:lang w:val="en-AU"/>
              </w:rPr>
              <w:t>.</w:t>
            </w:r>
            <w:r w:rsidR="00DD361D">
              <w:rPr>
                <w:rFonts w:asciiTheme="minorHAnsi" w:hAnsiTheme="minorHAnsi" w:cs="Arial"/>
                <w:b w:val="0"/>
                <w:sz w:val="20"/>
                <w:szCs w:val="20"/>
                <w:lang w:val="en-AU"/>
              </w:rPr>
              <w:t xml:space="preserve"> </w:t>
            </w:r>
            <w:r w:rsidR="00D75B05">
              <w:rPr>
                <w:rFonts w:asciiTheme="minorHAnsi" w:hAnsiTheme="minorHAnsi" w:cs="Arial"/>
                <w:b w:val="0"/>
                <w:sz w:val="20"/>
                <w:szCs w:val="20"/>
                <w:lang w:val="en-AU"/>
              </w:rPr>
              <w:br/>
            </w:r>
            <w:r w:rsidR="00DD361D">
              <w:rPr>
                <w:rFonts w:asciiTheme="minorHAnsi" w:hAnsiTheme="minorHAnsi" w:cs="Arial"/>
                <w:b w:val="0"/>
                <w:sz w:val="20"/>
                <w:szCs w:val="20"/>
                <w:lang w:val="en-AU"/>
              </w:rPr>
              <w:t>Section One: 10 multiple-choice questions (10%)</w:t>
            </w:r>
          </w:p>
          <w:p w:rsidR="00DD361D" w:rsidRDefault="00DD361D" w:rsidP="00DD361D">
            <w:pPr>
              <w:pStyle w:val="Title"/>
              <w:ind w:left="93" w:right="71"/>
              <w:jc w:val="left"/>
              <w:rPr>
                <w:rFonts w:asciiTheme="minorHAnsi" w:hAnsiTheme="minorHAnsi" w:cs="Arial"/>
                <w:b w:val="0"/>
                <w:sz w:val="20"/>
                <w:szCs w:val="20"/>
                <w:lang w:val="en-AU"/>
              </w:rPr>
            </w:pPr>
            <w:r>
              <w:rPr>
                <w:rFonts w:asciiTheme="minorHAnsi" w:hAnsiTheme="minorHAnsi" w:cs="Arial"/>
                <w:b w:val="0"/>
                <w:sz w:val="20"/>
                <w:szCs w:val="20"/>
                <w:lang w:val="en-AU"/>
              </w:rPr>
              <w:t>Section Two: seven</w:t>
            </w:r>
            <w:r w:rsidR="00792E1A" w:rsidRPr="00DD361D">
              <w:rPr>
                <w:rFonts w:asciiTheme="minorHAnsi" w:hAnsiTheme="minorHAnsi" w:cs="Arial"/>
                <w:b w:val="0"/>
                <w:sz w:val="20"/>
                <w:szCs w:val="20"/>
                <w:lang w:val="en-AU"/>
              </w:rPr>
              <w:t xml:space="preserve"> questions (50%) </w:t>
            </w:r>
          </w:p>
          <w:p w:rsidR="00792E1A" w:rsidRPr="00DD361D" w:rsidRDefault="00792E1A" w:rsidP="00DD361D">
            <w:pPr>
              <w:pStyle w:val="Title"/>
              <w:ind w:left="93" w:right="71"/>
              <w:jc w:val="left"/>
              <w:rPr>
                <w:rFonts w:asciiTheme="minorHAnsi" w:hAnsiTheme="minorHAnsi" w:cs="Arial"/>
                <w:sz w:val="20"/>
                <w:szCs w:val="20"/>
              </w:rPr>
            </w:pPr>
            <w:r w:rsidRPr="00DD361D">
              <w:rPr>
                <w:rFonts w:asciiTheme="minorHAnsi" w:hAnsiTheme="minorHAnsi" w:cs="Arial"/>
                <w:b w:val="0"/>
                <w:sz w:val="20"/>
                <w:szCs w:val="20"/>
                <w:lang w:val="en-AU"/>
              </w:rPr>
              <w:t xml:space="preserve">Section </w:t>
            </w:r>
            <w:r w:rsidR="00DD361D">
              <w:rPr>
                <w:rFonts w:asciiTheme="minorHAnsi" w:hAnsiTheme="minorHAnsi" w:cs="Arial"/>
                <w:b w:val="0"/>
                <w:sz w:val="20"/>
                <w:szCs w:val="20"/>
                <w:lang w:val="en-AU"/>
              </w:rPr>
              <w:t>Three</w:t>
            </w:r>
            <w:r w:rsidRPr="00DD361D">
              <w:rPr>
                <w:rFonts w:asciiTheme="minorHAnsi" w:hAnsiTheme="minorHAnsi" w:cs="Arial"/>
                <w:b w:val="0"/>
                <w:sz w:val="20"/>
                <w:szCs w:val="20"/>
                <w:lang w:val="en-AU"/>
              </w:rPr>
              <w:t xml:space="preserve">: </w:t>
            </w:r>
            <w:r w:rsidR="00DD361D">
              <w:rPr>
                <w:rFonts w:asciiTheme="minorHAnsi" w:hAnsiTheme="minorHAnsi" w:cs="Arial"/>
                <w:b w:val="0"/>
                <w:sz w:val="20"/>
                <w:szCs w:val="20"/>
                <w:lang w:val="en-AU"/>
              </w:rPr>
              <w:t>two</w:t>
            </w:r>
            <w:r w:rsidRPr="00DD361D">
              <w:rPr>
                <w:rFonts w:asciiTheme="minorHAnsi" w:hAnsiTheme="minorHAnsi" w:cs="Arial"/>
                <w:b w:val="0"/>
                <w:sz w:val="20"/>
                <w:szCs w:val="20"/>
                <w:lang w:val="en-AU"/>
              </w:rPr>
              <w:t xml:space="preserve"> questions from a choice of </w:t>
            </w:r>
            <w:r w:rsidR="00DD361D">
              <w:rPr>
                <w:rFonts w:asciiTheme="minorHAnsi" w:hAnsiTheme="minorHAnsi" w:cs="Arial"/>
                <w:b w:val="0"/>
                <w:sz w:val="20"/>
                <w:szCs w:val="20"/>
                <w:lang w:val="en-AU"/>
              </w:rPr>
              <w:t>three</w:t>
            </w:r>
            <w:r w:rsidRPr="00DD361D">
              <w:rPr>
                <w:rFonts w:asciiTheme="minorHAnsi" w:hAnsiTheme="minorHAnsi" w:cs="Arial"/>
                <w:b w:val="0"/>
                <w:sz w:val="20"/>
                <w:szCs w:val="20"/>
                <w:lang w:val="en-AU"/>
              </w:rPr>
              <w:t xml:space="preserve"> (40%)</w:t>
            </w:r>
          </w:p>
        </w:tc>
      </w:tr>
      <w:tr w:rsidR="00792E1A" w:rsidRPr="00F261F4" w:rsidTr="00D75B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20"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shd w:val="clear" w:color="auto" w:fill="D4CFE5" w:themeFill="accent4" w:themeFillTint="66"/>
            <w:vAlign w:val="center"/>
          </w:tcPr>
          <w:p w:rsidR="00792E1A" w:rsidRPr="00DD361D" w:rsidRDefault="00792E1A" w:rsidP="00DD361D">
            <w:pPr>
              <w:pStyle w:val="Title"/>
              <w:spacing w:before="60" w:after="60"/>
              <w:ind w:left="3"/>
              <w:rPr>
                <w:rFonts w:asciiTheme="minorHAnsi" w:hAnsiTheme="minorHAnsi" w:cs="Arial"/>
                <w:sz w:val="20"/>
                <w:szCs w:val="20"/>
              </w:rPr>
            </w:pPr>
            <w:r w:rsidRPr="00DD361D">
              <w:rPr>
                <w:rFonts w:asciiTheme="minorHAnsi" w:hAnsiTheme="minorHAnsi" w:cs="Arial"/>
                <w:sz w:val="20"/>
                <w:szCs w:val="20"/>
              </w:rPr>
              <w:t>Total</w:t>
            </w:r>
          </w:p>
        </w:tc>
        <w:tc>
          <w:tcPr>
            <w:tcW w:w="424"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shd w:val="clear" w:color="auto" w:fill="D4CFE5" w:themeFill="accent4" w:themeFillTint="66"/>
            <w:vAlign w:val="center"/>
          </w:tcPr>
          <w:p w:rsidR="00792E1A" w:rsidRPr="00DD361D" w:rsidRDefault="00792E1A" w:rsidP="00DD361D">
            <w:pPr>
              <w:pStyle w:val="Title"/>
              <w:spacing w:before="60" w:after="60"/>
              <w:ind w:left="93"/>
              <w:rPr>
                <w:rFonts w:asciiTheme="minorHAnsi" w:hAnsiTheme="minorHAnsi" w:cs="Arial"/>
                <w:sz w:val="20"/>
                <w:szCs w:val="20"/>
              </w:rPr>
            </w:pPr>
            <w:r w:rsidRPr="00DD361D">
              <w:rPr>
                <w:rFonts w:asciiTheme="minorHAnsi" w:hAnsiTheme="minorHAnsi" w:cs="Arial"/>
                <w:sz w:val="20"/>
                <w:szCs w:val="20"/>
              </w:rPr>
              <w:t>100%</w:t>
            </w:r>
          </w:p>
        </w:tc>
        <w:tc>
          <w:tcPr>
            <w:tcW w:w="443"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shd w:val="clear" w:color="auto" w:fill="D4CFE5" w:themeFill="accent4" w:themeFillTint="66"/>
            <w:vAlign w:val="center"/>
          </w:tcPr>
          <w:p w:rsidR="00792E1A" w:rsidRPr="00DD361D" w:rsidRDefault="00792E1A" w:rsidP="00DD361D">
            <w:pPr>
              <w:pStyle w:val="Title"/>
              <w:spacing w:before="60" w:after="60"/>
              <w:rPr>
                <w:rFonts w:asciiTheme="minorHAnsi" w:hAnsiTheme="minorHAnsi" w:cs="Arial"/>
                <w:bCs w:val="0"/>
                <w:sz w:val="20"/>
                <w:szCs w:val="20"/>
              </w:rPr>
            </w:pPr>
            <w:r w:rsidRPr="00DD361D">
              <w:rPr>
                <w:rFonts w:asciiTheme="minorHAnsi" w:hAnsiTheme="minorHAnsi" w:cs="Arial"/>
                <w:bCs w:val="0"/>
                <w:sz w:val="20"/>
                <w:szCs w:val="20"/>
              </w:rPr>
              <w:t>100%</w:t>
            </w:r>
          </w:p>
        </w:tc>
        <w:tc>
          <w:tcPr>
            <w:tcW w:w="547"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shd w:val="clear" w:color="auto" w:fill="D4CFE5" w:themeFill="accent4" w:themeFillTint="66"/>
          </w:tcPr>
          <w:p w:rsidR="00792E1A" w:rsidRPr="00DD361D" w:rsidRDefault="00792E1A" w:rsidP="00DD361D">
            <w:pPr>
              <w:pStyle w:val="Title"/>
              <w:spacing w:before="60" w:after="60"/>
              <w:ind w:left="93"/>
              <w:jc w:val="left"/>
              <w:rPr>
                <w:rFonts w:asciiTheme="minorHAnsi" w:hAnsiTheme="minorHAnsi" w:cs="Arial"/>
                <w:b w:val="0"/>
                <w:sz w:val="20"/>
                <w:szCs w:val="20"/>
              </w:rPr>
            </w:pPr>
          </w:p>
        </w:tc>
        <w:tc>
          <w:tcPr>
            <w:tcW w:w="3066" w:type="pct"/>
            <w:tcBorders>
              <w:top w:val="single" w:sz="2" w:space="0" w:color="BFB7D8" w:themeColor="accent4" w:themeTint="99"/>
              <w:left w:val="single" w:sz="2" w:space="0" w:color="BFB7D8" w:themeColor="accent4" w:themeTint="99"/>
              <w:bottom w:val="single" w:sz="2" w:space="0" w:color="BFB7D8" w:themeColor="accent4" w:themeTint="99"/>
              <w:right w:val="single" w:sz="2" w:space="0" w:color="BFB7D8" w:themeColor="accent4" w:themeTint="99"/>
            </w:tcBorders>
            <w:shd w:val="clear" w:color="auto" w:fill="D4CFE5" w:themeFill="accent4" w:themeFillTint="66"/>
            <w:vAlign w:val="center"/>
          </w:tcPr>
          <w:p w:rsidR="00792E1A" w:rsidRPr="00DD361D" w:rsidRDefault="00792E1A" w:rsidP="00DD361D">
            <w:pPr>
              <w:pStyle w:val="Title"/>
              <w:spacing w:before="60" w:after="60"/>
              <w:ind w:left="93" w:right="71"/>
              <w:jc w:val="left"/>
              <w:rPr>
                <w:rFonts w:asciiTheme="minorHAnsi" w:hAnsiTheme="minorHAnsi" w:cs="Arial"/>
                <w:b w:val="0"/>
                <w:sz w:val="20"/>
                <w:szCs w:val="20"/>
              </w:rPr>
            </w:pPr>
          </w:p>
        </w:tc>
      </w:tr>
    </w:tbl>
    <w:p w:rsidR="00792E1A" w:rsidRPr="004736E2" w:rsidRDefault="00792E1A" w:rsidP="00792E1A">
      <w:pPr>
        <w:rPr>
          <w:rFonts w:asciiTheme="minorHAnsi" w:hAnsiTheme="minorHAnsi"/>
        </w:rPr>
      </w:pPr>
    </w:p>
    <w:sectPr w:rsidR="00792E1A" w:rsidRPr="004736E2" w:rsidSect="00DD361D">
      <w:headerReference w:type="default" r:id="rId13"/>
      <w:footerReference w:type="default" r:id="rId14"/>
      <w:pgSz w:w="16838" w:h="11906" w:orient="landscape"/>
      <w:pgMar w:top="851"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E4" w:rsidRDefault="00AF2AE4" w:rsidP="00E35001">
      <w:r>
        <w:separator/>
      </w:r>
    </w:p>
  </w:endnote>
  <w:endnote w:type="continuationSeparator" w:id="0">
    <w:p w:rsidR="00AF2AE4" w:rsidRDefault="00AF2AE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1D" w:rsidRPr="00DE34C4" w:rsidRDefault="00DD361D" w:rsidP="00A41897">
    <w:pPr>
      <w:pStyle w:val="Footer"/>
      <w:pBdr>
        <w:top w:val="single" w:sz="4" w:space="4" w:color="5C815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D75B05">
      <w:rPr>
        <w:rFonts w:ascii="Franklin Gothic Book" w:hAnsi="Franklin Gothic Book"/>
        <w:noProof/>
        <w:color w:val="342568"/>
        <w:sz w:val="16"/>
        <w:szCs w:val="16"/>
      </w:rPr>
      <w:t>10769v5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1D" w:rsidRPr="00DE34C4" w:rsidRDefault="00DD361D" w:rsidP="00A41897">
    <w:pPr>
      <w:pStyle w:val="Footer"/>
      <w:pBdr>
        <w:top w:val="single" w:sz="4" w:space="4" w:color="5C815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49" w:rsidRPr="00DD361D" w:rsidRDefault="00DD361D" w:rsidP="00DD361D">
    <w:pPr>
      <w:pStyle w:val="Footer"/>
      <w:pBdr>
        <w:top w:val="single" w:sz="8" w:space="4" w:color="5C815C" w:themeColor="accent3" w:themeShade="BF"/>
      </w:pBdr>
      <w:tabs>
        <w:tab w:val="clear" w:pos="4513"/>
        <w:tab w:val="clear" w:pos="9026"/>
      </w:tabs>
      <w:ind w:left="-426" w:right="-359"/>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Children, Family and the Community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E4" w:rsidRDefault="00AF2AE4" w:rsidP="00E35001">
      <w:r>
        <w:separator/>
      </w:r>
    </w:p>
  </w:footnote>
  <w:footnote w:type="continuationSeparator" w:id="0">
    <w:p w:rsidR="00AF2AE4" w:rsidRDefault="00AF2AE4"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4F" w:rsidRDefault="008E6D4F" w:rsidP="008E6D4F">
    <w:pPr>
      <w:pStyle w:val="Header"/>
      <w:ind w:left="-709"/>
    </w:pPr>
    <w:r>
      <w:rPr>
        <w:noProof/>
        <w:lang w:val="en-AU"/>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D361D" w:rsidRDefault="00DD3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1D" w:rsidRPr="000C582A" w:rsidRDefault="005005C7" w:rsidP="00DD361D">
    <w:pPr>
      <w:pStyle w:val="Header"/>
      <w:pBdr>
        <w:bottom w:val="single" w:sz="8" w:space="1" w:color="5C815C" w:themeColor="accent3" w:themeShade="BF"/>
      </w:pBdr>
      <w:tabs>
        <w:tab w:val="clear" w:pos="4513"/>
        <w:tab w:val="clear" w:pos="9026"/>
      </w:tabs>
      <w:ind w:left="14175" w:right="-1068"/>
      <w:rPr>
        <w:rFonts w:ascii="Franklin Gothic Book" w:hAnsi="Franklin Gothic Book"/>
        <w:b/>
        <w:color w:val="46328C"/>
        <w:sz w:val="32"/>
      </w:rPr>
    </w:pPr>
    <w:r w:rsidRPr="001B3981">
      <w:rPr>
        <w:rFonts w:ascii="Franklin Gothic Book" w:hAnsi="Franklin Gothic Book"/>
        <w:b/>
        <w:color w:val="46328C"/>
        <w:sz w:val="32"/>
      </w:rPr>
      <w:fldChar w:fldCharType="begin"/>
    </w:r>
    <w:r w:rsidR="00DD361D"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6614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D361D" w:rsidRDefault="00DD3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51C49C5"/>
    <w:multiLevelType w:val="hybridMultilevel"/>
    <w:tmpl w:val="7EF28F36"/>
    <w:lvl w:ilvl="0" w:tplc="5CF4779C">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C162B00"/>
    <w:multiLevelType w:val="singleLevel"/>
    <w:tmpl w:val="FB26AA9E"/>
    <w:lvl w:ilvl="0">
      <w:numFmt w:val="decimal"/>
      <w:pStyle w:val="csbullet"/>
      <w:lvlText w:val=""/>
      <w:lvlJc w:val="left"/>
      <w:pPr>
        <w:ind w:left="0" w:firstLine="0"/>
      </w:p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5B4B65"/>
    <w:rsid w:val="00002A9D"/>
    <w:rsid w:val="002E179B"/>
    <w:rsid w:val="00307024"/>
    <w:rsid w:val="00313837"/>
    <w:rsid w:val="00361B00"/>
    <w:rsid w:val="0038490B"/>
    <w:rsid w:val="003C2E8B"/>
    <w:rsid w:val="003D60C7"/>
    <w:rsid w:val="00417E24"/>
    <w:rsid w:val="004736E2"/>
    <w:rsid w:val="005005C7"/>
    <w:rsid w:val="00526651"/>
    <w:rsid w:val="00560241"/>
    <w:rsid w:val="00571385"/>
    <w:rsid w:val="005B1866"/>
    <w:rsid w:val="005B4B65"/>
    <w:rsid w:val="005E725C"/>
    <w:rsid w:val="006D760B"/>
    <w:rsid w:val="00742345"/>
    <w:rsid w:val="0076055C"/>
    <w:rsid w:val="00767352"/>
    <w:rsid w:val="00792E1A"/>
    <w:rsid w:val="0083242D"/>
    <w:rsid w:val="008B35EB"/>
    <w:rsid w:val="008D2044"/>
    <w:rsid w:val="008E6D4F"/>
    <w:rsid w:val="00977EF6"/>
    <w:rsid w:val="00A1083E"/>
    <w:rsid w:val="00A15B26"/>
    <w:rsid w:val="00A44EC6"/>
    <w:rsid w:val="00A6614D"/>
    <w:rsid w:val="00A75CE9"/>
    <w:rsid w:val="00AF2AE4"/>
    <w:rsid w:val="00B329C8"/>
    <w:rsid w:val="00BB0BC2"/>
    <w:rsid w:val="00BC29F2"/>
    <w:rsid w:val="00C27E02"/>
    <w:rsid w:val="00C32428"/>
    <w:rsid w:val="00C33853"/>
    <w:rsid w:val="00C40B36"/>
    <w:rsid w:val="00CF2B72"/>
    <w:rsid w:val="00D75B05"/>
    <w:rsid w:val="00DC0357"/>
    <w:rsid w:val="00DC04C7"/>
    <w:rsid w:val="00DD361D"/>
    <w:rsid w:val="00E17DFE"/>
    <w:rsid w:val="00E35001"/>
    <w:rsid w:val="00E63C3E"/>
    <w:rsid w:val="00EC5449"/>
    <w:rsid w:val="00ED4901"/>
    <w:rsid w:val="00EE7E13"/>
    <w:rsid w:val="00F00D1B"/>
    <w:rsid w:val="00F261F4"/>
    <w:rsid w:val="00FD3C8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D361D"/>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D361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D361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D361D"/>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8E6D4F"/>
    <w:rPr>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DD361D"/>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D361D"/>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DD361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D361D"/>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8E6D4F"/>
    <w:rPr>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23</cp:revision>
  <cp:lastPrinted>2014-12-05T01:11:00Z</cp:lastPrinted>
  <dcterms:created xsi:type="dcterms:W3CDTF">2014-03-25T08:20:00Z</dcterms:created>
  <dcterms:modified xsi:type="dcterms:W3CDTF">2014-12-05T01:11:00Z</dcterms:modified>
</cp:coreProperties>
</file>