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50" w:rsidRPr="00A71521" w:rsidRDefault="00CE7050" w:rsidP="00CE7050">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F16C287" wp14:editId="2731A583">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CE7050" w:rsidRDefault="00CE7050" w:rsidP="00CE705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Health and Physical Education </w:t>
      </w:r>
    </w:p>
    <w:p w:rsidR="00CE7050" w:rsidRPr="00891E0F" w:rsidRDefault="00CE7050" w:rsidP="00CE705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rsidR="00CE7050" w:rsidRPr="00891E0F" w:rsidRDefault="00CE7050" w:rsidP="00CE7050">
      <w:pPr>
        <w:keepNext/>
        <w:jc w:val="center"/>
        <w:outlineLvl w:val="0"/>
        <w:rPr>
          <w:rFonts w:ascii="Calibri" w:hAnsi="Calibri"/>
          <w:b/>
          <w:lang w:val="x-none" w:eastAsia="x-none"/>
        </w:rPr>
      </w:pPr>
    </w:p>
    <w:p w:rsidR="00CE7050" w:rsidRPr="0025174E" w:rsidRDefault="00CE7050" w:rsidP="00CE7050">
      <w:pPr>
        <w:keepNext/>
        <w:spacing w:before="3500"/>
        <w:jc w:val="center"/>
        <w:outlineLvl w:val="0"/>
        <w:rPr>
          <w:rFonts w:ascii="Franklin Gothic Medium" w:hAnsi="Franklin Gothic Medium"/>
          <w:smallCaps/>
          <w:color w:val="463969"/>
          <w:sz w:val="52"/>
          <w:szCs w:val="52"/>
          <w:lang w:eastAsia="x-none"/>
        </w:rPr>
      </w:pPr>
    </w:p>
    <w:p w:rsidR="00CE7050" w:rsidRPr="0025174E" w:rsidRDefault="00CE7050" w:rsidP="00CE7050">
      <w:pPr>
        <w:spacing w:after="240"/>
        <w:rPr>
          <w:rFonts w:ascii="Franklin Gothic Book" w:hAnsi="Franklin Gothic Book"/>
          <w:sz w:val="44"/>
          <w:szCs w:val="44"/>
        </w:rPr>
      </w:pPr>
    </w:p>
    <w:p w:rsidR="00CE7050" w:rsidRPr="0025174E" w:rsidRDefault="00CE7050" w:rsidP="00CE7050">
      <w:pPr>
        <w:rPr>
          <w:b/>
          <w:sz w:val="28"/>
          <w:szCs w:val="28"/>
        </w:rPr>
      </w:pPr>
    </w:p>
    <w:p w:rsidR="00CE7050" w:rsidRPr="0025174E" w:rsidRDefault="00CE7050" w:rsidP="00CE7050">
      <w:pPr>
        <w:rPr>
          <w:b/>
          <w:sz w:val="28"/>
          <w:szCs w:val="28"/>
        </w:rPr>
      </w:pPr>
    </w:p>
    <w:p w:rsidR="00CE7050" w:rsidRPr="0025174E" w:rsidRDefault="00CE7050" w:rsidP="00CE7050">
      <w:pPr>
        <w:rPr>
          <w:b/>
          <w:sz w:val="28"/>
          <w:szCs w:val="28"/>
        </w:rPr>
      </w:pPr>
    </w:p>
    <w:p w:rsidR="00CE7050" w:rsidRPr="0025174E" w:rsidRDefault="00CE7050" w:rsidP="00CE7050">
      <w:pPr>
        <w:spacing w:before="10000" w:after="80" w:line="264" w:lineRule="auto"/>
        <w:jc w:val="both"/>
        <w:rPr>
          <w:b/>
          <w:sz w:val="16"/>
        </w:rPr>
      </w:pPr>
    </w:p>
    <w:p w:rsidR="00CE7050" w:rsidRPr="0025174E" w:rsidRDefault="00CE7050" w:rsidP="00CE7050">
      <w:pPr>
        <w:spacing w:before="10000" w:after="80" w:line="264" w:lineRule="auto"/>
        <w:jc w:val="both"/>
        <w:rPr>
          <w:rFonts w:ascii="Calibri" w:hAnsi="Calibri"/>
          <w:b/>
          <w:sz w:val="16"/>
        </w:rPr>
      </w:pPr>
      <w:r w:rsidRPr="0025174E">
        <w:rPr>
          <w:rFonts w:ascii="Calibri" w:hAnsi="Calibri"/>
          <w:b/>
          <w:sz w:val="16"/>
        </w:rPr>
        <w:t>Copyright</w:t>
      </w:r>
    </w:p>
    <w:p w:rsidR="00CE7050" w:rsidRPr="0025174E" w:rsidRDefault="00CE7050" w:rsidP="00CE7050">
      <w:pPr>
        <w:spacing w:after="80" w:line="264" w:lineRule="auto"/>
        <w:jc w:val="both"/>
        <w:rPr>
          <w:rFonts w:ascii="Calibri" w:hAnsi="Calibri"/>
          <w:sz w:val="16"/>
        </w:rPr>
      </w:pPr>
      <w:r w:rsidRPr="0025174E">
        <w:rPr>
          <w:rFonts w:ascii="Calibri" w:hAnsi="Calibri"/>
          <w:sz w:val="16"/>
        </w:rPr>
        <w:t>© School Curriculum and Standards Authority, 2014</w:t>
      </w:r>
    </w:p>
    <w:p w:rsidR="00CE7050" w:rsidRPr="0025174E" w:rsidRDefault="00CE7050" w:rsidP="00CE7050">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E7050" w:rsidRPr="0025174E" w:rsidRDefault="00CE7050" w:rsidP="00CE7050">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CE7050" w:rsidRPr="0025174E" w:rsidRDefault="00CE7050" w:rsidP="00CE7050">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w:t>
        </w:r>
        <w:r w:rsidR="00D7685A">
          <w:rPr>
            <w:rFonts w:asciiTheme="minorHAnsi" w:hAnsiTheme="minorHAnsi" w:cs="Arial"/>
            <w:color w:val="3333CC"/>
            <w:sz w:val="16"/>
            <w:szCs w:val="16"/>
            <w:u w:val="single"/>
          </w:rPr>
          <w:t>L</w:t>
        </w:r>
        <w:r w:rsidRPr="0025174E">
          <w:rPr>
            <w:rFonts w:asciiTheme="minorHAnsi" w:hAnsiTheme="minorHAnsi" w:cs="Arial"/>
            <w:color w:val="3333CC"/>
            <w:sz w:val="16"/>
            <w:szCs w:val="16"/>
            <w:u w:val="single"/>
          </w:rPr>
          <w:t>icence</w:t>
        </w:r>
      </w:hyperlink>
    </w:p>
    <w:p w:rsidR="00CE7050" w:rsidRPr="0025174E" w:rsidRDefault="00CE7050" w:rsidP="00CE7050">
      <w:pPr>
        <w:spacing w:after="80" w:line="264" w:lineRule="auto"/>
        <w:jc w:val="both"/>
        <w:rPr>
          <w:rFonts w:ascii="Calibri" w:hAnsi="Calibri"/>
          <w:b/>
          <w:sz w:val="16"/>
        </w:rPr>
      </w:pPr>
      <w:r w:rsidRPr="0025174E">
        <w:rPr>
          <w:rFonts w:ascii="Calibri" w:hAnsi="Calibri"/>
          <w:b/>
          <w:sz w:val="16"/>
        </w:rPr>
        <w:t>Disclaimer</w:t>
      </w:r>
    </w:p>
    <w:p w:rsidR="00CE7050" w:rsidRPr="0025174E" w:rsidRDefault="00CE7050" w:rsidP="00CE7050">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E7050" w:rsidRPr="0025174E" w:rsidRDefault="00CE7050" w:rsidP="00CE7050">
      <w:pPr>
        <w:spacing w:line="264" w:lineRule="auto"/>
        <w:jc w:val="both"/>
        <w:rPr>
          <w:rFonts w:ascii="Calibri" w:hAnsi="Calibri"/>
          <w:sz w:val="16"/>
        </w:rPr>
        <w:sectPr w:rsidR="00CE7050"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E7050" w:rsidRDefault="00CE7050" w:rsidP="00CE7050">
      <w:pPr>
        <w:pStyle w:val="Heading1"/>
      </w:pPr>
      <w:r>
        <w:lastRenderedPageBreak/>
        <w:t>Sample course outline</w:t>
      </w:r>
    </w:p>
    <w:p w:rsidR="00CE7050" w:rsidRPr="00855E0F" w:rsidRDefault="00CE7050" w:rsidP="00CE7050">
      <w:pPr>
        <w:pStyle w:val="Heading1"/>
      </w:pPr>
      <w:r w:rsidRPr="00606A05">
        <w:rPr>
          <w:lang w:val="it-IT"/>
        </w:rPr>
        <w:t>Health and Physical Education</w:t>
      </w:r>
      <w:r>
        <w:t xml:space="preserve"> – Preliminary</w:t>
      </w:r>
    </w:p>
    <w:p w:rsidR="00CE7050" w:rsidRPr="004C6186" w:rsidRDefault="00CE7050" w:rsidP="00CE7050">
      <w:pPr>
        <w:pStyle w:val="Heading4"/>
      </w:pPr>
      <w:r>
        <w:t xml:space="preserve">Unit </w:t>
      </w:r>
      <w:r>
        <w:rPr>
          <w:lang w:val="en-AU"/>
        </w:rPr>
        <w:t>3</w:t>
      </w:r>
      <w:r>
        <w:t xml:space="preserve"> (notional timeframe only – may take up to a whole year)</w:t>
      </w:r>
    </w:p>
    <w:tbl>
      <w:tblPr>
        <w:tblStyle w:val="TableGrid"/>
        <w:tblW w:w="10064"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245"/>
        <w:gridCol w:w="3826"/>
      </w:tblGrid>
      <w:tr w:rsidR="00CE7050" w:rsidRPr="0025174E" w:rsidTr="00F715DE">
        <w:trPr>
          <w:cantSplit/>
          <w:tblHeader/>
        </w:trPr>
        <w:tc>
          <w:tcPr>
            <w:tcW w:w="993" w:type="dxa"/>
            <w:tcBorders>
              <w:right w:val="single" w:sz="4" w:space="0" w:color="FFFFFF" w:themeColor="background1"/>
            </w:tcBorders>
            <w:shd w:val="clear" w:color="auto" w:fill="BD9FCF" w:themeFill="accent4"/>
            <w:vAlign w:val="center"/>
            <w:hideMark/>
          </w:tcPr>
          <w:p w:rsidR="00CE7050" w:rsidRPr="00324ACE" w:rsidRDefault="00CE7050" w:rsidP="00F715D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245" w:type="dxa"/>
            <w:tcBorders>
              <w:left w:val="single" w:sz="4" w:space="0" w:color="FFFFFF" w:themeColor="background1"/>
              <w:right w:val="single" w:sz="4" w:space="0" w:color="FFFFFF" w:themeColor="background1"/>
            </w:tcBorders>
            <w:shd w:val="clear" w:color="auto" w:fill="BD9FCF" w:themeFill="accent4"/>
            <w:vAlign w:val="center"/>
            <w:hideMark/>
          </w:tcPr>
          <w:p w:rsidR="00CE7050" w:rsidRPr="00324ACE" w:rsidRDefault="00CE7050" w:rsidP="00F715D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3826" w:type="dxa"/>
            <w:tcBorders>
              <w:left w:val="single" w:sz="4" w:space="0" w:color="FFFFFF" w:themeColor="background1"/>
            </w:tcBorders>
            <w:shd w:val="clear" w:color="auto" w:fill="BD9FCF" w:themeFill="accent4"/>
          </w:tcPr>
          <w:p w:rsidR="00CE7050" w:rsidRPr="00324ACE" w:rsidRDefault="00CE7050" w:rsidP="00F715D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CE7050" w:rsidRPr="0025174E" w:rsidTr="00F715DE">
        <w:trPr>
          <w:cantSplit/>
        </w:trPr>
        <w:tc>
          <w:tcPr>
            <w:tcW w:w="993" w:type="dxa"/>
            <w:shd w:val="clear" w:color="auto" w:fill="E4D8EB" w:themeFill="accent4" w:themeFillTint="66"/>
            <w:vAlign w:val="center"/>
            <w:hideMark/>
          </w:tcPr>
          <w:p w:rsidR="00CE7050" w:rsidRPr="00324ACE" w:rsidRDefault="00CE7050" w:rsidP="00F715D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245" w:type="dxa"/>
          </w:tcPr>
          <w:p w:rsidR="00CE7050" w:rsidRPr="00C72CCF"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xml:space="preserve"> per week, focused on:</w:t>
            </w:r>
          </w:p>
          <w:p w:rsidR="00CE7050" w:rsidRDefault="00CE7050" w:rsidP="00F715DE">
            <w:pPr>
              <w:pStyle w:val="ListParagraph"/>
              <w:numPr>
                <w:ilvl w:val="0"/>
                <w:numId w:val="10"/>
              </w:numPr>
              <w:spacing w:after="80"/>
              <w:ind w:left="317"/>
              <w:rPr>
                <w:rFonts w:asciiTheme="minorHAnsi" w:hAnsiTheme="minorHAnsi" w:cs="Arial"/>
                <w:sz w:val="20"/>
                <w:szCs w:val="20"/>
                <w:lang w:eastAsia="en-US"/>
              </w:rPr>
            </w:pPr>
            <w:r>
              <w:rPr>
                <w:rFonts w:asciiTheme="minorHAnsi" w:hAnsiTheme="minorHAnsi" w:cs="Arial"/>
                <w:sz w:val="20"/>
                <w:szCs w:val="20"/>
                <w:lang w:eastAsia="en-US"/>
              </w:rPr>
              <w:t>b</w:t>
            </w:r>
            <w:r w:rsidRPr="00C72CCF">
              <w:rPr>
                <w:rFonts w:asciiTheme="minorHAnsi" w:hAnsiTheme="minorHAnsi" w:cs="Arial"/>
                <w:sz w:val="20"/>
                <w:szCs w:val="20"/>
                <w:lang w:eastAsia="en-US"/>
              </w:rPr>
              <w:t>rainstorm</w:t>
            </w:r>
            <w:r>
              <w:rPr>
                <w:rFonts w:asciiTheme="minorHAnsi" w:hAnsiTheme="minorHAnsi" w:cs="Arial"/>
                <w:sz w:val="20"/>
                <w:szCs w:val="20"/>
                <w:lang w:eastAsia="en-US"/>
              </w:rPr>
              <w:t>ing and demonstrating rules through first game and reflection</w:t>
            </w:r>
          </w:p>
          <w:p w:rsidR="00CE7050" w:rsidRPr="00C72CCF" w:rsidRDefault="00CE7050" w:rsidP="00F715DE">
            <w:pPr>
              <w:pStyle w:val="ListParagraph"/>
              <w:numPr>
                <w:ilvl w:val="0"/>
                <w:numId w:val="10"/>
              </w:numPr>
              <w:spacing w:after="80"/>
              <w:ind w:left="317"/>
              <w:rPr>
                <w:rFonts w:asciiTheme="minorHAnsi" w:hAnsiTheme="minorHAnsi" w:cs="Arial"/>
                <w:sz w:val="20"/>
                <w:szCs w:val="20"/>
                <w:lang w:eastAsia="en-US"/>
              </w:rPr>
            </w:pPr>
            <w:r>
              <w:rPr>
                <w:rFonts w:asciiTheme="minorHAnsi" w:hAnsiTheme="minorHAnsi" w:cs="Arial"/>
                <w:sz w:val="20"/>
                <w:szCs w:val="20"/>
                <w:lang w:eastAsia="en-US"/>
              </w:rPr>
              <w:t>d</w:t>
            </w:r>
            <w:r w:rsidRPr="00C72CCF">
              <w:rPr>
                <w:rFonts w:asciiTheme="minorHAnsi" w:hAnsiTheme="minorHAnsi" w:cs="Arial"/>
                <w:sz w:val="20"/>
                <w:szCs w:val="20"/>
                <w:lang w:eastAsia="en-US"/>
              </w:rPr>
              <w:t>iscuss</w:t>
            </w:r>
            <w:r>
              <w:rPr>
                <w:rFonts w:asciiTheme="minorHAnsi" w:hAnsiTheme="minorHAnsi" w:cs="Arial"/>
                <w:sz w:val="20"/>
                <w:szCs w:val="20"/>
                <w:lang w:eastAsia="en-US"/>
              </w:rPr>
              <w:t>ing additional basic rules for a chosen sport/activity</w:t>
            </w:r>
          </w:p>
          <w:p w:rsidR="00CE7050" w:rsidRDefault="00CE7050" w:rsidP="00F715DE">
            <w:pPr>
              <w:pStyle w:val="ListParagraph"/>
              <w:numPr>
                <w:ilvl w:val="0"/>
                <w:numId w:val="10"/>
              </w:numPr>
              <w:spacing w:after="80"/>
              <w:ind w:left="317"/>
              <w:rPr>
                <w:rFonts w:asciiTheme="minorHAnsi" w:hAnsiTheme="minorHAnsi" w:cs="Arial"/>
                <w:sz w:val="20"/>
                <w:szCs w:val="20"/>
                <w:lang w:eastAsia="en-US"/>
              </w:rPr>
            </w:pPr>
            <w:r>
              <w:rPr>
                <w:rFonts w:asciiTheme="minorHAnsi" w:hAnsiTheme="minorHAnsi" w:cs="Arial"/>
                <w:sz w:val="20"/>
                <w:szCs w:val="20"/>
                <w:lang w:eastAsia="en-US"/>
              </w:rPr>
              <w:t>the development of fundamental movement skills</w:t>
            </w:r>
          </w:p>
          <w:p w:rsidR="00CE7050" w:rsidRPr="0017500C" w:rsidRDefault="00CE7050" w:rsidP="00F715DE">
            <w:pPr>
              <w:rPr>
                <w:rFonts w:asciiTheme="minorHAnsi" w:hAnsiTheme="minorHAnsi" w:cs="Arial"/>
                <w:sz w:val="20"/>
                <w:szCs w:val="20"/>
                <w:lang w:eastAsia="en-US"/>
              </w:rPr>
            </w:pPr>
          </w:p>
        </w:tc>
        <w:tc>
          <w:tcPr>
            <w:tcW w:w="3826" w:type="dxa"/>
          </w:tcPr>
          <w:p w:rsidR="00CE7050" w:rsidRPr="000C7E7D" w:rsidRDefault="00CE7050" w:rsidP="00F715DE">
            <w:pPr>
              <w:pStyle w:val="ListParagraph"/>
              <w:numPr>
                <w:ilvl w:val="0"/>
                <w:numId w:val="10"/>
              </w:numPr>
              <w:spacing w:after="80"/>
              <w:ind w:left="317"/>
              <w:rPr>
                <w:rFonts w:asciiTheme="minorHAnsi" w:hAnsiTheme="minorHAnsi" w:cs="Arial"/>
                <w:sz w:val="20"/>
                <w:szCs w:val="20"/>
                <w:lang w:eastAsia="en-US"/>
              </w:rPr>
            </w:pPr>
            <w:r w:rsidRPr="000C7E7D">
              <w:rPr>
                <w:rFonts w:asciiTheme="minorHAnsi" w:hAnsiTheme="minorHAnsi" w:cs="Arial"/>
                <w:sz w:val="20"/>
                <w:szCs w:val="20"/>
                <w:lang w:eastAsia="en-US"/>
              </w:rPr>
              <w:t>fundamental movement skills</w:t>
            </w:r>
          </w:p>
          <w:p w:rsidR="00CE7050" w:rsidRPr="000C7E7D" w:rsidRDefault="00CE7050" w:rsidP="00F715DE">
            <w:pPr>
              <w:pStyle w:val="ListParagraph"/>
              <w:numPr>
                <w:ilvl w:val="0"/>
                <w:numId w:val="10"/>
              </w:numPr>
              <w:spacing w:after="80"/>
              <w:ind w:left="317"/>
              <w:rPr>
                <w:rFonts w:asciiTheme="minorHAnsi" w:hAnsiTheme="minorHAnsi" w:cs="Arial"/>
                <w:sz w:val="20"/>
                <w:szCs w:val="20"/>
                <w:lang w:eastAsia="en-US"/>
              </w:rPr>
            </w:pPr>
            <w:r w:rsidRPr="000C7E7D">
              <w:rPr>
                <w:rFonts w:asciiTheme="minorHAnsi" w:hAnsiTheme="minorHAnsi" w:cs="Arial"/>
                <w:sz w:val="20"/>
                <w:szCs w:val="20"/>
                <w:lang w:eastAsia="en-US"/>
              </w:rPr>
              <w:t>coordinated</w:t>
            </w:r>
            <w:r>
              <w:rPr>
                <w:rFonts w:asciiTheme="minorHAnsi" w:hAnsiTheme="minorHAnsi" w:cs="Arial"/>
                <w:sz w:val="20"/>
                <w:szCs w:val="20"/>
                <w:lang w:eastAsia="en-US"/>
              </w:rPr>
              <w:t>,</w:t>
            </w:r>
            <w:r w:rsidRPr="000C7E7D">
              <w:rPr>
                <w:rFonts w:asciiTheme="minorHAnsi" w:hAnsiTheme="minorHAnsi" w:cs="Arial"/>
                <w:sz w:val="20"/>
                <w:szCs w:val="20"/>
                <w:lang w:eastAsia="en-US"/>
              </w:rPr>
              <w:t xml:space="preserve"> balanced movement in individual activities</w:t>
            </w:r>
          </w:p>
          <w:p w:rsidR="00CE7050" w:rsidRPr="000C7E7D" w:rsidRDefault="00CE7050" w:rsidP="00F715DE">
            <w:pPr>
              <w:pStyle w:val="ListParagraph"/>
              <w:numPr>
                <w:ilvl w:val="0"/>
                <w:numId w:val="10"/>
              </w:numPr>
              <w:spacing w:after="80"/>
              <w:ind w:left="317"/>
              <w:rPr>
                <w:rFonts w:asciiTheme="minorHAnsi" w:hAnsiTheme="minorHAnsi" w:cs="Arial"/>
                <w:sz w:val="20"/>
                <w:szCs w:val="20"/>
                <w:lang w:eastAsia="en-US"/>
              </w:rPr>
            </w:pPr>
            <w:r w:rsidRPr="000C7E7D">
              <w:rPr>
                <w:rFonts w:asciiTheme="minorHAnsi" w:hAnsiTheme="minorHAnsi" w:cs="Arial"/>
                <w:sz w:val="20"/>
                <w:szCs w:val="20"/>
                <w:lang w:eastAsia="en-US"/>
              </w:rPr>
              <w:t>skills to control an object in modified game situations</w:t>
            </w:r>
          </w:p>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0C7E7D">
              <w:rPr>
                <w:rFonts w:asciiTheme="minorHAnsi" w:hAnsiTheme="minorHAnsi" w:cs="Arial"/>
                <w:sz w:val="20"/>
                <w:szCs w:val="20"/>
                <w:lang w:eastAsia="en-US"/>
              </w:rPr>
              <w:t>basic rules and safety concepts when moving and interacting</w:t>
            </w:r>
            <w:r w:rsidRPr="007B56E0">
              <w:rPr>
                <w:rFonts w:asciiTheme="minorHAnsi" w:hAnsiTheme="minorHAnsi" w:cs="Arial"/>
                <w:sz w:val="20"/>
                <w:lang w:eastAsia="en-US"/>
              </w:rPr>
              <w:t xml:space="preserve"> with others in a variety of activity settings</w:t>
            </w:r>
          </w:p>
          <w:p w:rsidR="00CE7050" w:rsidRPr="007B56E0" w:rsidRDefault="00CE7050" w:rsidP="00F715DE">
            <w:pPr>
              <w:spacing w:after="80"/>
              <w:rPr>
                <w:rFonts w:asciiTheme="minorHAnsi" w:hAnsiTheme="minorHAnsi" w:cs="Arial"/>
                <w:sz w:val="20"/>
                <w:lang w:eastAsia="en-US"/>
              </w:rPr>
            </w:pPr>
            <w:r w:rsidRPr="007B56E0">
              <w:rPr>
                <w:rFonts w:asciiTheme="minorHAnsi" w:hAnsiTheme="minorHAnsi" w:cstheme="minorHAnsi"/>
                <w:b/>
                <w:sz w:val="20"/>
              </w:rPr>
              <w:t>Note:</w:t>
            </w:r>
            <w:r w:rsidRPr="007B56E0">
              <w:rPr>
                <w:rFonts w:asciiTheme="minorHAnsi" w:hAnsiTheme="minorHAnsi" w:cstheme="minorHAnsi"/>
                <w:sz w:val="20"/>
              </w:rPr>
              <w:t xml:space="preserve"> The above content areas are ongoing and will be addressed throughout the practical skill development teaching and learning activities</w:t>
            </w:r>
            <w:r w:rsidRPr="007B56E0">
              <w:rPr>
                <w:rFonts w:asciiTheme="minorHAnsi" w:hAnsiTheme="minorHAnsi" w:cs="Arial"/>
                <w:sz w:val="20"/>
                <w:lang w:eastAsia="en-US"/>
              </w:rPr>
              <w:t xml:space="preserve"> for two sessions per week</w:t>
            </w:r>
            <w:r>
              <w:rPr>
                <w:rFonts w:asciiTheme="minorHAnsi" w:hAnsiTheme="minorHAnsi" w:cs="Arial"/>
                <w:sz w:val="20"/>
                <w:lang w:eastAsia="en-US"/>
              </w:rPr>
              <w:t>.</w:t>
            </w:r>
          </w:p>
        </w:tc>
      </w:tr>
      <w:tr w:rsidR="00CE7050" w:rsidRPr="0025174E" w:rsidTr="00F715DE">
        <w:trPr>
          <w:cantSplit/>
        </w:trPr>
        <w:tc>
          <w:tcPr>
            <w:tcW w:w="993" w:type="dxa"/>
            <w:shd w:val="clear" w:color="auto" w:fill="E4D8EB" w:themeFill="accent4" w:themeFillTint="66"/>
            <w:vAlign w:val="center"/>
            <w:hideMark/>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a relationship?</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definition of respect</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a person can show respect</w:t>
            </w:r>
          </w:p>
          <w:p w:rsidR="00CE7050" w:rsidRPr="00F86721"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reasons why showing respect is important</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relationships and sexuality</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characteristics of healthy relationships, including self-respect and respect for others</w:t>
            </w:r>
          </w:p>
        </w:tc>
      </w:tr>
      <w:tr w:rsidR="00CE7050" w:rsidRPr="0025174E" w:rsidTr="00F715DE">
        <w:trPr>
          <w:cantSplit/>
        </w:trPr>
        <w:tc>
          <w:tcPr>
            <w:tcW w:w="993" w:type="dxa"/>
            <w:shd w:val="clear" w:color="auto" w:fill="E4D8EB" w:themeFill="accent4" w:themeFillTint="66"/>
            <w:vAlign w:val="center"/>
            <w:hideMark/>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4–</w:t>
            </w:r>
            <w:r w:rsidRPr="00F21C7B">
              <w:rPr>
                <w:rFonts w:asciiTheme="minorHAnsi" w:hAnsiTheme="minorHAnsi" w:cs="Arial"/>
                <w:sz w:val="20"/>
                <w:szCs w:val="20"/>
                <w:lang w:eastAsia="en-US"/>
              </w:rPr>
              <w:t>5</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Pr="00C72CCF"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techniques, practices and behaviour that will assist in maintaining positive relationships</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relationships and sexuality</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ways to support and maintain healthy relationships</w:t>
            </w:r>
          </w:p>
        </w:tc>
      </w:tr>
      <w:tr w:rsidR="00CE7050" w:rsidRPr="0025174E" w:rsidTr="00F715DE">
        <w:trPr>
          <w:cantSplit/>
        </w:trPr>
        <w:tc>
          <w:tcPr>
            <w:tcW w:w="993" w:type="dxa"/>
            <w:shd w:val="clear" w:color="auto" w:fill="E4D8EB" w:themeFill="accent4" w:themeFillTint="66"/>
            <w:vAlign w:val="center"/>
            <w:hideMark/>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6–7</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puberty and adolescence?</w:t>
            </w:r>
          </w:p>
          <w:p w:rsidR="00CE7050" w:rsidRPr="00C72CCF"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various physical and emotional changes that a person may go through during puberty</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relationships and sexuality</w:t>
            </w:r>
          </w:p>
          <w:p w:rsidR="00CE7050" w:rsidRPr="007B56E0" w:rsidRDefault="00CE7050" w:rsidP="00F715DE">
            <w:pPr>
              <w:pStyle w:val="ListParagraph"/>
              <w:numPr>
                <w:ilvl w:val="0"/>
                <w:numId w:val="16"/>
              </w:numPr>
              <w:rPr>
                <w:rFonts w:asciiTheme="minorHAnsi" w:hAnsiTheme="minorHAnsi" w:cs="Arial"/>
                <w:sz w:val="20"/>
                <w:lang w:eastAsia="en-US"/>
              </w:rPr>
            </w:pPr>
            <w:r w:rsidRPr="007B56E0">
              <w:rPr>
                <w:rFonts w:ascii="Calibri" w:eastAsiaTheme="minorEastAsia" w:hAnsi="Calibri" w:cstheme="minorBidi"/>
                <w:sz w:val="20"/>
                <w:lang w:eastAsia="en-US"/>
              </w:rPr>
              <w:t>physical and emotional changes associated with puberty and adolescence</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8–9</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a variety of healthy and unhealthy foods</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makes food unhealthy?</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how</w:t>
            </w:r>
            <w:proofErr w:type="gramEnd"/>
            <w:r>
              <w:rPr>
                <w:rFonts w:asciiTheme="minorHAnsi" w:hAnsiTheme="minorHAnsi" w:cs="Arial"/>
                <w:sz w:val="20"/>
                <w:szCs w:val="20"/>
                <w:lang w:eastAsia="en-US"/>
              </w:rPr>
              <w:t xml:space="preserve"> does healthy food affect the body?</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spellStart"/>
            <w:r>
              <w:rPr>
                <w:rFonts w:asciiTheme="minorHAnsi" w:hAnsiTheme="minorHAnsi" w:cs="Arial"/>
                <w:sz w:val="20"/>
                <w:szCs w:val="20"/>
                <w:lang w:eastAsia="en-US"/>
              </w:rPr>
              <w:t>Iiformation</w:t>
            </w:r>
            <w:proofErr w:type="spellEnd"/>
            <w:r>
              <w:rPr>
                <w:rFonts w:asciiTheme="minorHAnsi" w:hAnsiTheme="minorHAnsi" w:cs="Arial"/>
                <w:sz w:val="20"/>
                <w:szCs w:val="20"/>
                <w:lang w:eastAsia="en-US"/>
              </w:rPr>
              <w:t xml:space="preserve"> on food labels</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interpreting food labels</w:t>
            </w:r>
          </w:p>
          <w:p w:rsidR="00CE7050" w:rsidRDefault="00CE7050" w:rsidP="00F715DE">
            <w:pPr>
              <w:rPr>
                <w:rFonts w:asciiTheme="minorHAnsi" w:hAnsiTheme="minorHAnsi" w:cs="Arial"/>
                <w:sz w:val="20"/>
                <w:szCs w:val="20"/>
                <w:lang w:eastAsia="en-US"/>
              </w:rPr>
            </w:pPr>
          </w:p>
          <w:p w:rsidR="00CE7050" w:rsidRPr="0017500C" w:rsidRDefault="00CE7050" w:rsidP="00F715DE">
            <w:pPr>
              <w:rPr>
                <w:rFonts w:asciiTheme="minorHAnsi" w:hAnsiTheme="minorHAnsi" w:cs="Arial"/>
                <w:sz w:val="20"/>
                <w:szCs w:val="20"/>
                <w:lang w:eastAsia="en-US"/>
              </w:rPr>
            </w:pPr>
            <w:r>
              <w:rPr>
                <w:rFonts w:asciiTheme="minorHAnsi" w:hAnsiTheme="minorHAnsi" w:cs="Arial"/>
                <w:b/>
                <w:sz w:val="20"/>
                <w:szCs w:val="20"/>
                <w:lang w:eastAsia="en-US"/>
              </w:rPr>
              <w:t>Task 1 due Week 8</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nutrition</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healthy eating</w:t>
            </w:r>
          </w:p>
          <w:p w:rsidR="00CE7050" w:rsidRPr="007B56E0" w:rsidRDefault="00CE7050" w:rsidP="00F715DE">
            <w:pPr>
              <w:pStyle w:val="ListParagraph"/>
              <w:numPr>
                <w:ilvl w:val="0"/>
                <w:numId w:val="16"/>
              </w:numPr>
              <w:rPr>
                <w:rFonts w:asciiTheme="minorHAnsi" w:hAnsiTheme="minorHAnsi" w:cs="Arial"/>
                <w:sz w:val="20"/>
                <w:lang w:eastAsia="en-US"/>
              </w:rPr>
            </w:pPr>
            <w:r w:rsidRPr="007B56E0">
              <w:rPr>
                <w:rFonts w:ascii="Calibri" w:eastAsiaTheme="minorEastAsia" w:hAnsi="Calibri" w:cstheme="minorBidi"/>
                <w:sz w:val="20"/>
                <w:lang w:eastAsia="en-US"/>
              </w:rPr>
              <w:t>consumer health – labels and advertising</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10–11</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a communicable disease?</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common communicable diseases</w:t>
            </w:r>
          </w:p>
          <w:p w:rsidR="00CE7050" w:rsidRPr="000A49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ways in which these diseases may affect the body</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communicable diseases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identify types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risk factors</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12–13</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strategies to avoid contracting a communicable disease</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reliable sources of help in dealing with a communicable disease</w:t>
            </w:r>
          </w:p>
          <w:p w:rsidR="00CE7050" w:rsidRDefault="00CE7050" w:rsidP="00F715DE">
            <w:pPr>
              <w:rPr>
                <w:rFonts w:asciiTheme="minorHAnsi" w:hAnsiTheme="minorHAnsi" w:cs="Arial"/>
                <w:sz w:val="20"/>
                <w:szCs w:val="20"/>
                <w:lang w:eastAsia="en-US"/>
              </w:rPr>
            </w:pPr>
          </w:p>
          <w:p w:rsidR="00CE7050" w:rsidRPr="0017500C" w:rsidRDefault="00CE7050" w:rsidP="00F715DE">
            <w:pPr>
              <w:rPr>
                <w:rFonts w:asciiTheme="minorHAnsi" w:hAnsiTheme="minorHAnsi" w:cs="Arial"/>
                <w:sz w:val="20"/>
                <w:szCs w:val="20"/>
                <w:lang w:eastAsia="en-US"/>
              </w:rPr>
            </w:pPr>
            <w:r>
              <w:rPr>
                <w:rFonts w:asciiTheme="minorHAnsi" w:hAnsiTheme="minorHAnsi" w:cs="Arial"/>
                <w:b/>
                <w:sz w:val="20"/>
                <w:szCs w:val="20"/>
                <w:lang w:eastAsia="en-US"/>
              </w:rPr>
              <w:t>Task 2 due Week 13</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communicable diseases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prevention (harm minimisation)</w:t>
            </w:r>
          </w:p>
          <w:p w:rsidR="00CE7050" w:rsidRPr="007B56E0" w:rsidRDefault="00CE7050" w:rsidP="00F715DE">
            <w:pPr>
              <w:pStyle w:val="ListParagraph"/>
              <w:numPr>
                <w:ilvl w:val="0"/>
                <w:numId w:val="16"/>
              </w:numPr>
              <w:rPr>
                <w:sz w:val="20"/>
              </w:rPr>
            </w:pPr>
            <w:r w:rsidRPr="007B56E0">
              <w:rPr>
                <w:rFonts w:ascii="Calibri" w:eastAsiaTheme="minorEastAsia" w:hAnsi="Calibri" w:cstheme="minorBidi"/>
                <w:sz w:val="20"/>
                <w:lang w:eastAsia="en-US"/>
              </w:rPr>
              <w:t>where to go for help</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14</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various sources of reliable health information</w:t>
            </w:r>
          </w:p>
          <w:p w:rsidR="00CE7050" w:rsidRDefault="00CE7050" w:rsidP="00F715DE">
            <w:pPr>
              <w:rPr>
                <w:rFonts w:asciiTheme="minorHAnsi" w:hAnsiTheme="minorHAnsi" w:cs="Arial"/>
                <w:sz w:val="20"/>
                <w:szCs w:val="20"/>
                <w:lang w:eastAsia="en-US"/>
              </w:rPr>
            </w:pPr>
          </w:p>
          <w:p w:rsidR="00CE7050" w:rsidRPr="0017500C" w:rsidRDefault="00CE7050" w:rsidP="00F715DE">
            <w:pPr>
              <w:rPr>
                <w:rFonts w:asciiTheme="minorHAnsi" w:hAnsiTheme="minorHAnsi" w:cs="Arial"/>
                <w:b/>
                <w:sz w:val="20"/>
                <w:szCs w:val="20"/>
                <w:lang w:eastAsia="en-US"/>
              </w:rPr>
            </w:pPr>
            <w:r>
              <w:rPr>
                <w:rFonts w:asciiTheme="minorHAnsi" w:hAnsiTheme="minorHAnsi" w:cs="Arial"/>
                <w:b/>
                <w:sz w:val="20"/>
                <w:szCs w:val="20"/>
                <w:lang w:eastAsia="en-US"/>
              </w:rPr>
              <w:t>Task 3 due Week 14</w:t>
            </w:r>
          </w:p>
        </w:tc>
        <w:tc>
          <w:tcPr>
            <w:tcW w:w="3826" w:type="dxa"/>
          </w:tcPr>
          <w:p w:rsidR="00CE7050" w:rsidRPr="007B56E0" w:rsidRDefault="00CE7050" w:rsidP="00F715DE">
            <w:pPr>
              <w:pStyle w:val="ListParagraph"/>
              <w:numPr>
                <w:ilvl w:val="0"/>
                <w:numId w:val="10"/>
              </w:numPr>
              <w:spacing w:after="80"/>
              <w:ind w:left="317"/>
              <w:rPr>
                <w:rFonts w:ascii="Calibri" w:eastAsiaTheme="minorEastAsia" w:hAnsi="Calibri" w:cstheme="minorBidi"/>
                <w:sz w:val="20"/>
                <w:lang w:eastAsia="en-US"/>
              </w:rPr>
            </w:pPr>
            <w:r w:rsidRPr="007B56E0">
              <w:rPr>
                <w:rFonts w:asciiTheme="minorHAnsi" w:hAnsiTheme="minorHAnsi" w:cs="Arial"/>
                <w:sz w:val="20"/>
                <w:lang w:eastAsia="en-US"/>
              </w:rPr>
              <w:t>asking questions about health from different sources, including teachers, school counsellor, healthcare professionals</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5245" w:type="dxa"/>
            <w:tcBorders>
              <w:bottom w:val="nil"/>
            </w:tcBorders>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Techniques a person can use in order to obtain required information</w:t>
            </w:r>
          </w:p>
          <w:p w:rsidR="00CE7050" w:rsidRDefault="00CE7050" w:rsidP="00F715DE">
            <w:pPr>
              <w:rPr>
                <w:rFonts w:asciiTheme="minorHAnsi" w:hAnsiTheme="minorHAnsi" w:cs="Arial"/>
                <w:b/>
                <w:sz w:val="20"/>
                <w:szCs w:val="20"/>
                <w:lang w:eastAsia="en-US"/>
              </w:rPr>
            </w:pPr>
          </w:p>
          <w:p w:rsidR="00CE7050" w:rsidRPr="0017500C" w:rsidRDefault="00CE7050" w:rsidP="00F715DE">
            <w:pPr>
              <w:rPr>
                <w:rFonts w:asciiTheme="minorHAnsi" w:hAnsiTheme="minorHAnsi" w:cs="Arial"/>
                <w:b/>
                <w:sz w:val="20"/>
                <w:szCs w:val="20"/>
                <w:lang w:eastAsia="en-US"/>
              </w:rPr>
            </w:pPr>
            <w:r>
              <w:rPr>
                <w:rFonts w:asciiTheme="minorHAnsi" w:hAnsiTheme="minorHAnsi" w:cs="Arial"/>
                <w:b/>
                <w:sz w:val="20"/>
                <w:szCs w:val="20"/>
                <w:lang w:eastAsia="en-US"/>
              </w:rPr>
              <w:t xml:space="preserve">Task 4 due </w:t>
            </w:r>
            <w:proofErr w:type="gramStart"/>
            <w:r>
              <w:rPr>
                <w:rFonts w:asciiTheme="minorHAnsi" w:hAnsiTheme="minorHAnsi" w:cs="Arial"/>
                <w:b/>
                <w:sz w:val="20"/>
                <w:szCs w:val="20"/>
                <w:lang w:eastAsia="en-US"/>
              </w:rPr>
              <w:t>Week</w:t>
            </w:r>
            <w:proofErr w:type="gramEnd"/>
            <w:r>
              <w:rPr>
                <w:rFonts w:asciiTheme="minorHAnsi" w:hAnsiTheme="minorHAnsi" w:cs="Arial"/>
                <w:b/>
                <w:sz w:val="20"/>
                <w:szCs w:val="20"/>
                <w:lang w:eastAsia="en-US"/>
              </w:rPr>
              <w:t xml:space="preserve"> 15</w:t>
            </w:r>
            <w:r w:rsidR="00D7685A">
              <w:rPr>
                <w:rFonts w:asciiTheme="minorHAnsi" w:hAnsiTheme="minorHAnsi" w:cs="Arial"/>
                <w:b/>
                <w:sz w:val="20"/>
                <w:szCs w:val="20"/>
                <w:lang w:eastAsia="en-US"/>
              </w:rPr>
              <w:t>.</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use of multiple sources of reliable health information</w:t>
            </w:r>
          </w:p>
        </w:tc>
      </w:tr>
    </w:tbl>
    <w:p w:rsidR="00CE7050" w:rsidRDefault="00CE7050" w:rsidP="00CE7050">
      <w:pPr>
        <w:rPr>
          <w:rFonts w:asciiTheme="minorHAnsi" w:hAnsiTheme="minorHAnsi" w:cstheme="minorHAnsi"/>
          <w:sz w:val="20"/>
        </w:rPr>
      </w:pPr>
    </w:p>
    <w:p w:rsidR="00CE7050" w:rsidRDefault="00CE7050" w:rsidP="00CE7050">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CE7050" w:rsidRPr="004C6186" w:rsidRDefault="00CE7050" w:rsidP="00CE7050">
      <w:pPr>
        <w:pStyle w:val="Heading4"/>
      </w:pPr>
      <w:r>
        <w:lastRenderedPageBreak/>
        <w:t xml:space="preserve">Unit </w:t>
      </w:r>
      <w:r>
        <w:rPr>
          <w:lang w:val="en-AU"/>
        </w:rPr>
        <w:t>4</w:t>
      </w:r>
      <w:r>
        <w:t xml:space="preserve"> (notional timeframe only – may take up to a whole year)</w:t>
      </w:r>
    </w:p>
    <w:tbl>
      <w:tblPr>
        <w:tblStyle w:val="TableGrid"/>
        <w:tblW w:w="10064"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245"/>
        <w:gridCol w:w="3826"/>
      </w:tblGrid>
      <w:tr w:rsidR="00CE7050" w:rsidRPr="0025174E" w:rsidTr="00F715DE">
        <w:trPr>
          <w:cantSplit/>
          <w:tblHeader/>
        </w:trPr>
        <w:tc>
          <w:tcPr>
            <w:tcW w:w="993" w:type="dxa"/>
            <w:tcBorders>
              <w:right w:val="single" w:sz="4" w:space="0" w:color="FFFFFF" w:themeColor="background1"/>
            </w:tcBorders>
            <w:shd w:val="clear" w:color="auto" w:fill="BD9FCF" w:themeFill="accent4"/>
            <w:vAlign w:val="center"/>
            <w:hideMark/>
          </w:tcPr>
          <w:p w:rsidR="00CE7050" w:rsidRPr="00324ACE" w:rsidRDefault="00CE7050" w:rsidP="00F715D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245" w:type="dxa"/>
            <w:tcBorders>
              <w:left w:val="single" w:sz="4" w:space="0" w:color="FFFFFF" w:themeColor="background1"/>
              <w:right w:val="single" w:sz="4" w:space="0" w:color="FFFFFF" w:themeColor="background1"/>
            </w:tcBorders>
            <w:shd w:val="clear" w:color="auto" w:fill="BD9FCF" w:themeFill="accent4"/>
            <w:vAlign w:val="center"/>
            <w:hideMark/>
          </w:tcPr>
          <w:p w:rsidR="00CE7050" w:rsidRPr="00324ACE" w:rsidRDefault="00CE7050" w:rsidP="00F715D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3826" w:type="dxa"/>
            <w:tcBorders>
              <w:left w:val="single" w:sz="4" w:space="0" w:color="FFFFFF" w:themeColor="background1"/>
            </w:tcBorders>
            <w:shd w:val="clear" w:color="auto" w:fill="BD9FCF" w:themeFill="accent4"/>
          </w:tcPr>
          <w:p w:rsidR="00CE7050" w:rsidRPr="00324ACE" w:rsidRDefault="00CE7050" w:rsidP="00F715D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CE7050" w:rsidRPr="0025174E" w:rsidTr="00F715DE">
        <w:trPr>
          <w:cantSplit/>
        </w:trPr>
        <w:tc>
          <w:tcPr>
            <w:tcW w:w="993" w:type="dxa"/>
            <w:shd w:val="clear" w:color="auto" w:fill="E4D8EB" w:themeFill="accent4" w:themeFillTint="66"/>
            <w:vAlign w:val="center"/>
            <w:hideMark/>
          </w:tcPr>
          <w:p w:rsidR="00CE7050" w:rsidRPr="00324ACE" w:rsidRDefault="00CE7050" w:rsidP="00F715D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245" w:type="dxa"/>
          </w:tcPr>
          <w:p w:rsidR="00CE7050" w:rsidRPr="00C72CCF"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xml:space="preserve"> per week,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b</w:t>
            </w:r>
            <w:r w:rsidRPr="00C72CCF">
              <w:rPr>
                <w:rFonts w:asciiTheme="minorHAnsi" w:hAnsiTheme="minorHAnsi" w:cs="Arial"/>
                <w:sz w:val="20"/>
                <w:szCs w:val="20"/>
                <w:lang w:eastAsia="en-US"/>
              </w:rPr>
              <w:t>rainstorm</w:t>
            </w:r>
            <w:r>
              <w:rPr>
                <w:rFonts w:asciiTheme="minorHAnsi" w:hAnsiTheme="minorHAnsi" w:cs="Arial"/>
                <w:sz w:val="20"/>
                <w:szCs w:val="20"/>
                <w:lang w:eastAsia="en-US"/>
              </w:rPr>
              <w:t>ing</w:t>
            </w:r>
            <w:r w:rsidRPr="00C72CCF">
              <w:rPr>
                <w:rFonts w:asciiTheme="minorHAnsi" w:hAnsiTheme="minorHAnsi" w:cs="Arial"/>
                <w:sz w:val="20"/>
                <w:szCs w:val="20"/>
                <w:lang w:eastAsia="en-US"/>
              </w:rPr>
              <w:t xml:space="preserve"> </w:t>
            </w:r>
            <w:r>
              <w:rPr>
                <w:rFonts w:asciiTheme="minorHAnsi" w:hAnsiTheme="minorHAnsi" w:cs="Arial"/>
                <w:sz w:val="20"/>
                <w:szCs w:val="20"/>
                <w:lang w:eastAsia="en-US"/>
              </w:rPr>
              <w:t xml:space="preserve">rules of the game </w:t>
            </w:r>
            <w:r w:rsidRPr="00C72CCF">
              <w:rPr>
                <w:rFonts w:asciiTheme="minorHAnsi" w:hAnsiTheme="minorHAnsi" w:cs="Arial"/>
                <w:sz w:val="20"/>
                <w:szCs w:val="20"/>
                <w:lang w:eastAsia="en-US"/>
              </w:rPr>
              <w:t>and demonstrat</w:t>
            </w:r>
            <w:r>
              <w:rPr>
                <w:rFonts w:asciiTheme="minorHAnsi" w:hAnsiTheme="minorHAnsi" w:cs="Arial"/>
                <w:sz w:val="20"/>
                <w:szCs w:val="20"/>
                <w:lang w:eastAsia="en-US"/>
              </w:rPr>
              <w:t>ing</w:t>
            </w:r>
            <w:r w:rsidRPr="00C72CCF">
              <w:rPr>
                <w:rFonts w:asciiTheme="minorHAnsi" w:hAnsiTheme="minorHAnsi" w:cs="Arial"/>
                <w:sz w:val="20"/>
                <w:szCs w:val="20"/>
                <w:lang w:eastAsia="en-US"/>
              </w:rPr>
              <w:t xml:space="preserve"> </w:t>
            </w:r>
            <w:r>
              <w:rPr>
                <w:rFonts w:asciiTheme="minorHAnsi" w:hAnsiTheme="minorHAnsi" w:cs="Arial"/>
                <w:sz w:val="20"/>
                <w:szCs w:val="20"/>
                <w:lang w:eastAsia="en-US"/>
              </w:rPr>
              <w:t>rules through first game and reflection</w:t>
            </w:r>
          </w:p>
          <w:p w:rsidR="00CE7050" w:rsidRPr="00C72CCF"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d</w:t>
            </w:r>
            <w:r w:rsidRPr="00C72CCF">
              <w:rPr>
                <w:rFonts w:asciiTheme="minorHAnsi" w:hAnsiTheme="minorHAnsi" w:cs="Arial"/>
                <w:sz w:val="20"/>
                <w:szCs w:val="20"/>
                <w:lang w:eastAsia="en-US"/>
              </w:rPr>
              <w:t>iscuss</w:t>
            </w:r>
            <w:r>
              <w:rPr>
                <w:rFonts w:asciiTheme="minorHAnsi" w:hAnsiTheme="minorHAnsi" w:cs="Arial"/>
                <w:sz w:val="20"/>
                <w:szCs w:val="20"/>
                <w:lang w:eastAsia="en-US"/>
              </w:rPr>
              <w:t>ing additional basic rules for a chosen sport/activity</w:t>
            </w:r>
          </w:p>
          <w:p w:rsidR="00CE7050" w:rsidRPr="00E64AE2"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development of fundamental movement skills</w:t>
            </w:r>
          </w:p>
          <w:p w:rsidR="00CE7050" w:rsidRPr="00324ACE" w:rsidRDefault="00CE7050" w:rsidP="00F715DE">
            <w:pPr>
              <w:spacing w:after="80"/>
              <w:rPr>
                <w:rFonts w:asciiTheme="minorHAnsi" w:hAnsiTheme="minorHAnsi" w:cs="Arial"/>
                <w:sz w:val="20"/>
                <w:szCs w:val="20"/>
                <w:lang w:eastAsia="en-US"/>
              </w:rPr>
            </w:pP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the role of rules in simple games and sports, and ways of playing games and activities safely, with an emphasis on:</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fairness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game control</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injury prevention</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safe and correct use of equipment</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accepting decisions of umpire, coach and/or captain</w:t>
            </w:r>
          </w:p>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extension of fundamental movement skills as applied to activities, such as: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a range of individual and team games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modified sports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leisure and recreational activities</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simple game situations</w:t>
            </w:r>
          </w:p>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roles of offensive and defensive positions</w:t>
            </w:r>
          </w:p>
          <w:p w:rsidR="00CE7050" w:rsidRPr="007B56E0" w:rsidRDefault="00CE7050" w:rsidP="00F715DE">
            <w:pPr>
              <w:spacing w:after="80"/>
              <w:rPr>
                <w:rFonts w:asciiTheme="minorHAnsi" w:hAnsiTheme="minorHAnsi" w:cs="Arial"/>
                <w:sz w:val="20"/>
                <w:lang w:eastAsia="en-US"/>
              </w:rPr>
            </w:pPr>
            <w:r w:rsidRPr="007B56E0">
              <w:rPr>
                <w:rFonts w:asciiTheme="minorHAnsi" w:hAnsiTheme="minorHAnsi" w:cstheme="minorHAnsi"/>
                <w:b/>
                <w:sz w:val="20"/>
              </w:rPr>
              <w:t>Note:</w:t>
            </w:r>
            <w:r w:rsidRPr="007B56E0">
              <w:rPr>
                <w:rFonts w:asciiTheme="minorHAnsi" w:hAnsiTheme="minorHAnsi" w:cstheme="minorHAnsi"/>
                <w:sz w:val="20"/>
              </w:rPr>
              <w:t xml:space="preserve"> The above content areas are ongoing and will be addressed throughout the practical skill development teaching and learning activities</w:t>
            </w:r>
            <w:r w:rsidRPr="007B56E0">
              <w:rPr>
                <w:rFonts w:asciiTheme="minorHAnsi" w:hAnsiTheme="minorHAnsi" w:cs="Arial"/>
                <w:sz w:val="20"/>
                <w:lang w:eastAsia="en-US"/>
              </w:rPr>
              <w:t xml:space="preserve"> for </w:t>
            </w:r>
            <w:r w:rsidRPr="00F715DE">
              <w:rPr>
                <w:rFonts w:asciiTheme="minorHAnsi" w:hAnsiTheme="minorHAnsi" w:cs="Arial"/>
                <w:sz w:val="20"/>
                <w:lang w:eastAsia="en-US"/>
              </w:rPr>
              <w:t>two sessions per week</w:t>
            </w:r>
            <w:r>
              <w:rPr>
                <w:rFonts w:asciiTheme="minorHAnsi" w:hAnsiTheme="minorHAnsi" w:cs="Arial"/>
                <w:sz w:val="20"/>
                <w:lang w:eastAsia="en-US"/>
              </w:rPr>
              <w:t>.</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a healthy lifestyle?</w:t>
            </w:r>
          </w:p>
          <w:p w:rsidR="00CE7050"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how</w:t>
            </w:r>
            <w:proofErr w:type="gramEnd"/>
            <w:r>
              <w:rPr>
                <w:rFonts w:asciiTheme="minorHAnsi" w:hAnsiTheme="minorHAnsi" w:cs="Arial"/>
                <w:sz w:val="20"/>
                <w:szCs w:val="20"/>
                <w:lang w:eastAsia="en-US"/>
              </w:rPr>
              <w:t xml:space="preserve"> does a healthy lifestyle improve the way a person lives?</w:t>
            </w:r>
          </w:p>
          <w:p w:rsidR="00CE7050" w:rsidRPr="00FD109A" w:rsidRDefault="00CE7050" w:rsidP="00F715DE">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are some of things a person can do to make his or her lifestyle healthier?</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behaviours which support a healthy lifestyle</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 xml:space="preserve">actions (short and long term) that support and improve health </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4–5</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categorising actions that support a healthy lifestyle</w:t>
            </w:r>
          </w:p>
          <w:p w:rsidR="00CE7050" w:rsidRPr="00324ACE"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recognising and practising positive actions in a variety of settings</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behaviours which support a healthy lifestyle</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healthy actions in different places, such as in the home, school, local park, shopping centres, leisure activities</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6</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Pr="00324ACE"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 xml:space="preserve">the ways in which a person can become responsible for improving </w:t>
            </w:r>
            <w:proofErr w:type="spellStart"/>
            <w:r>
              <w:rPr>
                <w:rFonts w:asciiTheme="minorHAnsi" w:hAnsiTheme="minorHAnsi" w:cs="Arial"/>
                <w:sz w:val="20"/>
                <w:szCs w:val="20"/>
                <w:lang w:eastAsia="en-US"/>
              </w:rPr>
              <w:t>hir</w:t>
            </w:r>
            <w:proofErr w:type="spellEnd"/>
            <w:r>
              <w:rPr>
                <w:rFonts w:asciiTheme="minorHAnsi" w:hAnsiTheme="minorHAnsi" w:cs="Arial"/>
                <w:sz w:val="20"/>
                <w:szCs w:val="20"/>
                <w:lang w:eastAsia="en-US"/>
              </w:rPr>
              <w:t xml:space="preserve"> or her lifestyle</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behaviours which support a healthy lifestyle</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taking responsibility for health</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7–8</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recognising that places and behaviours can be healthy or unhealthy</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listing the benefits and consequences of a person’s actions in relation to healthy lifestyle choices</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actions can have a negative impact on a healthy lifestyle and how these actions may be overcome and improved</w:t>
            </w:r>
          </w:p>
          <w:p w:rsidR="00CE7050" w:rsidRDefault="00CE7050" w:rsidP="00F715DE">
            <w:pPr>
              <w:rPr>
                <w:rFonts w:asciiTheme="minorHAnsi" w:hAnsiTheme="minorHAnsi" w:cs="Arial"/>
                <w:b/>
                <w:sz w:val="20"/>
                <w:szCs w:val="20"/>
                <w:lang w:eastAsia="en-US"/>
              </w:rPr>
            </w:pPr>
          </w:p>
          <w:p w:rsidR="00CE7050" w:rsidRPr="0017500C" w:rsidRDefault="00185952" w:rsidP="00F715DE">
            <w:pPr>
              <w:rPr>
                <w:rFonts w:asciiTheme="minorHAnsi" w:hAnsiTheme="minorHAnsi" w:cs="Arial"/>
                <w:sz w:val="20"/>
                <w:szCs w:val="20"/>
                <w:lang w:eastAsia="en-US"/>
              </w:rPr>
            </w:pPr>
            <w:r>
              <w:rPr>
                <w:rFonts w:asciiTheme="minorHAnsi" w:hAnsiTheme="minorHAnsi" w:cs="Arial"/>
                <w:b/>
                <w:sz w:val="20"/>
                <w:szCs w:val="20"/>
                <w:lang w:eastAsia="en-US"/>
              </w:rPr>
              <w:t>Task 5</w:t>
            </w:r>
            <w:r w:rsidR="00CE7050">
              <w:rPr>
                <w:rFonts w:asciiTheme="minorHAnsi" w:hAnsiTheme="minorHAnsi" w:cs="Arial"/>
                <w:b/>
                <w:sz w:val="20"/>
                <w:szCs w:val="20"/>
                <w:lang w:eastAsia="en-US"/>
              </w:rPr>
              <w:t xml:space="preserve"> due Week 8</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behaviours which support a healthy lifestyle</w:t>
            </w:r>
          </w:p>
          <w:p w:rsidR="00CE7050" w:rsidRPr="007B56E0" w:rsidRDefault="00CE7050" w:rsidP="00F715DE">
            <w:pPr>
              <w:pStyle w:val="ListParagraph"/>
              <w:numPr>
                <w:ilvl w:val="0"/>
                <w:numId w:val="16"/>
              </w:numPr>
              <w:rPr>
                <w:rFonts w:asciiTheme="minorHAnsi" w:hAnsiTheme="minorHAnsi" w:cs="Arial"/>
                <w:sz w:val="20"/>
                <w:lang w:eastAsia="en-US"/>
              </w:rPr>
            </w:pPr>
            <w:r w:rsidRPr="007B56E0">
              <w:rPr>
                <w:rFonts w:ascii="Calibri" w:eastAsiaTheme="minorEastAsia" w:hAnsi="Calibri" w:cstheme="minorBidi"/>
                <w:sz w:val="20"/>
                <w:lang w:eastAsia="en-US"/>
              </w:rPr>
              <w:t>impact on personal health from interactions with healthy and unhealthy places/behaviours</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9–11</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Six</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a home, school or workplace can cause injury</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a home, school or workplace can be made safer</w:t>
            </w:r>
          </w:p>
          <w:p w:rsidR="00CE7050" w:rsidRPr="00324ACE"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basic first aid, including dealing with injuries</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safety</w:t>
            </w:r>
          </w:p>
          <w:p w:rsidR="00CE7050" w:rsidRPr="007B56E0" w:rsidRDefault="00CE7050" w:rsidP="00F715DE">
            <w:pPr>
              <w:pStyle w:val="ListParagraph"/>
              <w:numPr>
                <w:ilvl w:val="0"/>
                <w:numId w:val="16"/>
              </w:numPr>
              <w:rPr>
                <w:rFonts w:ascii="Calibri" w:eastAsiaTheme="minorEastAsia" w:hAnsi="Calibri" w:cstheme="minorBidi"/>
                <w:sz w:val="20"/>
                <w:lang w:eastAsia="en-US"/>
              </w:rPr>
            </w:pPr>
            <w:r w:rsidRPr="007B56E0">
              <w:rPr>
                <w:rFonts w:ascii="Calibri" w:eastAsiaTheme="minorEastAsia" w:hAnsi="Calibri" w:cstheme="minorBidi"/>
                <w:sz w:val="20"/>
                <w:lang w:eastAsia="en-US"/>
              </w:rPr>
              <w:t>injury prevention strategies</w:t>
            </w:r>
          </w:p>
          <w:p w:rsidR="00CE7050" w:rsidRPr="007B56E0" w:rsidRDefault="00CE7050" w:rsidP="00F715DE">
            <w:pPr>
              <w:pStyle w:val="ListParagraph"/>
              <w:numPr>
                <w:ilvl w:val="0"/>
                <w:numId w:val="16"/>
              </w:numPr>
              <w:rPr>
                <w:rFonts w:asciiTheme="minorHAnsi" w:hAnsiTheme="minorHAnsi" w:cs="Arial"/>
                <w:sz w:val="20"/>
                <w:lang w:eastAsia="en-US"/>
              </w:rPr>
            </w:pPr>
            <w:r w:rsidRPr="007B56E0">
              <w:rPr>
                <w:rFonts w:ascii="Calibri" w:eastAsiaTheme="minorEastAsia" w:hAnsi="Calibri" w:cstheme="minorBidi"/>
                <w:sz w:val="20"/>
                <w:lang w:eastAsia="en-US"/>
              </w:rPr>
              <w:t>basic first aid practices</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12–13</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various sources of health information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 xml:space="preserve">techniques a person can use to ensure health information is accurate and appropriate </w:t>
            </w:r>
          </w:p>
          <w:p w:rsidR="00CE7050" w:rsidRDefault="00CE7050" w:rsidP="00F715DE">
            <w:pPr>
              <w:rPr>
                <w:rFonts w:asciiTheme="minorHAnsi" w:hAnsiTheme="minorHAnsi" w:cs="Arial"/>
                <w:sz w:val="20"/>
                <w:szCs w:val="20"/>
                <w:lang w:eastAsia="en-US"/>
              </w:rPr>
            </w:pPr>
          </w:p>
          <w:p w:rsidR="00CE7050" w:rsidRDefault="00CE7050" w:rsidP="00F715DE">
            <w:pPr>
              <w:rPr>
                <w:rFonts w:asciiTheme="minorHAnsi" w:hAnsiTheme="minorHAnsi" w:cs="Arial"/>
                <w:b/>
                <w:sz w:val="20"/>
                <w:szCs w:val="20"/>
                <w:lang w:eastAsia="en-US"/>
              </w:rPr>
            </w:pPr>
            <w:r>
              <w:rPr>
                <w:rFonts w:asciiTheme="minorHAnsi" w:hAnsiTheme="minorHAnsi" w:cs="Arial"/>
                <w:b/>
                <w:sz w:val="20"/>
                <w:szCs w:val="20"/>
                <w:lang w:eastAsia="en-US"/>
              </w:rPr>
              <w:t xml:space="preserve">Task </w:t>
            </w:r>
            <w:r w:rsidR="00185952">
              <w:rPr>
                <w:rFonts w:asciiTheme="minorHAnsi" w:hAnsiTheme="minorHAnsi" w:cs="Arial"/>
                <w:b/>
                <w:sz w:val="20"/>
                <w:szCs w:val="20"/>
                <w:lang w:eastAsia="en-US"/>
              </w:rPr>
              <w:t>6</w:t>
            </w:r>
            <w:r>
              <w:rPr>
                <w:rFonts w:asciiTheme="minorHAnsi" w:hAnsiTheme="minorHAnsi" w:cs="Arial"/>
                <w:b/>
                <w:sz w:val="20"/>
                <w:szCs w:val="20"/>
                <w:lang w:eastAsia="en-US"/>
              </w:rPr>
              <w:t xml:space="preserve"> due Week 12</w:t>
            </w:r>
            <w:bookmarkStart w:id="0" w:name="_GoBack"/>
            <w:bookmarkEnd w:id="0"/>
          </w:p>
          <w:p w:rsidR="00CE7050" w:rsidRPr="0017500C" w:rsidRDefault="00185952" w:rsidP="00F715DE">
            <w:pPr>
              <w:rPr>
                <w:rFonts w:asciiTheme="minorHAnsi" w:hAnsiTheme="minorHAnsi" w:cs="Arial"/>
                <w:b/>
                <w:sz w:val="20"/>
                <w:szCs w:val="20"/>
                <w:lang w:eastAsia="en-US"/>
              </w:rPr>
            </w:pPr>
            <w:r>
              <w:rPr>
                <w:rFonts w:asciiTheme="minorHAnsi" w:hAnsiTheme="minorHAnsi" w:cs="Arial"/>
                <w:b/>
                <w:sz w:val="20"/>
                <w:szCs w:val="20"/>
                <w:lang w:eastAsia="en-US"/>
              </w:rPr>
              <w:t>Task 7</w:t>
            </w:r>
            <w:r w:rsidR="00CE7050">
              <w:rPr>
                <w:rFonts w:asciiTheme="minorHAnsi" w:hAnsiTheme="minorHAnsi" w:cs="Arial"/>
                <w:b/>
                <w:sz w:val="20"/>
                <w:szCs w:val="20"/>
                <w:lang w:eastAsia="en-US"/>
              </w:rPr>
              <w:t xml:space="preserve"> due Week 13</w:t>
            </w:r>
          </w:p>
        </w:tc>
        <w:tc>
          <w:tcPr>
            <w:tcW w:w="3826" w:type="dxa"/>
          </w:tcPr>
          <w:p w:rsidR="00CE7050" w:rsidRPr="007B56E0" w:rsidRDefault="00CE7050" w:rsidP="00F715DE">
            <w:pPr>
              <w:pStyle w:val="ListParagraph"/>
              <w:numPr>
                <w:ilvl w:val="0"/>
                <w:numId w:val="10"/>
              </w:numPr>
              <w:spacing w:after="80"/>
              <w:ind w:left="317"/>
              <w:rPr>
                <w:rFonts w:ascii="Calibri" w:eastAsiaTheme="minorEastAsia" w:hAnsi="Calibri" w:cstheme="minorBidi"/>
                <w:sz w:val="20"/>
                <w:lang w:eastAsia="en-US"/>
              </w:rPr>
            </w:pPr>
            <w:r w:rsidRPr="007B56E0">
              <w:rPr>
                <w:rFonts w:asciiTheme="minorHAnsi" w:hAnsiTheme="minorHAnsi" w:cs="Arial"/>
                <w:sz w:val="20"/>
                <w:lang w:eastAsia="en-US"/>
              </w:rPr>
              <w:t>asking questions about health from different sources, including teachers, school counsellor, healthcare professionals</w:t>
            </w:r>
          </w:p>
        </w:tc>
      </w:tr>
      <w:tr w:rsidR="00CE7050" w:rsidRPr="0025174E" w:rsidTr="00F715DE">
        <w:trPr>
          <w:cantSplit/>
        </w:trPr>
        <w:tc>
          <w:tcPr>
            <w:tcW w:w="993" w:type="dxa"/>
            <w:shd w:val="clear" w:color="auto" w:fill="E4D8EB" w:themeFill="accent4" w:themeFillTint="66"/>
            <w:vAlign w:val="center"/>
          </w:tcPr>
          <w:p w:rsidR="00CE7050" w:rsidRPr="00324ACE" w:rsidRDefault="00CE7050" w:rsidP="00F715DE">
            <w:pPr>
              <w:jc w:val="center"/>
              <w:rPr>
                <w:rFonts w:asciiTheme="minorHAnsi" w:hAnsiTheme="minorHAnsi" w:cs="Arial"/>
                <w:sz w:val="20"/>
                <w:szCs w:val="20"/>
                <w:lang w:eastAsia="en-US"/>
              </w:rPr>
            </w:pPr>
            <w:r>
              <w:rPr>
                <w:rFonts w:asciiTheme="minorHAnsi" w:hAnsiTheme="minorHAnsi" w:cs="Arial"/>
                <w:sz w:val="20"/>
                <w:szCs w:val="20"/>
                <w:lang w:eastAsia="en-US"/>
              </w:rPr>
              <w:t>14–15</w:t>
            </w:r>
          </w:p>
        </w:tc>
        <w:tc>
          <w:tcPr>
            <w:tcW w:w="5245" w:type="dxa"/>
          </w:tcPr>
          <w:p w:rsidR="00CE7050" w:rsidRPr="00B96B96" w:rsidRDefault="00CE7050" w:rsidP="00F715DE">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B96B96">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CE7050" w:rsidRDefault="00CE7050" w:rsidP="00F715DE">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researching a variety of sources of information and discussing appropriateness</w:t>
            </w:r>
          </w:p>
          <w:p w:rsidR="00CE7050" w:rsidRDefault="00CE7050" w:rsidP="00F715DE">
            <w:pPr>
              <w:rPr>
                <w:rFonts w:asciiTheme="minorHAnsi" w:hAnsiTheme="minorHAnsi" w:cs="Arial"/>
                <w:b/>
                <w:sz w:val="20"/>
                <w:szCs w:val="20"/>
                <w:lang w:eastAsia="en-US"/>
              </w:rPr>
            </w:pPr>
          </w:p>
          <w:p w:rsidR="00CE7050" w:rsidRPr="0017500C" w:rsidRDefault="00185952" w:rsidP="00F715DE">
            <w:pPr>
              <w:rPr>
                <w:rFonts w:asciiTheme="minorHAnsi" w:hAnsiTheme="minorHAnsi" w:cs="Arial"/>
                <w:b/>
                <w:sz w:val="20"/>
                <w:szCs w:val="20"/>
                <w:lang w:eastAsia="en-US"/>
              </w:rPr>
            </w:pPr>
            <w:r>
              <w:rPr>
                <w:rFonts w:asciiTheme="minorHAnsi" w:hAnsiTheme="minorHAnsi" w:cs="Arial"/>
                <w:b/>
                <w:sz w:val="20"/>
                <w:szCs w:val="20"/>
                <w:lang w:eastAsia="en-US"/>
              </w:rPr>
              <w:t>Task 8</w:t>
            </w:r>
            <w:r w:rsidR="00CE7050">
              <w:rPr>
                <w:rFonts w:asciiTheme="minorHAnsi" w:hAnsiTheme="minorHAnsi" w:cs="Arial"/>
                <w:b/>
                <w:sz w:val="20"/>
                <w:szCs w:val="20"/>
                <w:lang w:eastAsia="en-US"/>
              </w:rPr>
              <w:t xml:space="preserve"> due </w:t>
            </w:r>
            <w:proofErr w:type="gramStart"/>
            <w:r w:rsidR="00CE7050">
              <w:rPr>
                <w:rFonts w:asciiTheme="minorHAnsi" w:hAnsiTheme="minorHAnsi" w:cs="Arial"/>
                <w:b/>
                <w:sz w:val="20"/>
                <w:szCs w:val="20"/>
                <w:lang w:eastAsia="en-US"/>
              </w:rPr>
              <w:t>Week</w:t>
            </w:r>
            <w:proofErr w:type="gramEnd"/>
            <w:r w:rsidR="00CE7050">
              <w:rPr>
                <w:rFonts w:asciiTheme="minorHAnsi" w:hAnsiTheme="minorHAnsi" w:cs="Arial"/>
                <w:b/>
                <w:sz w:val="20"/>
                <w:szCs w:val="20"/>
                <w:lang w:eastAsia="en-US"/>
              </w:rPr>
              <w:t xml:space="preserve"> 15</w:t>
            </w:r>
            <w:r w:rsidR="00D7685A">
              <w:rPr>
                <w:rFonts w:asciiTheme="minorHAnsi" w:hAnsiTheme="minorHAnsi" w:cs="Arial"/>
                <w:b/>
                <w:sz w:val="20"/>
                <w:szCs w:val="20"/>
                <w:lang w:eastAsia="en-US"/>
              </w:rPr>
              <w:t>.</w:t>
            </w:r>
          </w:p>
        </w:tc>
        <w:tc>
          <w:tcPr>
            <w:tcW w:w="3826" w:type="dxa"/>
          </w:tcPr>
          <w:p w:rsidR="00CE7050" w:rsidRPr="007B56E0" w:rsidRDefault="00CE7050" w:rsidP="00F715DE">
            <w:pPr>
              <w:pStyle w:val="ListParagraph"/>
              <w:numPr>
                <w:ilvl w:val="0"/>
                <w:numId w:val="10"/>
              </w:numPr>
              <w:spacing w:after="80"/>
              <w:ind w:left="317"/>
              <w:rPr>
                <w:rFonts w:asciiTheme="minorHAnsi" w:hAnsiTheme="minorHAnsi" w:cs="Arial"/>
                <w:sz w:val="20"/>
                <w:lang w:eastAsia="en-US"/>
              </w:rPr>
            </w:pPr>
            <w:r w:rsidRPr="007B56E0">
              <w:rPr>
                <w:rFonts w:asciiTheme="minorHAnsi" w:hAnsiTheme="minorHAnsi" w:cs="Arial"/>
                <w:sz w:val="20"/>
                <w:lang w:eastAsia="en-US"/>
              </w:rPr>
              <w:t>use of multiple sources of reliable health information</w:t>
            </w:r>
          </w:p>
        </w:tc>
      </w:tr>
    </w:tbl>
    <w:p w:rsidR="00CE7050" w:rsidRPr="0025174E" w:rsidRDefault="00CE7050" w:rsidP="00CE7050">
      <w:pPr>
        <w:rPr>
          <w:rFonts w:ascii="Arial" w:hAnsi="Arial"/>
          <w:sz w:val="20"/>
          <w:szCs w:val="20"/>
        </w:rPr>
      </w:pPr>
    </w:p>
    <w:p w:rsidR="00CE7050" w:rsidRPr="0025174E" w:rsidRDefault="00CE7050" w:rsidP="00CE7050"/>
    <w:p w:rsidR="00CF3CB2" w:rsidRPr="00CE7050" w:rsidRDefault="00CF3CB2" w:rsidP="00CE7050"/>
    <w:sectPr w:rsidR="00CF3CB2" w:rsidRPr="00CE7050"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EC" w:rsidRDefault="003029EC" w:rsidP="00DB14C9">
      <w:r>
        <w:separator/>
      </w:r>
    </w:p>
  </w:endnote>
  <w:endnote w:type="continuationSeparator" w:id="0">
    <w:p w:rsidR="003029EC" w:rsidRDefault="003029E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0" w:rsidRPr="00DE34C4" w:rsidRDefault="00CE7050" w:rsidP="00461E0B">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614030">
      <w:rPr>
        <w:rFonts w:ascii="Franklin Gothic Book" w:hAnsi="Franklin Gothic Book"/>
        <w:noProof/>
        <w:color w:val="342568"/>
        <w:sz w:val="16"/>
        <w:szCs w:val="16"/>
      </w:rPr>
      <w:t>4181v5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0" w:rsidRPr="00DE34C4" w:rsidRDefault="00CE7050"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C" w:rsidRPr="00461E0B" w:rsidRDefault="003029EC" w:rsidP="00461E0B">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606A05">
      <w:rPr>
        <w:rFonts w:ascii="Franklin Gothic Book" w:hAnsi="Franklin Gothic Book"/>
        <w:b/>
        <w:noProof/>
        <w:color w:val="342568"/>
        <w:sz w:val="18"/>
        <w:szCs w:val="18"/>
        <w:lang w:val="it-IT"/>
      </w:rPr>
      <w:t>Health and Physical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C" w:rsidRPr="00461E0B" w:rsidRDefault="003029EC" w:rsidP="00461E0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606A05">
      <w:rPr>
        <w:rFonts w:ascii="Franklin Gothic Book" w:hAnsi="Franklin Gothic Book"/>
        <w:b/>
        <w:noProof/>
        <w:color w:val="342568"/>
        <w:sz w:val="18"/>
        <w:szCs w:val="18"/>
        <w:lang w:val="it-IT"/>
      </w:rPr>
      <w:t>Health and Physical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C" w:rsidRPr="005143EB" w:rsidRDefault="003029EC" w:rsidP="00461E0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606A05">
      <w:rPr>
        <w:rFonts w:ascii="Franklin Gothic Book" w:hAnsi="Franklin Gothic Book"/>
        <w:b/>
        <w:noProof/>
        <w:color w:val="342568"/>
        <w:sz w:val="18"/>
        <w:szCs w:val="18"/>
        <w:lang w:val="it-IT"/>
      </w:rPr>
      <w:t>Health and Physical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EC" w:rsidRDefault="003029EC" w:rsidP="00DB14C9">
      <w:r>
        <w:separator/>
      </w:r>
    </w:p>
  </w:footnote>
  <w:footnote w:type="continuationSeparator" w:id="0">
    <w:p w:rsidR="003029EC" w:rsidRDefault="003029EC"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50" w:rsidRDefault="00CE7050" w:rsidP="00461E0B">
    <w:pPr>
      <w:pStyle w:val="Header"/>
      <w:ind w:left="-567"/>
    </w:pPr>
    <w:r>
      <w:rPr>
        <w:noProof/>
      </w:rPr>
      <w:drawing>
        <wp:inline distT="0" distB="0" distL="0" distR="0" wp14:anchorId="30C75C48" wp14:editId="6B2BFD69">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C" w:rsidRPr="001B3981" w:rsidRDefault="003029EC" w:rsidP="00461E0B">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5952">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3029EC" w:rsidRDefault="00302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C" w:rsidRPr="001B3981" w:rsidRDefault="003029EC" w:rsidP="00461E0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595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029EC" w:rsidRDefault="003029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C" w:rsidRPr="001B3981" w:rsidRDefault="003029EC" w:rsidP="00461E0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595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029EC" w:rsidRPr="00461E0B" w:rsidRDefault="003029EC" w:rsidP="00461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2">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920AC"/>
    <w:multiLevelType w:val="hybridMultilevel"/>
    <w:tmpl w:val="4E9872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7836A8"/>
    <w:multiLevelType w:val="hybridMultilevel"/>
    <w:tmpl w:val="1BD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B2F7A"/>
    <w:multiLevelType w:val="hybridMultilevel"/>
    <w:tmpl w:val="787A6E58"/>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F676D"/>
    <w:multiLevelType w:val="hybridMultilevel"/>
    <w:tmpl w:val="2BF4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6F1D47"/>
    <w:multiLevelType w:val="hybridMultilevel"/>
    <w:tmpl w:val="D4D43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661F99"/>
    <w:multiLevelType w:val="hybridMultilevel"/>
    <w:tmpl w:val="F368A7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B9E3B1C"/>
    <w:multiLevelType w:val="hybridMultilevel"/>
    <w:tmpl w:val="BA76D03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
  </w:num>
  <w:num w:numId="5">
    <w:abstractNumId w:val="2"/>
  </w:num>
  <w:num w:numId="6">
    <w:abstractNumId w:val="3"/>
  </w:num>
  <w:num w:numId="7">
    <w:abstractNumId w:val="5"/>
  </w:num>
  <w:num w:numId="8">
    <w:abstractNumId w:val="14"/>
  </w:num>
  <w:num w:numId="9">
    <w:abstractNumId w:val="9"/>
  </w:num>
  <w:num w:numId="10">
    <w:abstractNumId w:val="10"/>
  </w:num>
  <w:num w:numId="11">
    <w:abstractNumId w:val="7"/>
  </w:num>
  <w:num w:numId="12">
    <w:abstractNumId w:val="8"/>
  </w:num>
  <w:num w:numId="13">
    <w:abstractNumId w:val="11"/>
  </w:num>
  <w:num w:numId="14">
    <w:abstractNumId w:val="1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EBB"/>
    <w:rsid w:val="0004659D"/>
    <w:rsid w:val="0009174F"/>
    <w:rsid w:val="000924E9"/>
    <w:rsid w:val="000A4950"/>
    <w:rsid w:val="000C76AA"/>
    <w:rsid w:val="000C7E7D"/>
    <w:rsid w:val="001103FB"/>
    <w:rsid w:val="001122CE"/>
    <w:rsid w:val="0013470E"/>
    <w:rsid w:val="0016616E"/>
    <w:rsid w:val="0017500C"/>
    <w:rsid w:val="00185952"/>
    <w:rsid w:val="001A065F"/>
    <w:rsid w:val="001F51A8"/>
    <w:rsid w:val="00237908"/>
    <w:rsid w:val="00240545"/>
    <w:rsid w:val="0025174E"/>
    <w:rsid w:val="0025177D"/>
    <w:rsid w:val="002928CA"/>
    <w:rsid w:val="002E2B73"/>
    <w:rsid w:val="003029EC"/>
    <w:rsid w:val="00324775"/>
    <w:rsid w:val="00324ACE"/>
    <w:rsid w:val="003C5A53"/>
    <w:rsid w:val="003E18D3"/>
    <w:rsid w:val="00443172"/>
    <w:rsid w:val="00455B50"/>
    <w:rsid w:val="00461E0B"/>
    <w:rsid w:val="00463940"/>
    <w:rsid w:val="004814F0"/>
    <w:rsid w:val="004863E5"/>
    <w:rsid w:val="004C6186"/>
    <w:rsid w:val="004E1286"/>
    <w:rsid w:val="00561544"/>
    <w:rsid w:val="005878D4"/>
    <w:rsid w:val="005D633B"/>
    <w:rsid w:val="005E4DAF"/>
    <w:rsid w:val="00606A05"/>
    <w:rsid w:val="00614030"/>
    <w:rsid w:val="006F1DE5"/>
    <w:rsid w:val="00742B1D"/>
    <w:rsid w:val="007736C7"/>
    <w:rsid w:val="00794144"/>
    <w:rsid w:val="007B0777"/>
    <w:rsid w:val="007B56E0"/>
    <w:rsid w:val="007D7C15"/>
    <w:rsid w:val="007E3CE0"/>
    <w:rsid w:val="008108C2"/>
    <w:rsid w:val="00840722"/>
    <w:rsid w:val="00855E0F"/>
    <w:rsid w:val="008B157B"/>
    <w:rsid w:val="008B4F3F"/>
    <w:rsid w:val="008E0E4D"/>
    <w:rsid w:val="008E259C"/>
    <w:rsid w:val="008E74CE"/>
    <w:rsid w:val="008F280D"/>
    <w:rsid w:val="00930FD4"/>
    <w:rsid w:val="00940D8D"/>
    <w:rsid w:val="00946263"/>
    <w:rsid w:val="00952D80"/>
    <w:rsid w:val="009A0841"/>
    <w:rsid w:val="00A11E6F"/>
    <w:rsid w:val="00A307A8"/>
    <w:rsid w:val="00A443A7"/>
    <w:rsid w:val="00A57719"/>
    <w:rsid w:val="00A91FEC"/>
    <w:rsid w:val="00A97672"/>
    <w:rsid w:val="00AA5FB7"/>
    <w:rsid w:val="00AE5E03"/>
    <w:rsid w:val="00AF317D"/>
    <w:rsid w:val="00B84099"/>
    <w:rsid w:val="00B96B96"/>
    <w:rsid w:val="00BC415E"/>
    <w:rsid w:val="00BD7C4A"/>
    <w:rsid w:val="00C72CCF"/>
    <w:rsid w:val="00CC78DE"/>
    <w:rsid w:val="00CE7050"/>
    <w:rsid w:val="00CF3CB2"/>
    <w:rsid w:val="00D11C20"/>
    <w:rsid w:val="00D3715A"/>
    <w:rsid w:val="00D47F40"/>
    <w:rsid w:val="00D565E6"/>
    <w:rsid w:val="00D7685A"/>
    <w:rsid w:val="00D97646"/>
    <w:rsid w:val="00DB14C9"/>
    <w:rsid w:val="00DB5929"/>
    <w:rsid w:val="00DF4C0D"/>
    <w:rsid w:val="00E4028A"/>
    <w:rsid w:val="00E44650"/>
    <w:rsid w:val="00E4601D"/>
    <w:rsid w:val="00E64AE2"/>
    <w:rsid w:val="00E92482"/>
    <w:rsid w:val="00EA0AD9"/>
    <w:rsid w:val="00EE3E1A"/>
    <w:rsid w:val="00EE7EE6"/>
    <w:rsid w:val="00F167AD"/>
    <w:rsid w:val="00F21C7B"/>
    <w:rsid w:val="00F25368"/>
    <w:rsid w:val="00F2595D"/>
    <w:rsid w:val="00F31A2B"/>
    <w:rsid w:val="00F53533"/>
    <w:rsid w:val="00F667AA"/>
    <w:rsid w:val="00F7346B"/>
    <w:rsid w:val="00F853E0"/>
    <w:rsid w:val="00F86721"/>
    <w:rsid w:val="00FA1552"/>
    <w:rsid w:val="00FC4EFB"/>
    <w:rsid w:val="00FD0650"/>
    <w:rsid w:val="00FD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D565E6"/>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D565E6"/>
    <w:rPr>
      <w:iCs/>
      <w:color w:val="595959" w:themeColor="text1" w:themeTint="A6"/>
      <w:szCs w:val="22"/>
      <w:lang w:val="en-AU" w:eastAsia="en-AU"/>
    </w:rPr>
  </w:style>
  <w:style w:type="character" w:styleId="CommentReference">
    <w:name w:val="annotation reference"/>
    <w:basedOn w:val="DefaultParagraphFont"/>
    <w:uiPriority w:val="99"/>
    <w:semiHidden/>
    <w:unhideWhenUsed/>
    <w:rsid w:val="00CE7050"/>
    <w:rPr>
      <w:sz w:val="16"/>
      <w:szCs w:val="16"/>
    </w:rPr>
  </w:style>
  <w:style w:type="paragraph" w:styleId="CommentText">
    <w:name w:val="annotation text"/>
    <w:basedOn w:val="Normal"/>
    <w:link w:val="CommentTextChar"/>
    <w:uiPriority w:val="99"/>
    <w:semiHidden/>
    <w:unhideWhenUsed/>
    <w:rsid w:val="00CE7050"/>
    <w:rPr>
      <w:sz w:val="20"/>
      <w:szCs w:val="20"/>
    </w:rPr>
  </w:style>
  <w:style w:type="character" w:customStyle="1" w:styleId="CommentTextChar">
    <w:name w:val="Comment Text Char"/>
    <w:basedOn w:val="DefaultParagraphFont"/>
    <w:link w:val="CommentText"/>
    <w:uiPriority w:val="99"/>
    <w:semiHidden/>
    <w:rsid w:val="00CE7050"/>
    <w:rPr>
      <w:rFonts w:ascii="Times New Roman" w:eastAsia="Times New Roman" w:hAnsi="Times New Roman" w:cs="Times New Roman"/>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D565E6"/>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D565E6"/>
    <w:rPr>
      <w:iCs/>
      <w:color w:val="595959" w:themeColor="text1" w:themeTint="A6"/>
      <w:szCs w:val="22"/>
      <w:lang w:val="en-AU" w:eastAsia="en-AU"/>
    </w:rPr>
  </w:style>
  <w:style w:type="character" w:styleId="CommentReference">
    <w:name w:val="annotation reference"/>
    <w:basedOn w:val="DefaultParagraphFont"/>
    <w:uiPriority w:val="99"/>
    <w:semiHidden/>
    <w:unhideWhenUsed/>
    <w:rsid w:val="00CE7050"/>
    <w:rPr>
      <w:sz w:val="16"/>
      <w:szCs w:val="16"/>
    </w:rPr>
  </w:style>
  <w:style w:type="paragraph" w:styleId="CommentText">
    <w:name w:val="annotation text"/>
    <w:basedOn w:val="Normal"/>
    <w:link w:val="CommentTextChar"/>
    <w:uiPriority w:val="99"/>
    <w:semiHidden/>
    <w:unhideWhenUsed/>
    <w:rsid w:val="00CE7050"/>
    <w:rPr>
      <w:sz w:val="20"/>
      <w:szCs w:val="20"/>
    </w:rPr>
  </w:style>
  <w:style w:type="character" w:customStyle="1" w:styleId="CommentTextChar">
    <w:name w:val="Comment Text Char"/>
    <w:basedOn w:val="DefaultParagraphFont"/>
    <w:link w:val="CommentText"/>
    <w:uiPriority w:val="99"/>
    <w:semiHidden/>
    <w:rsid w:val="00CE7050"/>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5510-3247-4033-A117-7268B6F4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Sven Sorenson</cp:lastModifiedBy>
  <cp:revision>24</cp:revision>
  <cp:lastPrinted>2015-03-10T23:51:00Z</cp:lastPrinted>
  <dcterms:created xsi:type="dcterms:W3CDTF">2014-09-01T02:24:00Z</dcterms:created>
  <dcterms:modified xsi:type="dcterms:W3CDTF">2015-03-10T23:52:00Z</dcterms:modified>
</cp:coreProperties>
</file>