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AAFF63" w14:textId="77777777" w:rsidR="00B340E2" w:rsidRPr="00B340E2" w:rsidRDefault="00B340E2" w:rsidP="00562644">
      <w:pPr>
        <w:pStyle w:val="SCSATitle1"/>
      </w:pPr>
      <w:r w:rsidRPr="00B340E2">
        <w:rPr>
          <w:rFonts w:ascii="Franklin Gothic Medium" w:hAnsi="Franklin Gothic Medium"/>
          <w:noProof/>
          <w:color w:val="463969"/>
          <w:sz w:val="52"/>
        </w:rPr>
        <w:drawing>
          <wp:anchor distT="0" distB="0" distL="114300" distR="114300" simplePos="0" relativeHeight="251659264" behindDoc="1" locked="1" layoutInCell="1" allowOverlap="1" wp14:anchorId="7EF15968" wp14:editId="37E62D07">
            <wp:simplePos x="0" y="0"/>
            <wp:positionH relativeFrom="column">
              <wp:posOffset>-6105525</wp:posOffset>
            </wp:positionH>
            <wp:positionV relativeFrom="paragraph">
              <wp:posOffset>419735</wp:posOffset>
            </wp:positionV>
            <wp:extent cx="11631295" cy="9121775"/>
            <wp:effectExtent l="0" t="0" r="0" b="0"/>
            <wp:wrapNone/>
            <wp:docPr id="4"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B340E2">
        <w:t>Sample Assessment Outline</w:t>
      </w:r>
    </w:p>
    <w:p w14:paraId="49146742" w14:textId="77777777" w:rsidR="009D4EE3" w:rsidRDefault="009D4EE3" w:rsidP="00562644">
      <w:pPr>
        <w:pStyle w:val="SCSATitle2"/>
      </w:pPr>
      <w:r w:rsidRPr="009D4EE3">
        <w:t>Agricultural</w:t>
      </w:r>
      <w:r>
        <w:t xml:space="preserve"> Science </w:t>
      </w:r>
      <w:r w:rsidRPr="009D4EE3">
        <w:t>and</w:t>
      </w:r>
      <w:r>
        <w:t xml:space="preserve"> </w:t>
      </w:r>
      <w:r w:rsidRPr="009D4EE3">
        <w:t>Technology</w:t>
      </w:r>
    </w:p>
    <w:p w14:paraId="2ECA3734" w14:textId="20C89368" w:rsidR="00B340E2" w:rsidRPr="00B340E2" w:rsidRDefault="00B340E2" w:rsidP="00562644">
      <w:pPr>
        <w:pStyle w:val="SCSATitle3"/>
      </w:pPr>
      <w:r w:rsidRPr="00B340E2">
        <w:t xml:space="preserve">ATAR Year </w:t>
      </w:r>
      <w:r w:rsidR="007C0B19">
        <w:t>12</w:t>
      </w:r>
    </w:p>
    <w:p w14:paraId="1EB492C5" w14:textId="77777777" w:rsidR="00B340E2" w:rsidRPr="00B340E2" w:rsidRDefault="00B340E2" w:rsidP="00B340E2">
      <w:pPr>
        <w:spacing w:line="264" w:lineRule="auto"/>
        <w:rPr>
          <w:rFonts w:ascii="Times New Roman" w:eastAsia="SimSun" w:hAnsi="Times New Roman"/>
          <w:sz w:val="24"/>
          <w:szCs w:val="24"/>
          <w:lang w:val="en-AU" w:eastAsia="zh-CN"/>
        </w:rPr>
      </w:pPr>
      <w:r w:rsidRPr="00B340E2">
        <w:rPr>
          <w:rFonts w:ascii="Times New Roman" w:eastAsia="SimSun" w:hAnsi="Times New Roman"/>
          <w:sz w:val="24"/>
          <w:szCs w:val="24"/>
          <w:lang w:val="en-AU" w:eastAsia="zh-CN"/>
        </w:rPr>
        <w:br w:type="page"/>
      </w:r>
    </w:p>
    <w:p w14:paraId="1B8E6405" w14:textId="77777777" w:rsidR="00B209C5" w:rsidRPr="00C43495" w:rsidRDefault="00B209C5" w:rsidP="00B209C5">
      <w:pPr>
        <w:keepNext/>
        <w:spacing w:after="60"/>
        <w:rPr>
          <w:rFonts w:ascii="Calibri" w:eastAsia="SimHei" w:hAnsi="Calibri" w:cs="Calibri"/>
          <w:b/>
        </w:rPr>
      </w:pPr>
      <w:r w:rsidRPr="00C43495">
        <w:rPr>
          <w:rFonts w:ascii="Calibri" w:eastAsia="SimHei" w:hAnsi="Calibri" w:cs="Calibri"/>
          <w:b/>
        </w:rPr>
        <w:lastRenderedPageBreak/>
        <w:t>Acknowledgement of Country</w:t>
      </w:r>
    </w:p>
    <w:p w14:paraId="409FD23B" w14:textId="77777777" w:rsidR="00B209C5" w:rsidRPr="00B209C5" w:rsidRDefault="00B209C5" w:rsidP="005C5257">
      <w:pPr>
        <w:spacing w:after="80" w:line="264" w:lineRule="auto"/>
        <w:rPr>
          <w:rFonts w:ascii="Calibri" w:eastAsia="SimHei" w:hAnsi="Calibri" w:cs="Calibri"/>
        </w:rPr>
      </w:pPr>
      <w:r w:rsidRPr="00C43495">
        <w:rPr>
          <w:rFonts w:ascii="Calibri" w:eastAsia="SimHei" w:hAnsi="Calibri" w:cs="Calibr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D3BB3A5" w14:textId="77777777" w:rsidR="00B209C5" w:rsidRPr="00B209C5" w:rsidRDefault="00B209C5" w:rsidP="00B209C5">
      <w:pPr>
        <w:spacing w:before="6120"/>
        <w:jc w:val="both"/>
        <w:rPr>
          <w:rFonts w:cstheme="minorHAnsi"/>
          <w:b/>
          <w:sz w:val="20"/>
          <w:szCs w:val="20"/>
        </w:rPr>
      </w:pPr>
      <w:r w:rsidRPr="00B209C5">
        <w:rPr>
          <w:rFonts w:cstheme="minorHAnsi"/>
          <w:b/>
          <w:sz w:val="20"/>
          <w:szCs w:val="20"/>
        </w:rPr>
        <w:t>Copyright</w:t>
      </w:r>
    </w:p>
    <w:p w14:paraId="7667C1E4" w14:textId="5138BFB4" w:rsidR="00B209C5" w:rsidRPr="00B209C5" w:rsidRDefault="00B209C5" w:rsidP="00B209C5">
      <w:pPr>
        <w:jc w:val="both"/>
        <w:rPr>
          <w:rFonts w:cstheme="minorHAnsi"/>
          <w:sz w:val="20"/>
          <w:szCs w:val="20"/>
          <w:lang w:val="en-GB"/>
        </w:rPr>
      </w:pPr>
      <w:r w:rsidRPr="00B209C5">
        <w:rPr>
          <w:rFonts w:cstheme="minorHAnsi"/>
          <w:sz w:val="20"/>
          <w:szCs w:val="20"/>
          <w:lang w:val="en-GB"/>
        </w:rPr>
        <w:t>© School Curriculum and Standards Authority, 202</w:t>
      </w:r>
      <w:r w:rsidR="00130978">
        <w:rPr>
          <w:rFonts w:cstheme="minorHAnsi"/>
          <w:sz w:val="20"/>
          <w:szCs w:val="20"/>
          <w:lang w:val="en-GB"/>
        </w:rPr>
        <w:t>4</w:t>
      </w:r>
    </w:p>
    <w:p w14:paraId="058638E6" w14:textId="77777777" w:rsidR="00B209C5" w:rsidRPr="00B209C5" w:rsidRDefault="00B209C5" w:rsidP="00B209C5">
      <w:pPr>
        <w:rPr>
          <w:rFonts w:cstheme="minorHAnsi"/>
          <w:sz w:val="20"/>
          <w:szCs w:val="20"/>
        </w:rPr>
      </w:pPr>
      <w:r w:rsidRPr="00B209C5">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94186C8" w14:textId="77777777" w:rsidR="00B209C5" w:rsidRPr="00B209C5" w:rsidRDefault="00B209C5" w:rsidP="00B209C5">
      <w:pPr>
        <w:rPr>
          <w:rFonts w:cstheme="minorHAnsi"/>
          <w:sz w:val="20"/>
          <w:szCs w:val="20"/>
        </w:rPr>
      </w:pPr>
      <w:r w:rsidRPr="00B209C5">
        <w:rPr>
          <w:rFonts w:cstheme="minorHAnsi"/>
          <w:sz w:val="20"/>
          <w:szCs w:val="20"/>
        </w:rPr>
        <w:t>Copying or communication for any other purpose can be done only within the terms of the</w:t>
      </w:r>
      <w:r w:rsidRPr="00B209C5">
        <w:rPr>
          <w:rFonts w:cstheme="minorHAnsi"/>
          <w:i/>
          <w:iCs/>
          <w:sz w:val="20"/>
          <w:szCs w:val="20"/>
        </w:rPr>
        <w:t xml:space="preserve"> Copyright Act 1968</w:t>
      </w:r>
      <w:r w:rsidRPr="00B209C5">
        <w:rPr>
          <w:rFonts w:cstheme="minorHAnsi"/>
          <w:sz w:val="20"/>
          <w:szCs w:val="20"/>
        </w:rPr>
        <w:t xml:space="preserve"> or with prior written permission of the Authority. Copying or communication of any third-party copyright material can be done only within the terms of the </w:t>
      </w:r>
      <w:r w:rsidRPr="00B209C5">
        <w:rPr>
          <w:rFonts w:cstheme="minorHAnsi"/>
          <w:i/>
          <w:iCs/>
          <w:sz w:val="20"/>
          <w:szCs w:val="20"/>
        </w:rPr>
        <w:t>Copyright Act 1968</w:t>
      </w:r>
      <w:r w:rsidRPr="00B209C5">
        <w:rPr>
          <w:rFonts w:cstheme="minorHAnsi"/>
          <w:sz w:val="20"/>
          <w:szCs w:val="20"/>
        </w:rPr>
        <w:t xml:space="preserve"> or with permission of the copyright owners.</w:t>
      </w:r>
    </w:p>
    <w:p w14:paraId="31DC551D" w14:textId="77777777" w:rsidR="00B209C5" w:rsidRPr="00B209C5" w:rsidRDefault="00B209C5" w:rsidP="00B209C5">
      <w:pPr>
        <w:rPr>
          <w:rFonts w:cstheme="minorHAnsi"/>
          <w:sz w:val="20"/>
          <w:szCs w:val="20"/>
        </w:rPr>
      </w:pPr>
      <w:r w:rsidRPr="00B209C5">
        <w:rPr>
          <w:rFonts w:cstheme="minorHAnsi"/>
          <w:sz w:val="20"/>
          <w:szCs w:val="20"/>
        </w:rPr>
        <w:t xml:space="preserve">Any content in this document that has been derived from the Australian Curriculum may be used under the terms of the </w:t>
      </w:r>
      <w:hyperlink r:id="rId12" w:tgtFrame="_blank" w:history="1">
        <w:r w:rsidRPr="00B209C5">
          <w:rPr>
            <w:rFonts w:cstheme="minorHAnsi"/>
            <w:color w:val="580F8B"/>
            <w:sz w:val="20"/>
            <w:szCs w:val="20"/>
            <w:u w:val="single"/>
          </w:rPr>
          <w:t>Creative Commons Attribution 4.0 International licence</w:t>
        </w:r>
      </w:hyperlink>
      <w:r w:rsidRPr="00B209C5">
        <w:rPr>
          <w:rFonts w:cstheme="minorHAnsi"/>
          <w:sz w:val="20"/>
          <w:szCs w:val="20"/>
        </w:rPr>
        <w:t>.</w:t>
      </w:r>
    </w:p>
    <w:p w14:paraId="3752B4E5" w14:textId="77777777" w:rsidR="00B209C5" w:rsidRPr="00B209C5" w:rsidRDefault="00B209C5" w:rsidP="00B209C5">
      <w:pPr>
        <w:jc w:val="both"/>
        <w:rPr>
          <w:rFonts w:cstheme="minorHAnsi"/>
          <w:b/>
          <w:sz w:val="20"/>
          <w:szCs w:val="20"/>
          <w:lang w:val="en-GB"/>
        </w:rPr>
      </w:pPr>
      <w:r w:rsidRPr="00B209C5">
        <w:rPr>
          <w:rFonts w:cstheme="minorHAnsi"/>
          <w:b/>
          <w:sz w:val="20"/>
          <w:szCs w:val="20"/>
          <w:lang w:val="en-GB"/>
        </w:rPr>
        <w:t>Disclaimer</w:t>
      </w:r>
    </w:p>
    <w:p w14:paraId="7AF290D3" w14:textId="77777777" w:rsidR="00B209C5" w:rsidRPr="00B209C5" w:rsidRDefault="00B209C5" w:rsidP="00B209C5">
      <w:pPr>
        <w:rPr>
          <w:rFonts w:cstheme="minorHAnsi"/>
          <w:sz w:val="20"/>
          <w:szCs w:val="20"/>
        </w:rPr>
      </w:pPr>
      <w:r w:rsidRPr="00B209C5">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B209C5">
        <w:rPr>
          <w:rFonts w:cstheme="minorHAnsi"/>
          <w:sz w:val="20"/>
          <w:szCs w:val="20"/>
        </w:rPr>
        <w:t>Teachers must exercise their professional judgement as to the appropriateness of any they may wish to use.</w:t>
      </w:r>
    </w:p>
    <w:p w14:paraId="7BE72CBC" w14:textId="77777777" w:rsidR="00B340E2" w:rsidRPr="00B340E2" w:rsidRDefault="00B340E2" w:rsidP="00B340E2">
      <w:pPr>
        <w:spacing w:line="264" w:lineRule="auto"/>
        <w:ind w:right="68"/>
        <w:jc w:val="both"/>
        <w:rPr>
          <w:rFonts w:ascii="Calibri" w:eastAsia="SimSun" w:hAnsi="Calibri"/>
          <w:sz w:val="16"/>
          <w:szCs w:val="24"/>
          <w:lang w:val="en-AU" w:eastAsia="zh-CN"/>
        </w:rPr>
        <w:sectPr w:rsidR="00B340E2" w:rsidRPr="00B340E2" w:rsidSect="001255F5">
          <w:footerReference w:type="even" r:id="rId13"/>
          <w:footerReference w:type="default" r:id="rId14"/>
          <w:headerReference w:type="first" r:id="rId15"/>
          <w:pgSz w:w="11906" w:h="16838" w:code="9"/>
          <w:pgMar w:top="1644" w:right="1418" w:bottom="1276" w:left="1418" w:header="680" w:footer="567" w:gutter="0"/>
          <w:pgNumType w:start="1"/>
          <w:cols w:space="708"/>
          <w:titlePg/>
          <w:docGrid w:linePitch="360"/>
        </w:sectPr>
      </w:pPr>
    </w:p>
    <w:p w14:paraId="6EAC2979" w14:textId="77777777" w:rsidR="00B340E2" w:rsidRPr="00B340E2" w:rsidRDefault="00B340E2" w:rsidP="00584BB6">
      <w:pPr>
        <w:pStyle w:val="SCSAHeading1"/>
        <w:spacing w:after="0"/>
      </w:pPr>
      <w:r w:rsidRPr="00B340E2">
        <w:lastRenderedPageBreak/>
        <w:t>Sample assessment outline</w:t>
      </w:r>
    </w:p>
    <w:p w14:paraId="5DBFE67D" w14:textId="0463B480" w:rsidR="00B340E2" w:rsidRPr="00B340E2" w:rsidRDefault="009512F4" w:rsidP="00584BB6">
      <w:pPr>
        <w:pStyle w:val="SCSAHeading1"/>
        <w:spacing w:after="0"/>
      </w:pPr>
      <w:r>
        <w:t>Agricultural Science and Technology</w:t>
      </w:r>
      <w:r w:rsidR="001766FB">
        <w:t xml:space="preserve"> </w:t>
      </w:r>
      <w:r w:rsidR="00B952E6">
        <w:t xml:space="preserve">– </w:t>
      </w:r>
      <w:r w:rsidR="00B340E2" w:rsidRPr="00B340E2">
        <w:t xml:space="preserve">ATAR Year </w:t>
      </w:r>
      <w:r w:rsidR="007C0B19">
        <w:t>12</w:t>
      </w:r>
    </w:p>
    <w:p w14:paraId="25FA3A07" w14:textId="6C26CF72" w:rsidR="00DC04C7" w:rsidRDefault="00533331" w:rsidP="00562644">
      <w:pPr>
        <w:pStyle w:val="SCSAHeading2"/>
      </w:pPr>
      <w:r>
        <w:t>Unit</w:t>
      </w:r>
      <w:r w:rsidR="00B340E2" w:rsidRPr="00B340E2">
        <w:t xml:space="preserve"> </w:t>
      </w:r>
      <w:r w:rsidR="007C0B19">
        <w:t>3</w:t>
      </w:r>
      <w:r w:rsidR="00B340E2" w:rsidRPr="00B340E2">
        <w:t xml:space="preserve"> and </w:t>
      </w:r>
      <w:r>
        <w:t xml:space="preserve">Unit </w:t>
      </w:r>
      <w:r w:rsidR="007C0B19">
        <w:t>4</w:t>
      </w:r>
    </w:p>
    <w:tbl>
      <w:tblPr>
        <w:tblStyle w:val="SCSATableStyle"/>
        <w:tblW w:w="5000" w:type="pct"/>
        <w:tblLayout w:type="fixed"/>
        <w:tblLook w:val="04A0" w:firstRow="1" w:lastRow="0" w:firstColumn="1" w:lastColumn="0" w:noHBand="0" w:noVBand="1"/>
      </w:tblPr>
      <w:tblGrid>
        <w:gridCol w:w="1746"/>
        <w:gridCol w:w="1508"/>
        <w:gridCol w:w="1559"/>
        <w:gridCol w:w="1704"/>
        <w:gridCol w:w="7475"/>
      </w:tblGrid>
      <w:tr w:rsidR="00562644" w:rsidRPr="00562644" w14:paraId="16CB8853" w14:textId="77777777" w:rsidTr="005A7479">
        <w:trPr>
          <w:cnfStyle w:val="100000000000" w:firstRow="1" w:lastRow="0" w:firstColumn="0" w:lastColumn="0" w:oddVBand="0" w:evenVBand="0" w:oddHBand="0" w:evenHBand="0" w:firstRowFirstColumn="0" w:firstRowLastColumn="0" w:lastRowFirstColumn="0" w:lastRowLastColumn="0"/>
        </w:trPr>
        <w:tc>
          <w:tcPr>
            <w:tcW w:w="624" w:type="pct"/>
            <w:vAlign w:val="center"/>
            <w:hideMark/>
          </w:tcPr>
          <w:p w14:paraId="0B90F89C" w14:textId="77777777" w:rsidR="00F1056D" w:rsidRPr="00562644" w:rsidRDefault="00F1056D" w:rsidP="002438F4">
            <w:pPr>
              <w:jc w:val="center"/>
              <w:rPr>
                <w:b w:val="0"/>
              </w:rPr>
            </w:pPr>
            <w:r w:rsidRPr="00562644">
              <w:t xml:space="preserve">Assessment type </w:t>
            </w:r>
            <w:r w:rsidRPr="00562644">
              <w:br/>
              <w:t>(from syllabus)</w:t>
            </w:r>
          </w:p>
        </w:tc>
        <w:tc>
          <w:tcPr>
            <w:tcW w:w="539" w:type="pct"/>
            <w:vAlign w:val="center"/>
          </w:tcPr>
          <w:p w14:paraId="539E38E2" w14:textId="5CBC5CBB" w:rsidR="00F1056D" w:rsidRPr="00562644" w:rsidRDefault="00F1056D" w:rsidP="002438F4">
            <w:pPr>
              <w:jc w:val="center"/>
              <w:rPr>
                <w:b w:val="0"/>
              </w:rPr>
            </w:pPr>
            <w:r w:rsidRPr="00562644">
              <w:t>Assessment type weighting</w:t>
            </w:r>
            <w:r w:rsidR="001F022F">
              <w:br/>
            </w:r>
            <w:r w:rsidRPr="00562644">
              <w:t>(from syllabus)</w:t>
            </w:r>
          </w:p>
        </w:tc>
        <w:tc>
          <w:tcPr>
            <w:tcW w:w="557" w:type="pct"/>
            <w:vAlign w:val="center"/>
          </w:tcPr>
          <w:p w14:paraId="77F9297D" w14:textId="18DFC8BB" w:rsidR="00F1056D" w:rsidRPr="00562644" w:rsidRDefault="00F1056D" w:rsidP="002438F4">
            <w:pPr>
              <w:jc w:val="center"/>
              <w:rPr>
                <w:rFonts w:cstheme="minorHAnsi"/>
              </w:rPr>
            </w:pPr>
            <w:r w:rsidRPr="00562644">
              <w:rPr>
                <w:rFonts w:cstheme="minorHAnsi"/>
              </w:rPr>
              <w:t>Assessment task weighting</w:t>
            </w:r>
          </w:p>
        </w:tc>
        <w:tc>
          <w:tcPr>
            <w:tcW w:w="609" w:type="pct"/>
            <w:vAlign w:val="center"/>
          </w:tcPr>
          <w:p w14:paraId="2CB99620" w14:textId="3BA865BA" w:rsidR="00F1056D" w:rsidRPr="00562644" w:rsidRDefault="00011D4F" w:rsidP="002438F4">
            <w:pPr>
              <w:jc w:val="center"/>
              <w:rPr>
                <w:b w:val="0"/>
              </w:rPr>
            </w:pPr>
            <w:r>
              <w:t>S</w:t>
            </w:r>
            <w:r w:rsidR="00F1056D" w:rsidRPr="00562644">
              <w:t>tart and submission date</w:t>
            </w:r>
            <w:r>
              <w:t>s</w:t>
            </w:r>
          </w:p>
        </w:tc>
        <w:tc>
          <w:tcPr>
            <w:tcW w:w="2672" w:type="pct"/>
            <w:vAlign w:val="center"/>
            <w:hideMark/>
          </w:tcPr>
          <w:p w14:paraId="66C10AE3" w14:textId="77777777" w:rsidR="00F1056D" w:rsidRPr="00562644" w:rsidRDefault="00F1056D" w:rsidP="002438F4">
            <w:pPr>
              <w:jc w:val="center"/>
              <w:rPr>
                <w:b w:val="0"/>
              </w:rPr>
            </w:pPr>
            <w:r w:rsidRPr="00562644">
              <w:t>Assessment task</w:t>
            </w:r>
          </w:p>
        </w:tc>
      </w:tr>
      <w:tr w:rsidR="00F1056D" w:rsidRPr="00F261F4" w14:paraId="343A51D9" w14:textId="77777777" w:rsidTr="005A7479">
        <w:trPr>
          <w:trHeight w:val="20"/>
        </w:trPr>
        <w:tc>
          <w:tcPr>
            <w:tcW w:w="624" w:type="pct"/>
            <w:vMerge w:val="restart"/>
            <w:vAlign w:val="center"/>
          </w:tcPr>
          <w:p w14:paraId="1939942C" w14:textId="77777777" w:rsidR="00F1056D" w:rsidRPr="002438F4" w:rsidRDefault="009D601F" w:rsidP="002438F4">
            <w:pPr>
              <w:jc w:val="center"/>
              <w:rPr>
                <w:b/>
                <w:bCs/>
                <w:lang w:val="en-AU"/>
              </w:rPr>
            </w:pPr>
            <w:r w:rsidRPr="002438F4">
              <w:rPr>
                <w:b/>
                <w:bCs/>
                <w:lang w:val="en-AU"/>
              </w:rPr>
              <w:t>Science inquiry</w:t>
            </w:r>
          </w:p>
        </w:tc>
        <w:tc>
          <w:tcPr>
            <w:tcW w:w="539" w:type="pct"/>
            <w:vMerge w:val="restart"/>
            <w:vAlign w:val="center"/>
          </w:tcPr>
          <w:p w14:paraId="50F6226B" w14:textId="77777777" w:rsidR="00F1056D" w:rsidRPr="0053061B" w:rsidRDefault="009D601F" w:rsidP="002438F4">
            <w:pPr>
              <w:jc w:val="center"/>
              <w:rPr>
                <w:lang w:eastAsia="en-US"/>
              </w:rPr>
            </w:pPr>
            <w:r w:rsidRPr="0053061B">
              <w:rPr>
                <w:lang w:eastAsia="en-US"/>
              </w:rPr>
              <w:t>15</w:t>
            </w:r>
            <w:r w:rsidR="00F1056D" w:rsidRPr="0053061B">
              <w:rPr>
                <w:lang w:eastAsia="en-US"/>
              </w:rPr>
              <w:t>%</w:t>
            </w:r>
          </w:p>
        </w:tc>
        <w:tc>
          <w:tcPr>
            <w:tcW w:w="557" w:type="pct"/>
            <w:vAlign w:val="center"/>
          </w:tcPr>
          <w:p w14:paraId="0D9332D3" w14:textId="3805E0A6" w:rsidR="00F1056D" w:rsidRPr="001D7490" w:rsidRDefault="00891927" w:rsidP="002438F4">
            <w:pPr>
              <w:jc w:val="center"/>
              <w:rPr>
                <w:bCs/>
              </w:rPr>
            </w:pPr>
            <w:r>
              <w:t>8</w:t>
            </w:r>
            <w:r w:rsidR="00F1056D">
              <w:t>%</w:t>
            </w:r>
          </w:p>
        </w:tc>
        <w:tc>
          <w:tcPr>
            <w:tcW w:w="609" w:type="pct"/>
            <w:vAlign w:val="center"/>
          </w:tcPr>
          <w:p w14:paraId="631174DC" w14:textId="000449D5" w:rsidR="00B16703" w:rsidRDefault="00B16703" w:rsidP="002438F4">
            <w:pPr>
              <w:jc w:val="center"/>
              <w:rPr>
                <w:bCs/>
                <w:lang w:val="en-AU"/>
              </w:rPr>
            </w:pPr>
            <w:r>
              <w:rPr>
                <w:lang w:val="en-AU"/>
              </w:rPr>
              <w:t>Semester 1</w:t>
            </w:r>
          </w:p>
          <w:p w14:paraId="2FBCFC35" w14:textId="61AA5A84" w:rsidR="00F1056D" w:rsidRDefault="00F1056D" w:rsidP="002438F4">
            <w:pPr>
              <w:jc w:val="center"/>
              <w:rPr>
                <w:bCs/>
                <w:lang w:val="en-AU"/>
              </w:rPr>
            </w:pPr>
            <w:r w:rsidRPr="001D7490">
              <w:rPr>
                <w:lang w:val="en-AU"/>
              </w:rPr>
              <w:t>Week</w:t>
            </w:r>
            <w:r>
              <w:rPr>
                <w:lang w:val="en-AU"/>
              </w:rPr>
              <w:t xml:space="preserve"> </w:t>
            </w:r>
            <w:r w:rsidR="001A1290">
              <w:rPr>
                <w:lang w:val="en-AU"/>
              </w:rPr>
              <w:t>4</w:t>
            </w:r>
            <w:r w:rsidR="00E60D35">
              <w:rPr>
                <w:lang w:val="en-AU"/>
              </w:rPr>
              <w:t xml:space="preserve"> start</w:t>
            </w:r>
          </w:p>
          <w:p w14:paraId="00244065" w14:textId="1D0C9639" w:rsidR="00E60D35" w:rsidRPr="001D7490" w:rsidRDefault="00E60D35" w:rsidP="002438F4">
            <w:pPr>
              <w:jc w:val="center"/>
              <w:rPr>
                <w:bCs/>
                <w:lang w:val="en-AU"/>
              </w:rPr>
            </w:pPr>
            <w:r>
              <w:rPr>
                <w:lang w:val="en-AU"/>
              </w:rPr>
              <w:t xml:space="preserve">Week </w:t>
            </w:r>
            <w:r w:rsidR="001A1290">
              <w:rPr>
                <w:lang w:val="en-AU"/>
              </w:rPr>
              <w:t>5</w:t>
            </w:r>
            <w:r>
              <w:rPr>
                <w:lang w:val="en-AU"/>
              </w:rPr>
              <w:t xml:space="preserve"> due</w:t>
            </w:r>
          </w:p>
        </w:tc>
        <w:tc>
          <w:tcPr>
            <w:tcW w:w="2672" w:type="pct"/>
          </w:tcPr>
          <w:p w14:paraId="09C70C94" w14:textId="41D8C1BC" w:rsidR="00F1056D" w:rsidRPr="00051BEB" w:rsidRDefault="00F1056D" w:rsidP="002438F4">
            <w:r w:rsidRPr="001F022F">
              <w:rPr>
                <w:b/>
                <w:bCs/>
                <w:lang w:eastAsia="en-US"/>
              </w:rPr>
              <w:t xml:space="preserve">Task </w:t>
            </w:r>
            <w:r w:rsidR="001A1290" w:rsidRPr="001F022F">
              <w:rPr>
                <w:b/>
                <w:bCs/>
                <w:lang w:eastAsia="en-US"/>
              </w:rPr>
              <w:t>1</w:t>
            </w:r>
            <w:r w:rsidRPr="001F022F">
              <w:rPr>
                <w:b/>
                <w:bCs/>
                <w:lang w:eastAsia="en-US"/>
              </w:rPr>
              <w:t>:</w:t>
            </w:r>
            <w:r w:rsidRPr="00C63D25">
              <w:rPr>
                <w:lang w:eastAsia="en-US"/>
              </w:rPr>
              <w:t xml:space="preserve"> </w:t>
            </w:r>
            <w:r w:rsidR="00BF5EB6" w:rsidRPr="00180F83">
              <w:rPr>
                <w:lang w:val="en-AU"/>
              </w:rPr>
              <w:t xml:space="preserve">Investigating </w:t>
            </w:r>
            <w:r w:rsidR="00BF5EB6">
              <w:rPr>
                <w:lang w:val="en-AU"/>
              </w:rPr>
              <w:t>t</w:t>
            </w:r>
            <w:r w:rsidR="00BF5EB6" w:rsidRPr="00180F83">
              <w:rPr>
                <w:lang w:val="en-AU"/>
              </w:rPr>
              <w:t>ranspiration</w:t>
            </w:r>
            <w:r w:rsidR="00BF5EB6">
              <w:rPr>
                <w:lang w:val="en-AU"/>
              </w:rPr>
              <w:t xml:space="preserve"> – students design and conduct an investigation to explore </w:t>
            </w:r>
            <w:r w:rsidR="00BF5EB6" w:rsidRPr="00180F83">
              <w:rPr>
                <w:lang w:val="en-AU"/>
              </w:rPr>
              <w:t>factors that affect the rate of transpiration</w:t>
            </w:r>
          </w:p>
        </w:tc>
      </w:tr>
      <w:tr w:rsidR="009E43B3" w:rsidRPr="00F261F4" w14:paraId="65453AEB" w14:textId="77777777" w:rsidTr="005A7479">
        <w:trPr>
          <w:trHeight w:val="248"/>
        </w:trPr>
        <w:tc>
          <w:tcPr>
            <w:tcW w:w="624" w:type="pct"/>
            <w:vMerge/>
            <w:vAlign w:val="center"/>
          </w:tcPr>
          <w:p w14:paraId="3C62D002" w14:textId="77777777" w:rsidR="009E43B3" w:rsidRPr="002438F4" w:rsidRDefault="009E43B3" w:rsidP="002438F4">
            <w:pPr>
              <w:jc w:val="center"/>
              <w:rPr>
                <w:b/>
                <w:bCs/>
                <w:lang w:val="en-AU"/>
              </w:rPr>
            </w:pPr>
          </w:p>
        </w:tc>
        <w:tc>
          <w:tcPr>
            <w:tcW w:w="539" w:type="pct"/>
            <w:vMerge/>
            <w:vAlign w:val="center"/>
          </w:tcPr>
          <w:p w14:paraId="35D2B3AF" w14:textId="77777777" w:rsidR="009E43B3" w:rsidRPr="0053061B" w:rsidRDefault="009E43B3" w:rsidP="002438F4">
            <w:pPr>
              <w:jc w:val="center"/>
              <w:rPr>
                <w:lang w:eastAsia="en-US"/>
              </w:rPr>
            </w:pPr>
          </w:p>
        </w:tc>
        <w:tc>
          <w:tcPr>
            <w:tcW w:w="557" w:type="pct"/>
            <w:vAlign w:val="center"/>
          </w:tcPr>
          <w:p w14:paraId="6F43FF5D" w14:textId="2BDD8DFD" w:rsidR="009E43B3" w:rsidRPr="001D7490" w:rsidRDefault="00891927" w:rsidP="002438F4">
            <w:pPr>
              <w:jc w:val="center"/>
              <w:rPr>
                <w:bCs/>
              </w:rPr>
            </w:pPr>
            <w:r>
              <w:t>7</w:t>
            </w:r>
            <w:r w:rsidR="009E43B3" w:rsidRPr="001D7490">
              <w:t>%</w:t>
            </w:r>
          </w:p>
        </w:tc>
        <w:tc>
          <w:tcPr>
            <w:tcW w:w="609" w:type="pct"/>
            <w:vAlign w:val="center"/>
          </w:tcPr>
          <w:p w14:paraId="1EA874DE" w14:textId="3F912B33" w:rsidR="009236CB" w:rsidRDefault="009236CB" w:rsidP="002438F4">
            <w:pPr>
              <w:jc w:val="center"/>
              <w:rPr>
                <w:bCs/>
                <w:lang w:val="en-AU"/>
              </w:rPr>
            </w:pPr>
            <w:r>
              <w:rPr>
                <w:lang w:val="en-AU"/>
              </w:rPr>
              <w:t>Semester 2</w:t>
            </w:r>
          </w:p>
          <w:p w14:paraId="3F9839A5" w14:textId="5BF3DFD8" w:rsidR="009E43B3" w:rsidRPr="001D7490" w:rsidRDefault="009E43B3" w:rsidP="002438F4">
            <w:pPr>
              <w:jc w:val="center"/>
              <w:rPr>
                <w:bCs/>
                <w:lang w:val="en-AU"/>
              </w:rPr>
            </w:pPr>
            <w:r w:rsidRPr="001D7490">
              <w:rPr>
                <w:lang w:val="en-AU"/>
              </w:rPr>
              <w:t xml:space="preserve">Week </w:t>
            </w:r>
            <w:r w:rsidR="00CE37E1">
              <w:rPr>
                <w:lang w:val="en-AU"/>
              </w:rPr>
              <w:t>13</w:t>
            </w:r>
          </w:p>
        </w:tc>
        <w:tc>
          <w:tcPr>
            <w:tcW w:w="2672" w:type="pct"/>
          </w:tcPr>
          <w:p w14:paraId="4DE85658" w14:textId="1854F310" w:rsidR="009E43B3" w:rsidRPr="00B340E2" w:rsidRDefault="00156B2A" w:rsidP="002438F4">
            <w:r w:rsidRPr="001F022F">
              <w:rPr>
                <w:b/>
                <w:bCs/>
              </w:rPr>
              <w:t>Task</w:t>
            </w:r>
            <w:r w:rsidR="00903642" w:rsidRPr="001F022F">
              <w:rPr>
                <w:b/>
                <w:bCs/>
              </w:rPr>
              <w:t xml:space="preserve"> </w:t>
            </w:r>
            <w:r w:rsidR="00B64147" w:rsidRPr="001F022F">
              <w:rPr>
                <w:b/>
                <w:bCs/>
              </w:rPr>
              <w:t>7</w:t>
            </w:r>
            <w:r w:rsidR="00903642" w:rsidRPr="001F022F">
              <w:rPr>
                <w:b/>
                <w:bCs/>
              </w:rPr>
              <w:t>:</w:t>
            </w:r>
            <w:r w:rsidR="00903642">
              <w:t xml:space="preserve"> </w:t>
            </w:r>
            <w:r w:rsidR="0005684A">
              <w:t xml:space="preserve">Animal </w:t>
            </w:r>
            <w:r w:rsidR="00856AC2">
              <w:t>g</w:t>
            </w:r>
            <w:r w:rsidR="00761EAD" w:rsidRPr="00761EAD">
              <w:t xml:space="preserve">rowth and development </w:t>
            </w:r>
            <w:r w:rsidR="00B64147" w:rsidRPr="00BB44BD">
              <w:t xml:space="preserve">data analysis </w:t>
            </w:r>
            <w:r w:rsidR="0005684A" w:rsidRPr="00BB44BD">
              <w:t>–</w:t>
            </w:r>
            <w:r w:rsidR="00320B0A">
              <w:t xml:space="preserve"> </w:t>
            </w:r>
            <w:r w:rsidR="0005684A" w:rsidRPr="0005684A">
              <w:t xml:space="preserve">students </w:t>
            </w:r>
            <w:r w:rsidR="00E6073D">
              <w:t>analyse second-hand data on</w:t>
            </w:r>
            <w:r w:rsidR="0005684A" w:rsidRPr="0005684A">
              <w:t xml:space="preserve"> the effect of feed additives/supplements on growth rates of </w:t>
            </w:r>
            <w:r w:rsidR="00555E7E">
              <w:t xml:space="preserve">an </w:t>
            </w:r>
            <w:r w:rsidR="0005684A">
              <w:t>agricult</w:t>
            </w:r>
            <w:r w:rsidR="008A2E95">
              <w:t>u</w:t>
            </w:r>
            <w:r w:rsidR="0005684A">
              <w:t>ral production animal</w:t>
            </w:r>
          </w:p>
        </w:tc>
      </w:tr>
      <w:tr w:rsidR="00F1056D" w:rsidRPr="00F261F4" w14:paraId="4032A8AE" w14:textId="77777777" w:rsidTr="005A7479">
        <w:trPr>
          <w:trHeight w:val="20"/>
        </w:trPr>
        <w:tc>
          <w:tcPr>
            <w:tcW w:w="624" w:type="pct"/>
            <w:vMerge w:val="restart"/>
            <w:vAlign w:val="center"/>
          </w:tcPr>
          <w:p w14:paraId="2BF2381E" w14:textId="77777777" w:rsidR="00F1056D" w:rsidRPr="002438F4" w:rsidRDefault="009D601F" w:rsidP="002438F4">
            <w:pPr>
              <w:jc w:val="center"/>
              <w:rPr>
                <w:b/>
                <w:bCs/>
                <w:lang w:val="en-AU"/>
              </w:rPr>
            </w:pPr>
            <w:r w:rsidRPr="002438F4">
              <w:rPr>
                <w:b/>
                <w:bCs/>
                <w:lang w:val="en-AU"/>
              </w:rPr>
              <w:t>Project</w:t>
            </w:r>
          </w:p>
        </w:tc>
        <w:tc>
          <w:tcPr>
            <w:tcW w:w="539" w:type="pct"/>
            <w:vMerge w:val="restart"/>
            <w:vAlign w:val="center"/>
          </w:tcPr>
          <w:p w14:paraId="065F9C36" w14:textId="60C0850E" w:rsidR="00F1056D" w:rsidRPr="0053061B" w:rsidRDefault="007C0B19" w:rsidP="002438F4">
            <w:pPr>
              <w:jc w:val="center"/>
              <w:rPr>
                <w:bCs/>
                <w:lang w:val="en-AU"/>
              </w:rPr>
            </w:pPr>
            <w:r w:rsidRPr="0053061B">
              <w:t>15</w:t>
            </w:r>
            <w:r w:rsidR="00F1056D" w:rsidRPr="0053061B">
              <w:t>%</w:t>
            </w:r>
          </w:p>
        </w:tc>
        <w:tc>
          <w:tcPr>
            <w:tcW w:w="557" w:type="pct"/>
            <w:vAlign w:val="center"/>
          </w:tcPr>
          <w:p w14:paraId="1CF877C5" w14:textId="143FD191" w:rsidR="00F1056D" w:rsidRPr="001D7490" w:rsidRDefault="00D90813" w:rsidP="002438F4">
            <w:pPr>
              <w:jc w:val="center"/>
              <w:rPr>
                <w:bCs/>
              </w:rPr>
            </w:pPr>
            <w:r>
              <w:t>7.</w:t>
            </w:r>
            <w:r w:rsidR="006B73E3">
              <w:t>5</w:t>
            </w:r>
            <w:r w:rsidR="00F1056D" w:rsidRPr="001D7490">
              <w:t>%</w:t>
            </w:r>
          </w:p>
        </w:tc>
        <w:tc>
          <w:tcPr>
            <w:tcW w:w="609" w:type="pct"/>
            <w:vAlign w:val="center"/>
          </w:tcPr>
          <w:p w14:paraId="43707171" w14:textId="16BB67D0" w:rsidR="001A1290" w:rsidRDefault="001A1290" w:rsidP="002438F4">
            <w:pPr>
              <w:jc w:val="center"/>
            </w:pPr>
            <w:r>
              <w:t xml:space="preserve">Semester </w:t>
            </w:r>
            <w:r w:rsidR="00DF14DF">
              <w:t>1</w:t>
            </w:r>
          </w:p>
          <w:p w14:paraId="4BBCC867" w14:textId="6B33D706" w:rsidR="001A1290" w:rsidRDefault="001A1290" w:rsidP="002438F4">
            <w:pPr>
              <w:jc w:val="center"/>
              <w:rPr>
                <w:bCs/>
                <w:lang w:val="en-AU"/>
              </w:rPr>
            </w:pPr>
            <w:r w:rsidRPr="001D7490">
              <w:t xml:space="preserve">Week </w:t>
            </w:r>
            <w:r w:rsidR="00F02596">
              <w:t>13</w:t>
            </w:r>
            <w:r>
              <w:t xml:space="preserve"> </w:t>
            </w:r>
            <w:r>
              <w:rPr>
                <w:lang w:val="en-AU"/>
              </w:rPr>
              <w:t>start</w:t>
            </w:r>
          </w:p>
          <w:p w14:paraId="6A8920E5" w14:textId="2B2C66B6" w:rsidR="00580ED9" w:rsidRPr="001D7490" w:rsidRDefault="001A1290" w:rsidP="002438F4">
            <w:pPr>
              <w:jc w:val="center"/>
            </w:pPr>
            <w:r>
              <w:rPr>
                <w:lang w:val="en-AU"/>
              </w:rPr>
              <w:t xml:space="preserve">Week </w:t>
            </w:r>
            <w:r w:rsidR="00F02596">
              <w:rPr>
                <w:lang w:val="en-AU"/>
              </w:rPr>
              <w:t>15</w:t>
            </w:r>
            <w:r>
              <w:rPr>
                <w:lang w:val="en-AU"/>
              </w:rPr>
              <w:t xml:space="preserve"> due</w:t>
            </w:r>
          </w:p>
        </w:tc>
        <w:tc>
          <w:tcPr>
            <w:tcW w:w="2672" w:type="pct"/>
          </w:tcPr>
          <w:p w14:paraId="29BFDA9E" w14:textId="55F0CA67" w:rsidR="00625A31" w:rsidRPr="00625A31" w:rsidRDefault="00DF14DF" w:rsidP="002438F4">
            <w:r w:rsidRPr="001F022F">
              <w:rPr>
                <w:b/>
                <w:bCs/>
              </w:rPr>
              <w:t xml:space="preserve">Task </w:t>
            </w:r>
            <w:r w:rsidR="00F02596" w:rsidRPr="001F022F">
              <w:rPr>
                <w:b/>
                <w:bCs/>
              </w:rPr>
              <w:t>3</w:t>
            </w:r>
            <w:r w:rsidRPr="001F022F">
              <w:rPr>
                <w:b/>
                <w:bCs/>
              </w:rPr>
              <w:t>:</w:t>
            </w:r>
            <w:r w:rsidRPr="00B340E2">
              <w:t xml:space="preserve"> </w:t>
            </w:r>
            <w:r w:rsidRPr="0024173B">
              <w:rPr>
                <w:lang w:val="en-AU"/>
              </w:rPr>
              <w:t>Integrated pest management</w:t>
            </w:r>
            <w:r w:rsidR="00F02596">
              <w:rPr>
                <w:lang w:val="en-AU"/>
              </w:rPr>
              <w:t xml:space="preserve"> plan</w:t>
            </w:r>
            <w:r>
              <w:rPr>
                <w:lang w:val="en-AU"/>
              </w:rPr>
              <w:t xml:space="preserve"> – </w:t>
            </w:r>
            <w:r>
              <w:t xml:space="preserve">students develop an integrated pest management plan for </w:t>
            </w:r>
            <w:r w:rsidRPr="002A2CCD">
              <w:t xml:space="preserve">one weed, invertebrate </w:t>
            </w:r>
            <w:r w:rsidR="00C87C4D" w:rsidRPr="002A2CCD">
              <w:t>pest,</w:t>
            </w:r>
            <w:r w:rsidRPr="002A2CCD">
              <w:t xml:space="preserve"> or pathogen</w:t>
            </w:r>
            <w:r>
              <w:t xml:space="preserve"> for a chosen plant production system</w:t>
            </w:r>
          </w:p>
        </w:tc>
      </w:tr>
      <w:tr w:rsidR="00F1056D" w:rsidRPr="00F261F4" w14:paraId="5B3F5A77" w14:textId="77777777" w:rsidTr="005A7479">
        <w:trPr>
          <w:trHeight w:val="20"/>
        </w:trPr>
        <w:tc>
          <w:tcPr>
            <w:tcW w:w="624" w:type="pct"/>
            <w:vMerge/>
            <w:vAlign w:val="center"/>
          </w:tcPr>
          <w:p w14:paraId="727DE769" w14:textId="77777777" w:rsidR="00F1056D" w:rsidRPr="002438F4" w:rsidRDefault="00F1056D" w:rsidP="002438F4">
            <w:pPr>
              <w:jc w:val="center"/>
              <w:rPr>
                <w:b/>
                <w:bCs/>
                <w:lang w:val="en-AU"/>
              </w:rPr>
            </w:pPr>
          </w:p>
        </w:tc>
        <w:tc>
          <w:tcPr>
            <w:tcW w:w="539" w:type="pct"/>
            <w:vMerge/>
            <w:vAlign w:val="center"/>
          </w:tcPr>
          <w:p w14:paraId="63239CEE" w14:textId="77777777" w:rsidR="00F1056D" w:rsidRPr="0053061B" w:rsidRDefault="00F1056D" w:rsidP="002438F4">
            <w:pPr>
              <w:jc w:val="center"/>
              <w:rPr>
                <w:bCs/>
              </w:rPr>
            </w:pPr>
          </w:p>
        </w:tc>
        <w:tc>
          <w:tcPr>
            <w:tcW w:w="557" w:type="pct"/>
            <w:vAlign w:val="center"/>
          </w:tcPr>
          <w:p w14:paraId="684844FA" w14:textId="5E999526" w:rsidR="00F1056D" w:rsidRPr="001D7490" w:rsidRDefault="00D90813" w:rsidP="002438F4">
            <w:pPr>
              <w:jc w:val="center"/>
              <w:rPr>
                <w:bCs/>
              </w:rPr>
            </w:pPr>
            <w:r>
              <w:t>7.5</w:t>
            </w:r>
            <w:r w:rsidR="00F1056D" w:rsidRPr="001D7490">
              <w:t>%</w:t>
            </w:r>
          </w:p>
        </w:tc>
        <w:tc>
          <w:tcPr>
            <w:tcW w:w="609" w:type="pct"/>
            <w:vAlign w:val="center"/>
          </w:tcPr>
          <w:p w14:paraId="169A06F3" w14:textId="42C188A1" w:rsidR="001A1290" w:rsidRDefault="001A1290" w:rsidP="002438F4">
            <w:pPr>
              <w:jc w:val="center"/>
              <w:rPr>
                <w:bCs/>
                <w:lang w:val="en-AU"/>
              </w:rPr>
            </w:pPr>
            <w:r>
              <w:rPr>
                <w:lang w:val="en-AU"/>
              </w:rPr>
              <w:t xml:space="preserve">Semester </w:t>
            </w:r>
            <w:r w:rsidR="00DF14DF">
              <w:rPr>
                <w:lang w:val="en-AU"/>
              </w:rPr>
              <w:t>2</w:t>
            </w:r>
          </w:p>
          <w:p w14:paraId="2E094742" w14:textId="4FBDB0AE" w:rsidR="001A1290" w:rsidRDefault="001A1290" w:rsidP="002438F4">
            <w:pPr>
              <w:jc w:val="center"/>
              <w:rPr>
                <w:bCs/>
                <w:lang w:val="en-AU"/>
              </w:rPr>
            </w:pPr>
            <w:r w:rsidRPr="001D7490">
              <w:rPr>
                <w:lang w:val="en-AU"/>
              </w:rPr>
              <w:t xml:space="preserve">Week </w:t>
            </w:r>
            <w:r w:rsidR="00F02596">
              <w:rPr>
                <w:lang w:val="en-AU"/>
              </w:rPr>
              <w:t>1</w:t>
            </w:r>
            <w:r>
              <w:rPr>
                <w:lang w:val="en-AU"/>
              </w:rPr>
              <w:t xml:space="preserve"> start</w:t>
            </w:r>
          </w:p>
          <w:p w14:paraId="3F0FCD11" w14:textId="38E23900" w:rsidR="00F1056D" w:rsidRPr="001D7490" w:rsidRDefault="001A1290" w:rsidP="002438F4">
            <w:pPr>
              <w:jc w:val="center"/>
              <w:rPr>
                <w:lang w:val="en-AU"/>
              </w:rPr>
            </w:pPr>
            <w:r>
              <w:rPr>
                <w:lang w:val="en-AU"/>
              </w:rPr>
              <w:t xml:space="preserve">Week </w:t>
            </w:r>
            <w:r w:rsidR="00F02596">
              <w:rPr>
                <w:lang w:val="en-AU"/>
              </w:rPr>
              <w:t>3</w:t>
            </w:r>
            <w:r>
              <w:rPr>
                <w:lang w:val="en-AU"/>
              </w:rPr>
              <w:t xml:space="preserve"> due</w:t>
            </w:r>
          </w:p>
        </w:tc>
        <w:tc>
          <w:tcPr>
            <w:tcW w:w="2672" w:type="pct"/>
          </w:tcPr>
          <w:p w14:paraId="5C3AEA67" w14:textId="06C268F3" w:rsidR="00DF14DF" w:rsidRPr="00181E7A" w:rsidRDefault="00DF14DF" w:rsidP="002438F4">
            <w:pPr>
              <w:rPr>
                <w:lang w:val="en-AU"/>
              </w:rPr>
            </w:pPr>
            <w:r w:rsidRPr="001F022F">
              <w:rPr>
                <w:b/>
                <w:bCs/>
              </w:rPr>
              <w:t xml:space="preserve">Task </w:t>
            </w:r>
            <w:r w:rsidR="00F02596" w:rsidRPr="001F022F">
              <w:rPr>
                <w:b/>
                <w:bCs/>
              </w:rPr>
              <w:t>5</w:t>
            </w:r>
            <w:r w:rsidRPr="001F022F">
              <w:rPr>
                <w:b/>
                <w:bCs/>
              </w:rPr>
              <w:t>:</w:t>
            </w:r>
            <w:r w:rsidRPr="005814B4">
              <w:t xml:space="preserve"> </w:t>
            </w:r>
            <w:r w:rsidRPr="00272F6B">
              <w:t>Food security</w:t>
            </w:r>
            <w:r>
              <w:t xml:space="preserve"> – students research </w:t>
            </w:r>
            <w:r w:rsidRPr="00272F6B">
              <w:t>opportunities for developments and improvements which can be used to address the issues of food security, including new and upcoming technologies and strategies to</w:t>
            </w:r>
            <w:r>
              <w:t xml:space="preserve"> </w:t>
            </w:r>
            <w:r w:rsidRPr="00272F6B">
              <w:rPr>
                <w:lang w:val="en-AU"/>
              </w:rPr>
              <w:t>mitigate soil problems</w:t>
            </w:r>
            <w:r>
              <w:rPr>
                <w:lang w:val="en-AU"/>
              </w:rPr>
              <w:t xml:space="preserve"> such as salinity, </w:t>
            </w:r>
            <w:r w:rsidR="00C87C4D">
              <w:rPr>
                <w:lang w:val="en-AU"/>
              </w:rPr>
              <w:t>erosion</w:t>
            </w:r>
            <w:r>
              <w:rPr>
                <w:lang w:val="en-AU"/>
              </w:rPr>
              <w:t xml:space="preserve"> and </w:t>
            </w:r>
            <w:r w:rsidRPr="00272F6B">
              <w:rPr>
                <w:lang w:val="en-AU"/>
              </w:rPr>
              <w:t>acidity</w:t>
            </w:r>
            <w:r>
              <w:rPr>
                <w:lang w:val="en-AU"/>
              </w:rPr>
              <w:t xml:space="preserve"> relevant to </w:t>
            </w:r>
            <w:r>
              <w:t>an agricultural region of WA</w:t>
            </w:r>
          </w:p>
        </w:tc>
      </w:tr>
      <w:tr w:rsidR="00F1056D" w:rsidRPr="00F261F4" w14:paraId="16C8D736" w14:textId="77777777" w:rsidTr="005A7479">
        <w:trPr>
          <w:trHeight w:val="20"/>
        </w:trPr>
        <w:tc>
          <w:tcPr>
            <w:tcW w:w="624" w:type="pct"/>
            <w:vMerge w:val="restart"/>
            <w:vAlign w:val="center"/>
          </w:tcPr>
          <w:p w14:paraId="287E7A66" w14:textId="267FFCDD" w:rsidR="00F1056D" w:rsidRPr="002438F4" w:rsidRDefault="00F1056D" w:rsidP="002438F4">
            <w:pPr>
              <w:jc w:val="center"/>
              <w:rPr>
                <w:b/>
                <w:bCs/>
                <w:lang w:val="en-AU"/>
              </w:rPr>
            </w:pPr>
            <w:r w:rsidRPr="002438F4">
              <w:rPr>
                <w:b/>
                <w:bCs/>
                <w:lang w:val="en-AU"/>
              </w:rPr>
              <w:t>Test</w:t>
            </w:r>
          </w:p>
        </w:tc>
        <w:tc>
          <w:tcPr>
            <w:tcW w:w="539" w:type="pct"/>
            <w:vMerge w:val="restart"/>
            <w:vAlign w:val="center"/>
          </w:tcPr>
          <w:p w14:paraId="172A5580" w14:textId="21B99C04" w:rsidR="00F1056D" w:rsidRPr="0053061B" w:rsidRDefault="007C0B19" w:rsidP="002438F4">
            <w:pPr>
              <w:jc w:val="center"/>
              <w:rPr>
                <w:lang w:val="en-AU"/>
              </w:rPr>
            </w:pPr>
            <w:r w:rsidRPr="0053061B">
              <w:rPr>
                <w:lang w:eastAsia="en-US"/>
              </w:rPr>
              <w:t>20</w:t>
            </w:r>
            <w:r w:rsidR="00F1056D" w:rsidRPr="0053061B">
              <w:rPr>
                <w:lang w:eastAsia="en-US"/>
              </w:rPr>
              <w:t>%</w:t>
            </w:r>
          </w:p>
        </w:tc>
        <w:tc>
          <w:tcPr>
            <w:tcW w:w="557" w:type="pct"/>
            <w:vAlign w:val="center"/>
          </w:tcPr>
          <w:p w14:paraId="4E1EDD0D" w14:textId="466657EF" w:rsidR="00F1056D" w:rsidRPr="001D7490" w:rsidRDefault="00891927" w:rsidP="002438F4">
            <w:pPr>
              <w:jc w:val="center"/>
              <w:rPr>
                <w:bCs/>
              </w:rPr>
            </w:pPr>
            <w:r>
              <w:t>8</w:t>
            </w:r>
            <w:r w:rsidR="00F1056D" w:rsidRPr="001D7490">
              <w:t>%</w:t>
            </w:r>
          </w:p>
        </w:tc>
        <w:tc>
          <w:tcPr>
            <w:tcW w:w="609" w:type="pct"/>
            <w:vAlign w:val="center"/>
          </w:tcPr>
          <w:p w14:paraId="1113157D" w14:textId="77777777" w:rsidR="002F447D" w:rsidRDefault="002F447D" w:rsidP="002438F4">
            <w:pPr>
              <w:jc w:val="center"/>
            </w:pPr>
            <w:r>
              <w:t>Semester 1</w:t>
            </w:r>
          </w:p>
          <w:p w14:paraId="242C271E" w14:textId="607EB07F" w:rsidR="00F1056D" w:rsidRPr="001D7490" w:rsidRDefault="00F1056D" w:rsidP="002438F4">
            <w:pPr>
              <w:jc w:val="center"/>
            </w:pPr>
            <w:r w:rsidRPr="001D7490">
              <w:rPr>
                <w:lang w:val="en-AU"/>
              </w:rPr>
              <w:t xml:space="preserve">Week </w:t>
            </w:r>
            <w:r w:rsidR="001A1290">
              <w:rPr>
                <w:lang w:val="en-AU"/>
              </w:rPr>
              <w:t>10</w:t>
            </w:r>
          </w:p>
        </w:tc>
        <w:tc>
          <w:tcPr>
            <w:tcW w:w="2672" w:type="pct"/>
          </w:tcPr>
          <w:p w14:paraId="4CE5610C" w14:textId="628E291D" w:rsidR="00F1056D" w:rsidRPr="00B340E2" w:rsidRDefault="00F1056D" w:rsidP="002438F4">
            <w:r w:rsidRPr="001F022F">
              <w:rPr>
                <w:b/>
                <w:bCs/>
              </w:rPr>
              <w:t xml:space="preserve">Task </w:t>
            </w:r>
            <w:r w:rsidR="001A1290" w:rsidRPr="001F022F">
              <w:rPr>
                <w:b/>
                <w:bCs/>
              </w:rPr>
              <w:t>2</w:t>
            </w:r>
            <w:r w:rsidRPr="001F022F">
              <w:rPr>
                <w:b/>
                <w:bCs/>
              </w:rPr>
              <w:t>:</w:t>
            </w:r>
            <w:r w:rsidR="00D4672A">
              <w:t xml:space="preserve"> </w:t>
            </w:r>
            <w:r w:rsidR="00386DA9" w:rsidRPr="00386DA9">
              <w:rPr>
                <w:lang w:val="en-AU"/>
              </w:rPr>
              <w:t>Plant growth</w:t>
            </w:r>
            <w:r w:rsidR="00386DA9" w:rsidRPr="00386DA9">
              <w:t xml:space="preserve"> </w:t>
            </w:r>
            <w:r w:rsidR="00BF5EB6">
              <w:t>–</w:t>
            </w:r>
            <w:r w:rsidR="00386DA9">
              <w:t xml:space="preserve"> </w:t>
            </w:r>
            <w:r w:rsidR="00BF5EB6">
              <w:t>test includes multiple-choice, short</w:t>
            </w:r>
            <w:r w:rsidR="004D1309">
              <w:t>-</w:t>
            </w:r>
            <w:r w:rsidR="00BF5EB6">
              <w:t>answer and extended</w:t>
            </w:r>
            <w:r w:rsidR="004D1309">
              <w:t>-</w:t>
            </w:r>
            <w:r w:rsidR="00BF5EB6">
              <w:t>answer questions</w:t>
            </w:r>
          </w:p>
        </w:tc>
      </w:tr>
      <w:tr w:rsidR="00903A20" w:rsidRPr="00F261F4" w14:paraId="113B79E5" w14:textId="77777777" w:rsidTr="005A7479">
        <w:trPr>
          <w:trHeight w:val="244"/>
        </w:trPr>
        <w:tc>
          <w:tcPr>
            <w:tcW w:w="624" w:type="pct"/>
            <w:vMerge/>
            <w:vAlign w:val="center"/>
          </w:tcPr>
          <w:p w14:paraId="31F501E4" w14:textId="77777777" w:rsidR="00903A20" w:rsidRPr="002438F4" w:rsidRDefault="00903A20" w:rsidP="002438F4">
            <w:pPr>
              <w:jc w:val="center"/>
              <w:rPr>
                <w:b/>
                <w:bCs/>
                <w:lang w:val="en-AU"/>
              </w:rPr>
            </w:pPr>
          </w:p>
        </w:tc>
        <w:tc>
          <w:tcPr>
            <w:tcW w:w="539" w:type="pct"/>
            <w:vMerge/>
            <w:vAlign w:val="center"/>
          </w:tcPr>
          <w:p w14:paraId="1F56686A" w14:textId="77777777" w:rsidR="00903A20" w:rsidRPr="0053061B" w:rsidRDefault="00903A20" w:rsidP="002438F4">
            <w:pPr>
              <w:jc w:val="center"/>
              <w:rPr>
                <w:lang w:eastAsia="en-US"/>
              </w:rPr>
            </w:pPr>
          </w:p>
        </w:tc>
        <w:tc>
          <w:tcPr>
            <w:tcW w:w="557" w:type="pct"/>
            <w:vAlign w:val="center"/>
          </w:tcPr>
          <w:p w14:paraId="50F06327" w14:textId="04F4BDE8" w:rsidR="00903A20" w:rsidRPr="001D7490" w:rsidRDefault="00891927" w:rsidP="002438F4">
            <w:pPr>
              <w:jc w:val="center"/>
              <w:rPr>
                <w:bCs/>
              </w:rPr>
            </w:pPr>
            <w:r>
              <w:t>12</w:t>
            </w:r>
            <w:r w:rsidR="00903A20" w:rsidRPr="001D7490">
              <w:t>%</w:t>
            </w:r>
          </w:p>
        </w:tc>
        <w:tc>
          <w:tcPr>
            <w:tcW w:w="609" w:type="pct"/>
            <w:vAlign w:val="center"/>
          </w:tcPr>
          <w:p w14:paraId="3118B54C" w14:textId="77777777" w:rsidR="002F447D" w:rsidRDefault="002F447D" w:rsidP="002438F4">
            <w:pPr>
              <w:jc w:val="center"/>
            </w:pPr>
            <w:r>
              <w:t>Semester 2</w:t>
            </w:r>
          </w:p>
          <w:p w14:paraId="1BEFEE31" w14:textId="08E02679" w:rsidR="00903A20" w:rsidRPr="001D7490" w:rsidRDefault="00903A20" w:rsidP="002438F4">
            <w:pPr>
              <w:jc w:val="center"/>
              <w:rPr>
                <w:lang w:val="en-AU"/>
              </w:rPr>
            </w:pPr>
            <w:r w:rsidRPr="001D7490">
              <w:rPr>
                <w:bCs/>
                <w:lang w:val="en-AU"/>
              </w:rPr>
              <w:t xml:space="preserve">Week </w:t>
            </w:r>
            <w:r w:rsidR="009218E2">
              <w:rPr>
                <w:bCs/>
                <w:lang w:val="en-AU"/>
              </w:rPr>
              <w:t>11</w:t>
            </w:r>
          </w:p>
        </w:tc>
        <w:tc>
          <w:tcPr>
            <w:tcW w:w="2672" w:type="pct"/>
          </w:tcPr>
          <w:p w14:paraId="5E918F83" w14:textId="12F0B844" w:rsidR="00903A20" w:rsidRPr="00B340E2" w:rsidRDefault="00903A20" w:rsidP="002438F4">
            <w:pPr>
              <w:rPr>
                <w:lang w:val="en-AU"/>
              </w:rPr>
            </w:pPr>
            <w:r w:rsidRPr="001F022F">
              <w:rPr>
                <w:b/>
                <w:bCs/>
                <w:lang w:val="en-AU"/>
              </w:rPr>
              <w:t xml:space="preserve">Task </w:t>
            </w:r>
            <w:r w:rsidR="00421F62" w:rsidRPr="001F022F">
              <w:rPr>
                <w:b/>
                <w:bCs/>
                <w:lang w:val="en-AU"/>
              </w:rPr>
              <w:t>6</w:t>
            </w:r>
            <w:r w:rsidRPr="001F022F">
              <w:rPr>
                <w:b/>
                <w:bCs/>
                <w:lang w:val="en-AU"/>
              </w:rPr>
              <w:t>:</w:t>
            </w:r>
            <w:r w:rsidR="00580ED9">
              <w:rPr>
                <w:lang w:val="en-AU"/>
              </w:rPr>
              <w:t xml:space="preserve"> </w:t>
            </w:r>
            <w:r w:rsidR="009218E2">
              <w:rPr>
                <w:lang w:val="en-AU"/>
              </w:rPr>
              <w:t xml:space="preserve">Breeding and improvement, </w:t>
            </w:r>
            <w:r w:rsidR="00675226">
              <w:rPr>
                <w:lang w:val="en-AU"/>
              </w:rPr>
              <w:t>p</w:t>
            </w:r>
            <w:r w:rsidR="009218E2">
              <w:rPr>
                <w:lang w:val="en-AU"/>
              </w:rPr>
              <w:t xml:space="preserve">lant and </w:t>
            </w:r>
            <w:r w:rsidR="00675226">
              <w:rPr>
                <w:lang w:val="en-AU"/>
              </w:rPr>
              <w:t>a</w:t>
            </w:r>
            <w:r w:rsidR="009218E2">
              <w:rPr>
                <w:lang w:val="en-AU"/>
              </w:rPr>
              <w:t>nimal reproduction and breeding</w:t>
            </w:r>
            <w:r w:rsidR="00061D16">
              <w:rPr>
                <w:lang w:val="en-AU"/>
              </w:rPr>
              <w:t xml:space="preserve"> </w:t>
            </w:r>
            <w:r w:rsidR="00BF5EB6">
              <w:t>– test includes multiple-choice, short</w:t>
            </w:r>
            <w:r w:rsidR="004D1309">
              <w:t>-</w:t>
            </w:r>
            <w:r w:rsidR="00BF5EB6">
              <w:t>answer and extended</w:t>
            </w:r>
            <w:r w:rsidR="004D1309">
              <w:t>-</w:t>
            </w:r>
            <w:r w:rsidR="00BF5EB6">
              <w:t>answer questions</w:t>
            </w:r>
          </w:p>
        </w:tc>
      </w:tr>
      <w:tr w:rsidR="00F1056D" w:rsidRPr="00F261F4" w14:paraId="5F4BC51F" w14:textId="77777777" w:rsidTr="005A7479">
        <w:trPr>
          <w:trHeight w:val="20"/>
        </w:trPr>
        <w:tc>
          <w:tcPr>
            <w:tcW w:w="624" w:type="pct"/>
            <w:vMerge w:val="restart"/>
            <w:vAlign w:val="center"/>
          </w:tcPr>
          <w:p w14:paraId="31C00FD9" w14:textId="77777777" w:rsidR="00F1056D" w:rsidRPr="002438F4" w:rsidRDefault="00F1056D" w:rsidP="005A7479">
            <w:pPr>
              <w:pageBreakBefore/>
              <w:jc w:val="center"/>
              <w:rPr>
                <w:b/>
                <w:bCs/>
              </w:rPr>
            </w:pPr>
            <w:r w:rsidRPr="002438F4">
              <w:rPr>
                <w:b/>
                <w:bCs/>
              </w:rPr>
              <w:lastRenderedPageBreak/>
              <w:t>Examination</w:t>
            </w:r>
          </w:p>
        </w:tc>
        <w:tc>
          <w:tcPr>
            <w:tcW w:w="539" w:type="pct"/>
            <w:vMerge w:val="restart"/>
            <w:vAlign w:val="center"/>
          </w:tcPr>
          <w:p w14:paraId="302CC084" w14:textId="7F871035" w:rsidR="00F1056D" w:rsidRPr="0053061B" w:rsidRDefault="007C0B19" w:rsidP="005A7479">
            <w:pPr>
              <w:pageBreakBefore/>
              <w:jc w:val="center"/>
              <w:rPr>
                <w:bCs/>
              </w:rPr>
            </w:pPr>
            <w:r w:rsidRPr="0053061B">
              <w:t>50</w:t>
            </w:r>
            <w:r w:rsidR="00F1056D" w:rsidRPr="0053061B">
              <w:t>%</w:t>
            </w:r>
          </w:p>
        </w:tc>
        <w:tc>
          <w:tcPr>
            <w:tcW w:w="557" w:type="pct"/>
            <w:vAlign w:val="center"/>
          </w:tcPr>
          <w:p w14:paraId="3FE242C6" w14:textId="137AA0D7" w:rsidR="00F1056D" w:rsidRPr="001D7490" w:rsidRDefault="007C0B19" w:rsidP="005A7479">
            <w:pPr>
              <w:pageBreakBefore/>
              <w:jc w:val="center"/>
              <w:rPr>
                <w:bCs/>
              </w:rPr>
            </w:pPr>
            <w:r>
              <w:t>20</w:t>
            </w:r>
            <w:r w:rsidR="00F1056D" w:rsidRPr="001D7490">
              <w:t>%</w:t>
            </w:r>
          </w:p>
        </w:tc>
        <w:tc>
          <w:tcPr>
            <w:tcW w:w="609" w:type="pct"/>
            <w:vAlign w:val="center"/>
          </w:tcPr>
          <w:p w14:paraId="66286FF5" w14:textId="3F330D8F" w:rsidR="006404D2" w:rsidRDefault="00F1056D" w:rsidP="002438F4">
            <w:pPr>
              <w:jc w:val="center"/>
            </w:pPr>
            <w:r w:rsidRPr="001D7490">
              <w:t>Examination week</w:t>
            </w:r>
          </w:p>
          <w:p w14:paraId="385BF587" w14:textId="249BF9F9" w:rsidR="006404D2" w:rsidRDefault="006404D2" w:rsidP="002438F4">
            <w:pPr>
              <w:jc w:val="center"/>
            </w:pPr>
            <w:r>
              <w:t>Semester 1</w:t>
            </w:r>
          </w:p>
          <w:p w14:paraId="3AE7089F" w14:textId="77777777" w:rsidR="00F1056D" w:rsidRPr="001D7490" w:rsidRDefault="006404D2" w:rsidP="002438F4">
            <w:pPr>
              <w:jc w:val="center"/>
              <w:rPr>
                <w:lang w:val="en-AU"/>
              </w:rPr>
            </w:pPr>
            <w:r>
              <w:t>Week 16</w:t>
            </w:r>
          </w:p>
        </w:tc>
        <w:tc>
          <w:tcPr>
            <w:tcW w:w="2672" w:type="pct"/>
          </w:tcPr>
          <w:p w14:paraId="4C4287AA" w14:textId="3EC61811" w:rsidR="001207CB" w:rsidRDefault="00F1056D" w:rsidP="002438F4">
            <w:pPr>
              <w:rPr>
                <w:lang w:val="en-AU"/>
              </w:rPr>
            </w:pPr>
            <w:r w:rsidRPr="001F022F">
              <w:rPr>
                <w:b/>
                <w:bCs/>
              </w:rPr>
              <w:t xml:space="preserve">Task </w:t>
            </w:r>
            <w:r w:rsidR="00E361F8" w:rsidRPr="001F022F">
              <w:rPr>
                <w:b/>
                <w:bCs/>
              </w:rPr>
              <w:t>4</w:t>
            </w:r>
            <w:r w:rsidRPr="001F022F">
              <w:rPr>
                <w:b/>
                <w:bCs/>
              </w:rPr>
              <w:t>:</w:t>
            </w:r>
            <w:r w:rsidRPr="00B340E2">
              <w:t xml:space="preserve"> Semester 1 </w:t>
            </w:r>
            <w:r w:rsidRPr="00C25C90">
              <w:t>examination</w:t>
            </w:r>
            <w:r w:rsidR="00937B6D">
              <w:rPr>
                <w:lang w:val="en-AU"/>
              </w:rPr>
              <w:t xml:space="preserve"> </w:t>
            </w:r>
            <w:r w:rsidRPr="00C25C90">
              <w:rPr>
                <w:lang w:val="en-AU"/>
              </w:rPr>
              <w:t xml:space="preserve">– </w:t>
            </w:r>
            <w:r w:rsidR="001207CB">
              <w:rPr>
                <w:lang w:val="en-AU"/>
              </w:rPr>
              <w:t>Unit</w:t>
            </w:r>
            <w:r w:rsidR="001F5E5E">
              <w:rPr>
                <w:lang w:val="en-AU"/>
              </w:rPr>
              <w:t>s</w:t>
            </w:r>
            <w:r w:rsidR="001207CB">
              <w:rPr>
                <w:lang w:val="en-AU"/>
              </w:rPr>
              <w:t xml:space="preserve"> </w:t>
            </w:r>
            <w:r w:rsidR="00272F6B">
              <w:rPr>
                <w:lang w:val="en-AU"/>
              </w:rPr>
              <w:t>3</w:t>
            </w:r>
            <w:r w:rsidR="001F5E5E">
              <w:rPr>
                <w:lang w:val="en-AU"/>
              </w:rPr>
              <w:t xml:space="preserve"> and 4</w:t>
            </w:r>
            <w:r w:rsidR="001207CB">
              <w:rPr>
                <w:lang w:val="en-AU"/>
              </w:rPr>
              <w:t xml:space="preserve"> content</w:t>
            </w:r>
            <w:r w:rsidR="001F5E5E">
              <w:rPr>
                <w:lang w:val="en-AU"/>
              </w:rPr>
              <w:t xml:space="preserve"> covered during Semester 1</w:t>
            </w:r>
          </w:p>
          <w:p w14:paraId="729F89CF" w14:textId="77777777" w:rsidR="00BD5B66" w:rsidRDefault="00BD5B66" w:rsidP="002438F4">
            <w:pPr>
              <w:rPr>
                <w:lang w:val="en-AU"/>
              </w:rPr>
            </w:pPr>
            <w:r w:rsidRPr="00BD5B66">
              <w:rPr>
                <w:lang w:val="en-AU"/>
              </w:rPr>
              <w:t xml:space="preserve">Three hours, using the examination design brief from the syllabus  </w:t>
            </w:r>
          </w:p>
          <w:p w14:paraId="7D48F0E3" w14:textId="794B377E" w:rsidR="00BD5B66" w:rsidRDefault="00BD5B66" w:rsidP="002438F4">
            <w:pPr>
              <w:rPr>
                <w:lang w:val="en-AU"/>
              </w:rPr>
            </w:pPr>
            <w:r w:rsidRPr="00BD5B66">
              <w:rPr>
                <w:lang w:val="en-AU"/>
              </w:rPr>
              <w:t xml:space="preserve">Section One: </w:t>
            </w:r>
            <w:r>
              <w:rPr>
                <w:lang w:val="en-AU"/>
              </w:rPr>
              <w:t>15</w:t>
            </w:r>
            <w:r w:rsidRPr="00BD5B66">
              <w:rPr>
                <w:lang w:val="en-AU"/>
              </w:rPr>
              <w:t xml:space="preserve"> multiple-choice questions (</w:t>
            </w:r>
            <w:r>
              <w:rPr>
                <w:lang w:val="en-AU"/>
              </w:rPr>
              <w:t>15</w:t>
            </w:r>
            <w:r w:rsidRPr="00BD5B66">
              <w:rPr>
                <w:lang w:val="en-AU"/>
              </w:rPr>
              <w:t xml:space="preserve">%) </w:t>
            </w:r>
          </w:p>
          <w:p w14:paraId="3ED9C3C3" w14:textId="1BFE70D2" w:rsidR="00BD5B66" w:rsidRDefault="00BD5B66" w:rsidP="002438F4">
            <w:pPr>
              <w:rPr>
                <w:lang w:val="en-AU"/>
              </w:rPr>
            </w:pPr>
            <w:r w:rsidRPr="00BD5B66">
              <w:rPr>
                <w:lang w:val="en-AU"/>
              </w:rPr>
              <w:t xml:space="preserve">Section Two: </w:t>
            </w:r>
            <w:r>
              <w:rPr>
                <w:lang w:val="en-AU"/>
              </w:rPr>
              <w:t>7</w:t>
            </w:r>
            <w:r w:rsidRPr="00BD5B66">
              <w:rPr>
                <w:lang w:val="en-AU"/>
              </w:rPr>
              <w:t>–10 short-answer questions (5</w:t>
            </w:r>
            <w:r>
              <w:rPr>
                <w:lang w:val="en-AU"/>
              </w:rPr>
              <w:t>5</w:t>
            </w:r>
            <w:r w:rsidRPr="00BD5B66">
              <w:rPr>
                <w:lang w:val="en-AU"/>
              </w:rPr>
              <w:t xml:space="preserve">%) </w:t>
            </w:r>
          </w:p>
          <w:p w14:paraId="2F5B5EAC" w14:textId="465364CA" w:rsidR="00F1056D" w:rsidRPr="00B17CC5" w:rsidRDefault="00BD5B66" w:rsidP="002438F4">
            <w:pPr>
              <w:rPr>
                <w:lang w:val="en-AU"/>
              </w:rPr>
            </w:pPr>
            <w:r w:rsidRPr="00BD5B66">
              <w:rPr>
                <w:lang w:val="en-AU"/>
              </w:rPr>
              <w:t xml:space="preserve">Section Three: </w:t>
            </w:r>
            <w:r w:rsidR="00C96F79">
              <w:rPr>
                <w:lang w:val="en-AU"/>
              </w:rPr>
              <w:t>T</w:t>
            </w:r>
            <w:r w:rsidRPr="00BD5B66">
              <w:rPr>
                <w:lang w:val="en-AU"/>
              </w:rPr>
              <w:t xml:space="preserve">wo questions from a choice of </w:t>
            </w:r>
            <w:r>
              <w:rPr>
                <w:lang w:val="en-AU"/>
              </w:rPr>
              <w:t>four</w:t>
            </w:r>
            <w:r w:rsidRPr="00BD5B66">
              <w:rPr>
                <w:lang w:val="en-AU"/>
              </w:rPr>
              <w:t xml:space="preserve"> (</w:t>
            </w:r>
            <w:r>
              <w:rPr>
                <w:lang w:val="en-AU"/>
              </w:rPr>
              <w:t>3</w:t>
            </w:r>
            <w:r w:rsidRPr="00BD5B66">
              <w:rPr>
                <w:lang w:val="en-AU"/>
              </w:rPr>
              <w:t>0%)</w:t>
            </w:r>
          </w:p>
        </w:tc>
      </w:tr>
      <w:tr w:rsidR="00F1056D" w:rsidRPr="00F261F4" w14:paraId="30086BC1" w14:textId="77777777" w:rsidTr="005A7479">
        <w:trPr>
          <w:trHeight w:val="20"/>
        </w:trPr>
        <w:tc>
          <w:tcPr>
            <w:tcW w:w="624" w:type="pct"/>
            <w:vMerge/>
            <w:vAlign w:val="center"/>
          </w:tcPr>
          <w:p w14:paraId="78D631E4" w14:textId="77777777" w:rsidR="00F1056D" w:rsidRPr="00B340E2" w:rsidRDefault="00F1056D" w:rsidP="002438F4">
            <w:pPr>
              <w:jc w:val="center"/>
            </w:pPr>
          </w:p>
        </w:tc>
        <w:tc>
          <w:tcPr>
            <w:tcW w:w="539" w:type="pct"/>
            <w:vMerge/>
            <w:vAlign w:val="center"/>
          </w:tcPr>
          <w:p w14:paraId="4C44ECCA" w14:textId="77777777" w:rsidR="00F1056D" w:rsidRPr="00B340E2" w:rsidRDefault="00F1056D" w:rsidP="002438F4">
            <w:pPr>
              <w:jc w:val="center"/>
            </w:pPr>
          </w:p>
        </w:tc>
        <w:tc>
          <w:tcPr>
            <w:tcW w:w="557" w:type="pct"/>
            <w:vAlign w:val="center"/>
          </w:tcPr>
          <w:p w14:paraId="0B3CF00E" w14:textId="1F1C33E2" w:rsidR="00F1056D" w:rsidRPr="001D7490" w:rsidRDefault="007C0B19" w:rsidP="002438F4">
            <w:pPr>
              <w:jc w:val="center"/>
              <w:rPr>
                <w:bCs/>
              </w:rPr>
            </w:pPr>
            <w:r>
              <w:t>30</w:t>
            </w:r>
            <w:r w:rsidR="00F1056D" w:rsidRPr="001D7490">
              <w:t>%</w:t>
            </w:r>
          </w:p>
        </w:tc>
        <w:tc>
          <w:tcPr>
            <w:tcW w:w="609" w:type="pct"/>
            <w:vAlign w:val="center"/>
          </w:tcPr>
          <w:p w14:paraId="3BD2076D" w14:textId="0ED182D4" w:rsidR="00F1056D" w:rsidRDefault="00F1056D" w:rsidP="002438F4">
            <w:pPr>
              <w:jc w:val="center"/>
              <w:rPr>
                <w:bCs/>
              </w:rPr>
            </w:pPr>
            <w:r w:rsidRPr="001D7490">
              <w:t>Examination week</w:t>
            </w:r>
          </w:p>
          <w:p w14:paraId="0373BF3C" w14:textId="1694A96E" w:rsidR="006404D2" w:rsidRDefault="006404D2" w:rsidP="002438F4">
            <w:pPr>
              <w:jc w:val="center"/>
            </w:pPr>
            <w:r>
              <w:t>Semester 2</w:t>
            </w:r>
          </w:p>
          <w:p w14:paraId="0A7C2416" w14:textId="4848D861" w:rsidR="006404D2" w:rsidRPr="001D7490" w:rsidRDefault="006404D2" w:rsidP="002438F4">
            <w:pPr>
              <w:jc w:val="center"/>
              <w:rPr>
                <w:bCs/>
              </w:rPr>
            </w:pPr>
            <w:r>
              <w:t xml:space="preserve">Week </w:t>
            </w:r>
            <w:r w:rsidR="00A87DF2">
              <w:t>14</w:t>
            </w:r>
          </w:p>
        </w:tc>
        <w:tc>
          <w:tcPr>
            <w:tcW w:w="2672" w:type="pct"/>
          </w:tcPr>
          <w:p w14:paraId="578117D0" w14:textId="713A0D3E" w:rsidR="001207CB" w:rsidRPr="00BD5B66" w:rsidRDefault="00F1056D" w:rsidP="002438F4">
            <w:pPr>
              <w:rPr>
                <w:bCs/>
                <w:lang w:val="en-AU"/>
              </w:rPr>
            </w:pPr>
            <w:r w:rsidRPr="001F022F">
              <w:rPr>
                <w:b/>
                <w:bCs/>
              </w:rPr>
              <w:t xml:space="preserve">Task </w:t>
            </w:r>
            <w:r w:rsidR="00F06F78" w:rsidRPr="001F022F">
              <w:rPr>
                <w:b/>
                <w:bCs/>
              </w:rPr>
              <w:t>8</w:t>
            </w:r>
            <w:r w:rsidRPr="001F022F">
              <w:rPr>
                <w:b/>
                <w:bCs/>
              </w:rPr>
              <w:t>:</w:t>
            </w:r>
            <w:r w:rsidRPr="00BD5B66">
              <w:t xml:space="preserve"> Semester 2 examination – </w:t>
            </w:r>
            <w:r w:rsidRPr="00BD5B66">
              <w:rPr>
                <w:lang w:val="en-AU"/>
              </w:rPr>
              <w:t xml:space="preserve">Units </w:t>
            </w:r>
            <w:r w:rsidR="007C0B19" w:rsidRPr="00BD5B66">
              <w:rPr>
                <w:lang w:val="en-AU"/>
              </w:rPr>
              <w:t>3</w:t>
            </w:r>
            <w:r w:rsidRPr="00BD5B66">
              <w:rPr>
                <w:lang w:val="en-AU"/>
              </w:rPr>
              <w:t xml:space="preserve"> and </w:t>
            </w:r>
            <w:r w:rsidR="007C0B19" w:rsidRPr="00BD5B66">
              <w:rPr>
                <w:lang w:val="en-AU"/>
              </w:rPr>
              <w:t>4</w:t>
            </w:r>
            <w:r w:rsidRPr="00BD5B66">
              <w:rPr>
                <w:lang w:val="en-AU"/>
              </w:rPr>
              <w:t xml:space="preserve"> content with approximately </w:t>
            </w:r>
            <w:r w:rsidR="007C0B19" w:rsidRPr="00BD5B66">
              <w:rPr>
                <w:lang w:val="en-AU"/>
              </w:rPr>
              <w:t>50</w:t>
            </w:r>
            <w:r w:rsidRPr="00BD5B66">
              <w:rPr>
                <w:lang w:val="en-AU"/>
              </w:rPr>
              <w:t xml:space="preserve">% Unit </w:t>
            </w:r>
            <w:r w:rsidR="007C0B19" w:rsidRPr="00BD5B66">
              <w:rPr>
                <w:lang w:val="en-AU"/>
              </w:rPr>
              <w:t>3</w:t>
            </w:r>
            <w:r w:rsidRPr="00BD5B66">
              <w:rPr>
                <w:lang w:val="en-AU"/>
              </w:rPr>
              <w:t xml:space="preserve"> and </w:t>
            </w:r>
            <w:r w:rsidR="007C0B19" w:rsidRPr="00BD5B66">
              <w:rPr>
                <w:lang w:val="en-AU"/>
              </w:rPr>
              <w:t>50</w:t>
            </w:r>
            <w:r w:rsidRPr="00BD5B66">
              <w:rPr>
                <w:lang w:val="en-AU"/>
              </w:rPr>
              <w:t xml:space="preserve">% Unit </w:t>
            </w:r>
            <w:r w:rsidR="007C0B19" w:rsidRPr="00BD5B66">
              <w:rPr>
                <w:lang w:val="en-AU"/>
              </w:rPr>
              <w:t>4</w:t>
            </w:r>
          </w:p>
          <w:p w14:paraId="775B3ADB" w14:textId="77777777" w:rsidR="00BD5B66" w:rsidRPr="00BD5B66" w:rsidRDefault="00BD5B66" w:rsidP="002438F4">
            <w:pPr>
              <w:rPr>
                <w:lang w:val="en-AU"/>
              </w:rPr>
            </w:pPr>
            <w:r w:rsidRPr="00BD5B66">
              <w:rPr>
                <w:lang w:val="en-AU"/>
              </w:rPr>
              <w:t xml:space="preserve">Three hours, using the examination design brief from the syllabus  </w:t>
            </w:r>
          </w:p>
          <w:p w14:paraId="01EDE497" w14:textId="77777777" w:rsidR="00BD5B66" w:rsidRPr="00BD5B66" w:rsidRDefault="00BD5B66" w:rsidP="002438F4">
            <w:pPr>
              <w:rPr>
                <w:lang w:val="en-AU"/>
              </w:rPr>
            </w:pPr>
            <w:r w:rsidRPr="00BD5B66">
              <w:rPr>
                <w:lang w:val="en-AU"/>
              </w:rPr>
              <w:t xml:space="preserve">Section One: 15 multiple-choice questions (15%) </w:t>
            </w:r>
          </w:p>
          <w:p w14:paraId="1E67203E" w14:textId="77777777" w:rsidR="00BD5B66" w:rsidRPr="00BD5B66" w:rsidRDefault="00BD5B66" w:rsidP="002438F4">
            <w:pPr>
              <w:rPr>
                <w:lang w:val="en-AU"/>
              </w:rPr>
            </w:pPr>
            <w:r w:rsidRPr="00BD5B66">
              <w:rPr>
                <w:lang w:val="en-AU"/>
              </w:rPr>
              <w:t xml:space="preserve">Section Two: 7–10 short-answer questions (55%) </w:t>
            </w:r>
          </w:p>
          <w:p w14:paraId="0E7B6CC5" w14:textId="6486BCC8" w:rsidR="00F1056D" w:rsidRPr="00BD5B66" w:rsidRDefault="00BD5B66" w:rsidP="002438F4">
            <w:pPr>
              <w:rPr>
                <w:bCs/>
                <w:lang w:val="en-AU"/>
              </w:rPr>
            </w:pPr>
            <w:r w:rsidRPr="00BD5B66">
              <w:rPr>
                <w:lang w:val="en-AU"/>
              </w:rPr>
              <w:t xml:space="preserve">Section Three: </w:t>
            </w:r>
            <w:r w:rsidR="00C96F79">
              <w:rPr>
                <w:lang w:val="en-AU"/>
              </w:rPr>
              <w:t>T</w:t>
            </w:r>
            <w:r w:rsidRPr="00BD5B66">
              <w:rPr>
                <w:lang w:val="en-AU"/>
              </w:rPr>
              <w:t>wo questions from a choice of four (30%)</w:t>
            </w:r>
          </w:p>
        </w:tc>
      </w:tr>
      <w:tr w:rsidR="001F022F" w:rsidRPr="001F022F" w14:paraId="3069532B" w14:textId="77777777" w:rsidTr="005A7479">
        <w:trPr>
          <w:trHeight w:val="20"/>
        </w:trPr>
        <w:tc>
          <w:tcPr>
            <w:tcW w:w="624" w:type="pct"/>
            <w:shd w:val="clear" w:color="auto" w:fill="E4D8EB"/>
            <w:vAlign w:val="center"/>
          </w:tcPr>
          <w:p w14:paraId="4E1A88B4" w14:textId="77777777" w:rsidR="00F1056D" w:rsidRPr="001F022F" w:rsidRDefault="00F1056D" w:rsidP="002438F4">
            <w:pPr>
              <w:jc w:val="center"/>
              <w:rPr>
                <w:b/>
                <w:bCs/>
              </w:rPr>
            </w:pPr>
            <w:r w:rsidRPr="001F022F">
              <w:rPr>
                <w:b/>
                <w:bCs/>
              </w:rPr>
              <w:t>Total</w:t>
            </w:r>
          </w:p>
        </w:tc>
        <w:tc>
          <w:tcPr>
            <w:tcW w:w="539" w:type="pct"/>
            <w:shd w:val="clear" w:color="auto" w:fill="E4D8EB"/>
            <w:vAlign w:val="center"/>
          </w:tcPr>
          <w:p w14:paraId="6AFB4711" w14:textId="77777777" w:rsidR="00F1056D" w:rsidRPr="001F022F" w:rsidRDefault="00F1056D" w:rsidP="002438F4">
            <w:pPr>
              <w:jc w:val="center"/>
              <w:rPr>
                <w:b/>
                <w:bCs/>
              </w:rPr>
            </w:pPr>
            <w:r w:rsidRPr="001F022F">
              <w:rPr>
                <w:b/>
                <w:bCs/>
              </w:rPr>
              <w:t>100%</w:t>
            </w:r>
          </w:p>
        </w:tc>
        <w:tc>
          <w:tcPr>
            <w:tcW w:w="557" w:type="pct"/>
            <w:shd w:val="clear" w:color="auto" w:fill="E4D8EB"/>
            <w:vAlign w:val="center"/>
          </w:tcPr>
          <w:p w14:paraId="44E243AC" w14:textId="77777777" w:rsidR="00F1056D" w:rsidRPr="001F022F" w:rsidRDefault="00F1056D" w:rsidP="002438F4">
            <w:pPr>
              <w:jc w:val="center"/>
              <w:rPr>
                <w:b/>
                <w:bCs/>
              </w:rPr>
            </w:pPr>
            <w:r w:rsidRPr="001F022F">
              <w:rPr>
                <w:b/>
                <w:bCs/>
              </w:rPr>
              <w:t>100%</w:t>
            </w:r>
          </w:p>
        </w:tc>
        <w:tc>
          <w:tcPr>
            <w:tcW w:w="609" w:type="pct"/>
            <w:shd w:val="clear" w:color="auto" w:fill="E4D8EB"/>
            <w:vAlign w:val="center"/>
          </w:tcPr>
          <w:p w14:paraId="374AF7EC" w14:textId="77777777" w:rsidR="00F1056D" w:rsidRPr="001F022F" w:rsidRDefault="00F1056D" w:rsidP="002438F4">
            <w:pPr>
              <w:jc w:val="center"/>
              <w:rPr>
                <w:b/>
                <w:bCs/>
              </w:rPr>
            </w:pPr>
          </w:p>
        </w:tc>
        <w:tc>
          <w:tcPr>
            <w:tcW w:w="2672" w:type="pct"/>
            <w:shd w:val="clear" w:color="auto" w:fill="E4D8EB"/>
          </w:tcPr>
          <w:p w14:paraId="5215FBCA" w14:textId="77777777" w:rsidR="00F1056D" w:rsidRPr="001F022F" w:rsidRDefault="00F1056D" w:rsidP="002438F4">
            <w:pPr>
              <w:rPr>
                <w:b/>
                <w:bCs/>
              </w:rPr>
            </w:pPr>
          </w:p>
        </w:tc>
      </w:tr>
    </w:tbl>
    <w:p w14:paraId="53A869D8" w14:textId="77777777" w:rsidR="00F1056D" w:rsidRPr="00F1056D" w:rsidRDefault="00F1056D" w:rsidP="00F1056D">
      <w:pPr>
        <w:rPr>
          <w:lang w:val="en-GB" w:eastAsia="ja-JP"/>
        </w:rPr>
      </w:pPr>
    </w:p>
    <w:sectPr w:rsidR="00F1056D" w:rsidRPr="00F1056D" w:rsidSect="001255F5">
      <w:headerReference w:type="even" r:id="rId16"/>
      <w:headerReference w:type="default" r:id="rId17"/>
      <w:footerReference w:type="even" r:id="rId18"/>
      <w:footerReference w:type="default" r:id="rId19"/>
      <w:pgSz w:w="16838" w:h="11906" w:orient="landscape"/>
      <w:pgMar w:top="1276"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0EE2DD" w14:textId="77777777" w:rsidR="001255F5" w:rsidRDefault="001255F5" w:rsidP="00E35001">
      <w:r>
        <w:separator/>
      </w:r>
    </w:p>
  </w:endnote>
  <w:endnote w:type="continuationSeparator" w:id="0">
    <w:p w14:paraId="23CB2212" w14:textId="77777777" w:rsidR="001255F5" w:rsidRDefault="001255F5"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aavi">
    <w:panose1 w:val="02000500000000000000"/>
    <w:charset w:val="00"/>
    <w:family w:val="swiss"/>
    <w:pitch w:val="variable"/>
    <w:sig w:usb0="0002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6363E" w14:textId="4F6EDB8C" w:rsidR="00B340E2" w:rsidRPr="00FE27F6" w:rsidRDefault="00B5541A" w:rsidP="00562644">
    <w:pPr>
      <w:pStyle w:val="Footereven"/>
    </w:pPr>
    <w:r>
      <w:t>2024/</w:t>
    </w:r>
    <w:r w:rsidRPr="00B5541A">
      <w:t>19600</w:t>
    </w:r>
    <w:r w:rsidR="00562644">
      <w:t>[v</w:t>
    </w:r>
    <w:r w:rsidR="003D5CD3">
      <w:t>3</w:t>
    </w:r>
    <w:r w:rsidR="00562644">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30043" w14:textId="77777777" w:rsidR="00B340E2" w:rsidRPr="00DE34C4" w:rsidRDefault="00B340E2"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14569v2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C9126" w14:textId="7657156F" w:rsidR="006A7849" w:rsidRPr="006A7849" w:rsidRDefault="006A7849" w:rsidP="001F022F">
    <w:pPr>
      <w:pStyle w:val="Footereven"/>
    </w:pPr>
    <w:r>
      <w:t xml:space="preserve">Sample assessment outline </w:t>
    </w:r>
    <w:r w:rsidRPr="00D41604">
      <w:t xml:space="preserve">| </w:t>
    </w:r>
    <w:r w:rsidR="007E20B6" w:rsidRPr="007E20B6">
      <w:t xml:space="preserve">Agricultural Science and Technology </w:t>
    </w:r>
    <w:r w:rsidRPr="00D41604">
      <w:t xml:space="preserve">| </w:t>
    </w:r>
    <w:r>
      <w:t xml:space="preserve">ATAR Year </w:t>
    </w:r>
    <w:r w:rsidR="00011D4F">
      <w:t>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0B406" w14:textId="2C1C3FFB" w:rsidR="004A6FEE" w:rsidRPr="006A7849" w:rsidRDefault="004534EE" w:rsidP="001F022F">
    <w:pPr>
      <w:pStyle w:val="Footerodd"/>
    </w:pPr>
    <w:r>
      <w:tab/>
    </w:r>
    <w:r w:rsidR="006A7849">
      <w:t xml:space="preserve">Sample assessment outline </w:t>
    </w:r>
    <w:r w:rsidR="006A7849" w:rsidRPr="00D41604">
      <w:t xml:space="preserve">| </w:t>
    </w:r>
    <w:r w:rsidR="007E20B6" w:rsidRPr="007E20B6">
      <w:t xml:space="preserve">Agricultural Science and Technology </w:t>
    </w:r>
    <w:r w:rsidR="006A7849" w:rsidRPr="00D41604">
      <w:t xml:space="preserve">| </w:t>
    </w:r>
    <w:r w:rsidR="006A7849">
      <w:t xml:space="preserve">ATAR Year </w:t>
    </w:r>
    <w:r w:rsidR="00EB1D0E">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EF045E" w14:textId="77777777" w:rsidR="001255F5" w:rsidRDefault="001255F5" w:rsidP="00E35001">
      <w:r>
        <w:separator/>
      </w:r>
    </w:p>
  </w:footnote>
  <w:footnote w:type="continuationSeparator" w:id="0">
    <w:p w14:paraId="01EE7FC7" w14:textId="77777777" w:rsidR="001255F5" w:rsidRDefault="001255F5"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EAB1A" w14:textId="2DBD6BCE" w:rsidR="00B340E2" w:rsidRDefault="007C7AE2" w:rsidP="005A7479">
    <w:pPr>
      <w:pStyle w:val="Header"/>
      <w:ind w:left="-567"/>
    </w:pPr>
    <w:r>
      <w:rPr>
        <w:noProof/>
        <w:lang w:val="en-AU"/>
      </w:rPr>
      <w:drawing>
        <wp:inline distT="0" distB="0" distL="0" distR="0" wp14:anchorId="257B8832" wp14:editId="6234E04C">
          <wp:extent cx="4529130" cy="702000"/>
          <wp:effectExtent l="0" t="0" r="5080" b="3175"/>
          <wp:docPr id="1" name="Picture 1" descr="School Curriculum and Standards Authority header with the Western Australian State Government badge and agency logo. &#10;The badge and agency logo are combination marks consisting of a word mark and a pictorial mark in purp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 Curriculum and Standards Authority header with the Western Australian State Government badge and agency logo. &#10;The badge and agency logo are combination marks consisting of a word mark and a pictorial mark in purple.&#10;"/>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AFCC2" w14:textId="1BAA3592" w:rsidR="00475903" w:rsidRPr="002438F4" w:rsidRDefault="00475903" w:rsidP="002438F4">
    <w:pPr>
      <w:pStyle w:val="Headereven"/>
    </w:pPr>
    <w:r w:rsidRPr="001B3981">
      <w:rPr>
        <w:noProof w:val="0"/>
      </w:rPr>
      <w:fldChar w:fldCharType="begin"/>
    </w:r>
    <w:r w:rsidRPr="001B3981">
      <w:instrText xml:space="preserve"> PAGE   \* MERGEFORMAT </w:instrText>
    </w:r>
    <w:r w:rsidRPr="001B3981">
      <w:rPr>
        <w:noProof w:val="0"/>
      </w:rPr>
      <w:fldChar w:fldCharType="separate"/>
    </w:r>
    <w:r w:rsidR="000F34A1">
      <w:t>2</w:t>
    </w:r>
    <w:r w:rsidRPr="001B398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CE104" w14:textId="25AC7D57" w:rsidR="00475903" w:rsidRPr="001B3981" w:rsidRDefault="00475903" w:rsidP="00562644">
    <w:pPr>
      <w:pStyle w:val="Headerodd"/>
    </w:pPr>
    <w:r w:rsidRPr="001B3981">
      <w:fldChar w:fldCharType="begin"/>
    </w:r>
    <w:r w:rsidRPr="001B3981">
      <w:instrText xml:space="preserve"> PAGE   \* MERGEFORMAT </w:instrText>
    </w:r>
    <w:r w:rsidRPr="001B3981">
      <w:fldChar w:fldCharType="separate"/>
    </w:r>
    <w:r w:rsidR="000F34A1">
      <w:rPr>
        <w:noProof/>
      </w:rPr>
      <w:t>1</w:t>
    </w:r>
    <w:r w:rsidRPr="001B398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6734870">
    <w:abstractNumId w:val="3"/>
  </w:num>
  <w:num w:numId="2" w16cid:durableId="17775401">
    <w:abstractNumId w:val="0"/>
  </w:num>
  <w:num w:numId="3" w16cid:durableId="894466820">
    <w:abstractNumId w:val="1"/>
  </w:num>
  <w:num w:numId="4" w16cid:durableId="1714235902">
    <w:abstractNumId w:val="4"/>
  </w:num>
  <w:num w:numId="5" w16cid:durableId="344090999">
    <w:abstractNumId w:val="2"/>
  </w:num>
  <w:num w:numId="6" w16cid:durableId="19860286">
    <w:abstractNumId w:val="3"/>
  </w:num>
  <w:num w:numId="7" w16cid:durableId="342586777">
    <w:abstractNumId w:val="3"/>
  </w:num>
  <w:num w:numId="8" w16cid:durableId="2083719345">
    <w:abstractNumId w:val="3"/>
  </w:num>
  <w:num w:numId="9" w16cid:durableId="1846047614">
    <w:abstractNumId w:val="3"/>
  </w:num>
  <w:num w:numId="10" w16cid:durableId="1299802542">
    <w:abstractNumId w:val="3"/>
  </w:num>
  <w:num w:numId="11" w16cid:durableId="74011402">
    <w:abstractNumId w:val="3"/>
  </w:num>
  <w:num w:numId="12" w16cid:durableId="1766151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11D4F"/>
    <w:rsid w:val="000172FA"/>
    <w:rsid w:val="00034429"/>
    <w:rsid w:val="0004353D"/>
    <w:rsid w:val="00051BEB"/>
    <w:rsid w:val="0005684A"/>
    <w:rsid w:val="000611F8"/>
    <w:rsid w:val="00061D16"/>
    <w:rsid w:val="000650A4"/>
    <w:rsid w:val="000728F6"/>
    <w:rsid w:val="000775F5"/>
    <w:rsid w:val="00081E4D"/>
    <w:rsid w:val="000B23A7"/>
    <w:rsid w:val="000F34A1"/>
    <w:rsid w:val="000F38CD"/>
    <w:rsid w:val="00104861"/>
    <w:rsid w:val="00114068"/>
    <w:rsid w:val="001207CB"/>
    <w:rsid w:val="001255F5"/>
    <w:rsid w:val="00130978"/>
    <w:rsid w:val="0014346A"/>
    <w:rsid w:val="00152596"/>
    <w:rsid w:val="00156B2A"/>
    <w:rsid w:val="001663C1"/>
    <w:rsid w:val="00167474"/>
    <w:rsid w:val="001766FB"/>
    <w:rsid w:val="00181E7A"/>
    <w:rsid w:val="001943A3"/>
    <w:rsid w:val="001A1290"/>
    <w:rsid w:val="001D2684"/>
    <w:rsid w:val="001D7490"/>
    <w:rsid w:val="001F022F"/>
    <w:rsid w:val="001F5E5E"/>
    <w:rsid w:val="00204DE5"/>
    <w:rsid w:val="0022765F"/>
    <w:rsid w:val="0024173B"/>
    <w:rsid w:val="002438F4"/>
    <w:rsid w:val="00272F6B"/>
    <w:rsid w:val="002A2CCD"/>
    <w:rsid w:val="002B60BD"/>
    <w:rsid w:val="002C1565"/>
    <w:rsid w:val="002F03DD"/>
    <w:rsid w:val="002F25B3"/>
    <w:rsid w:val="002F447D"/>
    <w:rsid w:val="00307024"/>
    <w:rsid w:val="00313837"/>
    <w:rsid w:val="00320B0A"/>
    <w:rsid w:val="00326C0B"/>
    <w:rsid w:val="00327251"/>
    <w:rsid w:val="00361B00"/>
    <w:rsid w:val="00386DA9"/>
    <w:rsid w:val="0039118A"/>
    <w:rsid w:val="003929F8"/>
    <w:rsid w:val="0039477F"/>
    <w:rsid w:val="003B51D7"/>
    <w:rsid w:val="003B6CC2"/>
    <w:rsid w:val="003C2E8B"/>
    <w:rsid w:val="003D0408"/>
    <w:rsid w:val="003D5CD3"/>
    <w:rsid w:val="003D60C7"/>
    <w:rsid w:val="00407294"/>
    <w:rsid w:val="00421F62"/>
    <w:rsid w:val="004534EE"/>
    <w:rsid w:val="00455F72"/>
    <w:rsid w:val="00462A8C"/>
    <w:rsid w:val="004736E2"/>
    <w:rsid w:val="00475903"/>
    <w:rsid w:val="00476A00"/>
    <w:rsid w:val="00486F9B"/>
    <w:rsid w:val="00495BCD"/>
    <w:rsid w:val="004A6FEE"/>
    <w:rsid w:val="004D1309"/>
    <w:rsid w:val="004E05F3"/>
    <w:rsid w:val="00524D5D"/>
    <w:rsid w:val="0053061B"/>
    <w:rsid w:val="00533331"/>
    <w:rsid w:val="00536D64"/>
    <w:rsid w:val="00550FFC"/>
    <w:rsid w:val="00555E7E"/>
    <w:rsid w:val="00561687"/>
    <w:rsid w:val="00561AFD"/>
    <w:rsid w:val="00562644"/>
    <w:rsid w:val="00571385"/>
    <w:rsid w:val="00577A5C"/>
    <w:rsid w:val="00580ED9"/>
    <w:rsid w:val="005814B4"/>
    <w:rsid w:val="00584BB6"/>
    <w:rsid w:val="005A7479"/>
    <w:rsid w:val="005B4B65"/>
    <w:rsid w:val="005C0D43"/>
    <w:rsid w:val="005C2F80"/>
    <w:rsid w:val="005C5257"/>
    <w:rsid w:val="005D0B41"/>
    <w:rsid w:val="005D5550"/>
    <w:rsid w:val="00621AA6"/>
    <w:rsid w:val="00622001"/>
    <w:rsid w:val="00625A31"/>
    <w:rsid w:val="006404D2"/>
    <w:rsid w:val="006427F3"/>
    <w:rsid w:val="0064335F"/>
    <w:rsid w:val="00650E88"/>
    <w:rsid w:val="00660974"/>
    <w:rsid w:val="00661883"/>
    <w:rsid w:val="00663FA5"/>
    <w:rsid w:val="00673CD7"/>
    <w:rsid w:val="00675226"/>
    <w:rsid w:val="00683119"/>
    <w:rsid w:val="00686866"/>
    <w:rsid w:val="00691E41"/>
    <w:rsid w:val="006A7849"/>
    <w:rsid w:val="006B4F3A"/>
    <w:rsid w:val="006B73E3"/>
    <w:rsid w:val="006D760B"/>
    <w:rsid w:val="006F128C"/>
    <w:rsid w:val="006F4B19"/>
    <w:rsid w:val="007102F3"/>
    <w:rsid w:val="007120AC"/>
    <w:rsid w:val="0071469E"/>
    <w:rsid w:val="00732B96"/>
    <w:rsid w:val="00761EAD"/>
    <w:rsid w:val="00763675"/>
    <w:rsid w:val="00770254"/>
    <w:rsid w:val="007769D9"/>
    <w:rsid w:val="00784436"/>
    <w:rsid w:val="00793601"/>
    <w:rsid w:val="007C0B19"/>
    <w:rsid w:val="007C3AA3"/>
    <w:rsid w:val="007C6C31"/>
    <w:rsid w:val="007C7AE2"/>
    <w:rsid w:val="007E20B6"/>
    <w:rsid w:val="008048BF"/>
    <w:rsid w:val="008054E2"/>
    <w:rsid w:val="00812278"/>
    <w:rsid w:val="00833672"/>
    <w:rsid w:val="008418D7"/>
    <w:rsid w:val="00856AC2"/>
    <w:rsid w:val="00865DF4"/>
    <w:rsid w:val="00865F43"/>
    <w:rsid w:val="00886B2A"/>
    <w:rsid w:val="00890FBC"/>
    <w:rsid w:val="00891927"/>
    <w:rsid w:val="008A2E95"/>
    <w:rsid w:val="008A4B8D"/>
    <w:rsid w:val="008B2638"/>
    <w:rsid w:val="008B35EB"/>
    <w:rsid w:val="008B7595"/>
    <w:rsid w:val="008D5F7B"/>
    <w:rsid w:val="008D65B6"/>
    <w:rsid w:val="008E3A7B"/>
    <w:rsid w:val="008E69E0"/>
    <w:rsid w:val="008F11AF"/>
    <w:rsid w:val="008F32D6"/>
    <w:rsid w:val="00903642"/>
    <w:rsid w:val="00903A20"/>
    <w:rsid w:val="009218E2"/>
    <w:rsid w:val="009236CB"/>
    <w:rsid w:val="00924E63"/>
    <w:rsid w:val="00927D0B"/>
    <w:rsid w:val="00937B6D"/>
    <w:rsid w:val="0094203D"/>
    <w:rsid w:val="009458BA"/>
    <w:rsid w:val="009512F4"/>
    <w:rsid w:val="00964443"/>
    <w:rsid w:val="0096727F"/>
    <w:rsid w:val="0098595B"/>
    <w:rsid w:val="00986D80"/>
    <w:rsid w:val="009A373D"/>
    <w:rsid w:val="009A7BCA"/>
    <w:rsid w:val="009B0229"/>
    <w:rsid w:val="009C0BC9"/>
    <w:rsid w:val="009C7C5F"/>
    <w:rsid w:val="009D4EE3"/>
    <w:rsid w:val="009D601F"/>
    <w:rsid w:val="009D670E"/>
    <w:rsid w:val="009E25FC"/>
    <w:rsid w:val="009E43B3"/>
    <w:rsid w:val="00A05921"/>
    <w:rsid w:val="00A44EC6"/>
    <w:rsid w:val="00A72C6D"/>
    <w:rsid w:val="00A75CE9"/>
    <w:rsid w:val="00A87DF2"/>
    <w:rsid w:val="00AA387A"/>
    <w:rsid w:val="00AF12BE"/>
    <w:rsid w:val="00B022C3"/>
    <w:rsid w:val="00B0334B"/>
    <w:rsid w:val="00B10308"/>
    <w:rsid w:val="00B16703"/>
    <w:rsid w:val="00B17CC5"/>
    <w:rsid w:val="00B209C5"/>
    <w:rsid w:val="00B225B3"/>
    <w:rsid w:val="00B22D91"/>
    <w:rsid w:val="00B303E2"/>
    <w:rsid w:val="00B329C8"/>
    <w:rsid w:val="00B340E2"/>
    <w:rsid w:val="00B35CBA"/>
    <w:rsid w:val="00B36877"/>
    <w:rsid w:val="00B4184F"/>
    <w:rsid w:val="00B43209"/>
    <w:rsid w:val="00B54727"/>
    <w:rsid w:val="00B5541A"/>
    <w:rsid w:val="00B64147"/>
    <w:rsid w:val="00B643C6"/>
    <w:rsid w:val="00B7750C"/>
    <w:rsid w:val="00B952E6"/>
    <w:rsid w:val="00BA7D03"/>
    <w:rsid w:val="00BB0BC2"/>
    <w:rsid w:val="00BB44BD"/>
    <w:rsid w:val="00BC0539"/>
    <w:rsid w:val="00BC29F2"/>
    <w:rsid w:val="00BD5B66"/>
    <w:rsid w:val="00BE60E0"/>
    <w:rsid w:val="00BF5EB6"/>
    <w:rsid w:val="00C1058F"/>
    <w:rsid w:val="00C25C90"/>
    <w:rsid w:val="00C33853"/>
    <w:rsid w:val="00C76964"/>
    <w:rsid w:val="00C87C4D"/>
    <w:rsid w:val="00C96F79"/>
    <w:rsid w:val="00CC4FCE"/>
    <w:rsid w:val="00CE37E1"/>
    <w:rsid w:val="00CF2B72"/>
    <w:rsid w:val="00CF3C87"/>
    <w:rsid w:val="00D046DE"/>
    <w:rsid w:val="00D21513"/>
    <w:rsid w:val="00D21D6A"/>
    <w:rsid w:val="00D24F17"/>
    <w:rsid w:val="00D32C88"/>
    <w:rsid w:val="00D4672A"/>
    <w:rsid w:val="00D6415A"/>
    <w:rsid w:val="00D75D26"/>
    <w:rsid w:val="00D90813"/>
    <w:rsid w:val="00D92D2A"/>
    <w:rsid w:val="00DA7069"/>
    <w:rsid w:val="00DB49AA"/>
    <w:rsid w:val="00DC0357"/>
    <w:rsid w:val="00DC04C7"/>
    <w:rsid w:val="00DD0265"/>
    <w:rsid w:val="00DF14DF"/>
    <w:rsid w:val="00E10C50"/>
    <w:rsid w:val="00E13EDC"/>
    <w:rsid w:val="00E209DE"/>
    <w:rsid w:val="00E22D84"/>
    <w:rsid w:val="00E33CA3"/>
    <w:rsid w:val="00E35001"/>
    <w:rsid w:val="00E361F8"/>
    <w:rsid w:val="00E43DD6"/>
    <w:rsid w:val="00E544DC"/>
    <w:rsid w:val="00E6073D"/>
    <w:rsid w:val="00E60D35"/>
    <w:rsid w:val="00E62043"/>
    <w:rsid w:val="00E63C3E"/>
    <w:rsid w:val="00E73DB0"/>
    <w:rsid w:val="00E86553"/>
    <w:rsid w:val="00E949CB"/>
    <w:rsid w:val="00EB1D0E"/>
    <w:rsid w:val="00EC70AE"/>
    <w:rsid w:val="00ED0F65"/>
    <w:rsid w:val="00ED2F34"/>
    <w:rsid w:val="00ED4901"/>
    <w:rsid w:val="00F02596"/>
    <w:rsid w:val="00F06F78"/>
    <w:rsid w:val="00F1056D"/>
    <w:rsid w:val="00F23294"/>
    <w:rsid w:val="00F261F4"/>
    <w:rsid w:val="00F51E4B"/>
    <w:rsid w:val="00F527BB"/>
    <w:rsid w:val="00F5710D"/>
    <w:rsid w:val="00F6548D"/>
    <w:rsid w:val="00F6622C"/>
    <w:rsid w:val="00F705C0"/>
    <w:rsid w:val="00F70ABE"/>
    <w:rsid w:val="00F86520"/>
    <w:rsid w:val="00F86930"/>
    <w:rsid w:val="00FF3D30"/>
  </w:rsids>
  <m:mathPr>
    <m:mathFont m:val="Cambria Math"/>
    <m:brkBin m:val="before"/>
    <m:brkBinSub m:val="--"/>
    <m:smallFrac m:val="0"/>
    <m:dispDef/>
    <m:lMargin m:val="0"/>
    <m:rMargin m:val="0"/>
    <m:defJc m:val="centerGroup"/>
    <m:wrapIndent m:val="1440"/>
    <m:intLim m:val="subSup"/>
    <m:naryLim m:val="undOvr"/>
  </m:mathPr>
  <w:themeFontLang w:val="en-AU"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551A5"/>
  <w15:docId w15:val="{4D4BF80D-FF2A-4F4B-990E-C911E0B7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zh-CN"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479"/>
    <w:rPr>
      <w:rFonts w:eastAsia="Times New Roman" w:cs="Times New Roman"/>
      <w:lang w:val="it-IT" w:eastAsia="en-AU"/>
    </w:rPr>
  </w:style>
  <w:style w:type="paragraph" w:styleId="Heading1">
    <w:name w:val="heading 1"/>
    <w:basedOn w:val="Normal"/>
    <w:next w:val="Normal"/>
    <w:link w:val="Heading1Char"/>
    <w:uiPriority w:val="9"/>
    <w:qFormat/>
    <w:rsid w:val="00B340E2"/>
    <w:pPr>
      <w:spacing w:after="80"/>
      <w:ind w:left="-284" w:right="-33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340E2"/>
    <w:pPr>
      <w:spacing w:before="80" w:after="80"/>
      <w:ind w:left="-284" w:right="-33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2Char">
    <w:name w:val="Heading 2 Char"/>
    <w:basedOn w:val="DefaultParagraphFont"/>
    <w:link w:val="Heading2"/>
    <w:uiPriority w:val="9"/>
    <w:rsid w:val="00B340E2"/>
    <w:rPr>
      <w:rFonts w:ascii="Franklin Gothic Book" w:eastAsia="MS Mincho" w:hAnsi="Franklin Gothic Book" w:cs="Calibri"/>
      <w:color w:val="342568"/>
      <w:sz w:val="24"/>
      <w:szCs w:val="24"/>
      <w:lang w:val="en-GB" w:eastAsia="ja-JP"/>
    </w:rPr>
  </w:style>
  <w:style w:type="character" w:customStyle="1" w:styleId="Heading1Char">
    <w:name w:val="Heading 1 Char"/>
    <w:basedOn w:val="DefaultParagraphFont"/>
    <w:link w:val="Heading1"/>
    <w:uiPriority w:val="9"/>
    <w:rsid w:val="00B340E2"/>
    <w:rPr>
      <w:rFonts w:ascii="Franklin Gothic Book" w:eastAsia="MS Mincho" w:hAnsi="Franklin Gothic Book" w:cs="Calibri"/>
      <w:color w:val="342568"/>
      <w:sz w:val="28"/>
      <w:szCs w:val="28"/>
      <w:lang w:val="en-GB" w:eastAsia="ja-JP"/>
    </w:rPr>
  </w:style>
  <w:style w:type="paragraph" w:styleId="Revision">
    <w:name w:val="Revision"/>
    <w:hidden/>
    <w:uiPriority w:val="99"/>
    <w:semiHidden/>
    <w:rsid w:val="00663FA5"/>
    <w:pPr>
      <w:spacing w:after="0" w:line="240" w:lineRule="auto"/>
    </w:pPr>
    <w:rPr>
      <w:rFonts w:ascii="Arial" w:eastAsia="Times New Roman" w:hAnsi="Arial" w:cs="Times New Roman"/>
      <w:lang w:val="it-IT" w:eastAsia="en-AU"/>
    </w:rPr>
  </w:style>
  <w:style w:type="character" w:styleId="CommentReference">
    <w:name w:val="annotation reference"/>
    <w:basedOn w:val="DefaultParagraphFont"/>
    <w:uiPriority w:val="99"/>
    <w:semiHidden/>
    <w:unhideWhenUsed/>
    <w:rsid w:val="005C2F80"/>
    <w:rPr>
      <w:sz w:val="16"/>
      <w:szCs w:val="16"/>
    </w:rPr>
  </w:style>
  <w:style w:type="paragraph" w:styleId="CommentText">
    <w:name w:val="annotation text"/>
    <w:basedOn w:val="Normal"/>
    <w:link w:val="CommentTextChar"/>
    <w:uiPriority w:val="99"/>
    <w:unhideWhenUsed/>
    <w:rsid w:val="005C2F80"/>
    <w:rPr>
      <w:sz w:val="20"/>
      <w:szCs w:val="20"/>
    </w:rPr>
  </w:style>
  <w:style w:type="character" w:customStyle="1" w:styleId="CommentTextChar">
    <w:name w:val="Comment Text Char"/>
    <w:basedOn w:val="DefaultParagraphFont"/>
    <w:link w:val="CommentText"/>
    <w:uiPriority w:val="99"/>
    <w:rsid w:val="005C2F80"/>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5C2F80"/>
    <w:rPr>
      <w:b/>
      <w:bCs/>
    </w:rPr>
  </w:style>
  <w:style w:type="character" w:customStyle="1" w:styleId="CommentSubjectChar">
    <w:name w:val="Comment Subject Char"/>
    <w:basedOn w:val="CommentTextChar"/>
    <w:link w:val="CommentSubject"/>
    <w:uiPriority w:val="99"/>
    <w:semiHidden/>
    <w:rsid w:val="005C2F80"/>
    <w:rPr>
      <w:rFonts w:ascii="Arial" w:eastAsia="Times New Roman" w:hAnsi="Arial" w:cs="Times New Roman"/>
      <w:b/>
      <w:bCs/>
      <w:sz w:val="20"/>
      <w:szCs w:val="20"/>
      <w:lang w:val="it-IT" w:eastAsia="en-AU"/>
    </w:rPr>
  </w:style>
  <w:style w:type="paragraph" w:customStyle="1" w:styleId="Footereven">
    <w:name w:val="Footer even"/>
    <w:basedOn w:val="Normal"/>
    <w:qFormat/>
    <w:rsid w:val="00562644"/>
    <w:pPr>
      <w:pBdr>
        <w:top w:val="single" w:sz="4" w:space="4" w:color="580F8B"/>
      </w:pBdr>
    </w:pPr>
    <w:rPr>
      <w:rFonts w:eastAsiaTheme="minorEastAsia"/>
      <w:b/>
      <w:noProof/>
      <w:color w:val="580F8B"/>
      <w:sz w:val="18"/>
      <w:szCs w:val="18"/>
      <w:lang w:val="en-AU"/>
    </w:rPr>
  </w:style>
  <w:style w:type="paragraph" w:customStyle="1" w:styleId="Footerodd">
    <w:name w:val="Footer odd"/>
    <w:basedOn w:val="Normal"/>
    <w:qFormat/>
    <w:rsid w:val="00562644"/>
    <w:pPr>
      <w:pBdr>
        <w:top w:val="single" w:sz="4" w:space="4" w:color="580F8B"/>
      </w:pBdr>
      <w:jc w:val="right"/>
    </w:pPr>
    <w:rPr>
      <w:rFonts w:eastAsiaTheme="minorEastAsia"/>
      <w:b/>
      <w:noProof/>
      <w:color w:val="580F8B"/>
      <w:sz w:val="18"/>
      <w:szCs w:val="18"/>
      <w:lang w:val="en-AU"/>
    </w:rPr>
  </w:style>
  <w:style w:type="paragraph" w:customStyle="1" w:styleId="Headereven">
    <w:name w:val="Header even"/>
    <w:basedOn w:val="Normal"/>
    <w:qFormat/>
    <w:rsid w:val="00562644"/>
    <w:pPr>
      <w:pBdr>
        <w:bottom w:val="single" w:sz="8" w:space="1" w:color="580F8B"/>
      </w:pBdr>
      <w:ind w:left="-1276" w:right="14175"/>
      <w:jc w:val="right"/>
    </w:pPr>
    <w:rPr>
      <w:rFonts w:eastAsiaTheme="minorEastAsia"/>
      <w:b/>
      <w:noProof/>
      <w:color w:val="580F8B"/>
      <w:sz w:val="36"/>
      <w:lang w:val="en-AU"/>
    </w:rPr>
  </w:style>
  <w:style w:type="paragraph" w:customStyle="1" w:styleId="Headerodd">
    <w:name w:val="Header odd"/>
    <w:basedOn w:val="Normal"/>
    <w:qFormat/>
    <w:rsid w:val="00562644"/>
    <w:pPr>
      <w:pBdr>
        <w:bottom w:val="single" w:sz="8" w:space="1" w:color="580F8B"/>
      </w:pBdr>
      <w:ind w:left="14175" w:right="-1276"/>
    </w:pPr>
    <w:rPr>
      <w:rFonts w:eastAsiaTheme="minorEastAsia"/>
      <w:b/>
      <w:color w:val="580F8B"/>
      <w:sz w:val="36"/>
      <w:lang w:val="en-AU"/>
    </w:rPr>
  </w:style>
  <w:style w:type="paragraph" w:customStyle="1" w:styleId="SCSAHeading1">
    <w:name w:val="SCSA Heading 1"/>
    <w:basedOn w:val="Normal"/>
    <w:qFormat/>
    <w:rsid w:val="00562644"/>
    <w:pPr>
      <w:outlineLvl w:val="0"/>
    </w:pPr>
    <w:rPr>
      <w:rFonts w:eastAsiaTheme="minorEastAsia"/>
      <w:color w:val="580F8B"/>
      <w:sz w:val="32"/>
      <w:lang w:val="en-AU"/>
    </w:rPr>
  </w:style>
  <w:style w:type="paragraph" w:customStyle="1" w:styleId="SCSAHeading2">
    <w:name w:val="SCSA Heading 2"/>
    <w:basedOn w:val="Normal"/>
    <w:qFormat/>
    <w:rsid w:val="00562644"/>
    <w:pPr>
      <w:spacing w:after="240"/>
      <w:outlineLvl w:val="1"/>
    </w:pPr>
    <w:rPr>
      <w:rFonts w:eastAsiaTheme="minorEastAsia"/>
      <w:color w:val="580F8B"/>
      <w:sz w:val="28"/>
      <w:lang w:val="en-AU"/>
    </w:rPr>
  </w:style>
  <w:style w:type="table" w:customStyle="1" w:styleId="SCSATableStyle">
    <w:name w:val="SCSA Table Style"/>
    <w:basedOn w:val="TableNormal"/>
    <w:uiPriority w:val="99"/>
    <w:rsid w:val="00562644"/>
    <w:pPr>
      <w:spacing w:after="0" w:line="240" w:lineRule="auto"/>
    </w:pPr>
    <w:rPr>
      <w:sz w:val="20"/>
    </w:rPr>
    <w:tblPr>
      <w:tblBorders>
        <w:top w:val="single" w:sz="4" w:space="0" w:color="D7C6E2"/>
        <w:left w:val="single" w:sz="4" w:space="0" w:color="D7C6E2"/>
        <w:bottom w:val="single" w:sz="4" w:space="0" w:color="D7C6E2"/>
        <w:right w:val="single" w:sz="4" w:space="0" w:color="D7C6E2"/>
        <w:insideH w:val="single" w:sz="4" w:space="0" w:color="D7C6E2"/>
        <w:insideV w:val="single" w:sz="4" w:space="0" w:color="D7C6E2"/>
      </w:tblBorders>
      <w:tblCellMar>
        <w:top w:w="57" w:type="dxa"/>
        <w:bottom w:w="57" w:type="dxa"/>
      </w:tblCellMar>
    </w:tblPr>
    <w:tblStylePr w:type="firstRow">
      <w:rPr>
        <w:b/>
        <w:i w:val="0"/>
        <w:color w:val="auto"/>
      </w:rPr>
      <w:tblPr/>
      <w:trPr>
        <w:tblHeader/>
      </w:trPr>
      <w:tcPr>
        <w:tcBorders>
          <w:top w:val="single" w:sz="4" w:space="0" w:color="D7C6E2"/>
          <w:left w:val="single" w:sz="4" w:space="0" w:color="D7C6E2"/>
          <w:bottom w:val="single" w:sz="4" w:space="0" w:color="D7C6E2"/>
          <w:right w:val="single" w:sz="4" w:space="0" w:color="D7C6E2"/>
          <w:insideH w:val="single" w:sz="4" w:space="0" w:color="D7C6E2"/>
          <w:insideV w:val="single" w:sz="4" w:space="0" w:color="FFFFFF" w:themeColor="background1"/>
          <w:tl2br w:val="nil"/>
          <w:tr2bl w:val="nil"/>
        </w:tcBorders>
        <w:shd w:val="clear" w:color="auto" w:fill="BD9FCF"/>
      </w:tcPr>
    </w:tblStylePr>
  </w:style>
  <w:style w:type="paragraph" w:customStyle="1" w:styleId="SCSATitle1">
    <w:name w:val="SCSA Title 1"/>
    <w:basedOn w:val="Normal"/>
    <w:qFormat/>
    <w:rsid w:val="00562644"/>
    <w:pPr>
      <w:keepNext/>
      <w:spacing w:before="3500"/>
      <w:jc w:val="center"/>
    </w:pPr>
    <w:rPr>
      <w:rFonts w:eastAsiaTheme="minorEastAsia"/>
      <w:b/>
      <w:smallCaps/>
      <w:color w:val="580F8B"/>
      <w:sz w:val="40"/>
      <w:szCs w:val="52"/>
      <w:lang w:val="en-AU"/>
    </w:rPr>
  </w:style>
  <w:style w:type="paragraph" w:customStyle="1" w:styleId="SCSATitle2">
    <w:name w:val="SCSA Title 2"/>
    <w:basedOn w:val="Normal"/>
    <w:qFormat/>
    <w:rsid w:val="00562644"/>
    <w:pPr>
      <w:keepNext/>
      <w:pBdr>
        <w:top w:val="single" w:sz="8" w:space="3" w:color="580F8B"/>
      </w:pBdr>
      <w:ind w:left="1701" w:right="1701"/>
      <w:jc w:val="center"/>
    </w:pPr>
    <w:rPr>
      <w:rFonts w:eastAsiaTheme="minorEastAsia"/>
      <w:b/>
      <w:smallCaps/>
      <w:color w:val="580F8B"/>
      <w:sz w:val="32"/>
      <w:szCs w:val="28"/>
      <w:lang w:val="en-AU" w:eastAsia="x-none"/>
    </w:rPr>
  </w:style>
  <w:style w:type="paragraph" w:customStyle="1" w:styleId="SCSATitle3">
    <w:name w:val="SCSA Title 3"/>
    <w:basedOn w:val="Normal"/>
    <w:qFormat/>
    <w:rsid w:val="00562644"/>
    <w:pPr>
      <w:keepNext/>
      <w:pBdr>
        <w:bottom w:val="single" w:sz="8" w:space="3" w:color="580F8B"/>
      </w:pBdr>
      <w:ind w:left="1701" w:right="1701"/>
      <w:jc w:val="center"/>
    </w:pPr>
    <w:rPr>
      <w:rFonts w:eastAsiaTheme="minorEastAsia"/>
      <w:b/>
      <w:smallCaps/>
      <w:color w:val="580F8B"/>
      <w:sz w:val="32"/>
      <w:szCs w:val="28"/>
      <w:lang w:val="en-AU" w:eastAsia="x-none"/>
    </w:rPr>
  </w:style>
  <w:style w:type="character" w:styleId="Hyperlink">
    <w:name w:val="Hyperlink"/>
    <w:basedOn w:val="DefaultParagraphFont"/>
    <w:uiPriority w:val="99"/>
    <w:semiHidden/>
    <w:unhideWhenUsed/>
    <w:rsid w:val="00562644"/>
    <w:rPr>
      <w:color w:val="580F8B"/>
      <w:u w:val="single"/>
    </w:rPr>
  </w:style>
  <w:style w:type="character" w:styleId="FollowedHyperlink">
    <w:name w:val="FollowedHyperlink"/>
    <w:basedOn w:val="DefaultParagraphFont"/>
    <w:uiPriority w:val="99"/>
    <w:semiHidden/>
    <w:unhideWhenUsed/>
    <w:rsid w:val="00562644"/>
    <w:rPr>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4E4CB2F593BB4C8B3ED28C3DEA5341" ma:contentTypeVersion="12" ma:contentTypeDescription="Create a new document." ma:contentTypeScope="" ma:versionID="4c88b537526689c07326bb457fca9bb7">
  <xsd:schema xmlns:xsd="http://www.w3.org/2001/XMLSchema" xmlns:xs="http://www.w3.org/2001/XMLSchema" xmlns:p="http://schemas.microsoft.com/office/2006/metadata/properties" xmlns:ns3="917aa282-5c9b-4077-b98a-9f555a8106ad" xmlns:ns4="faeb1ee0-d6d6-46d9-8028-8be4d0a791b3" targetNamespace="http://schemas.microsoft.com/office/2006/metadata/properties" ma:root="true" ma:fieldsID="d487e6a62e91140b8e7ad736b03412db" ns3:_="" ns4:_="">
    <xsd:import namespace="917aa282-5c9b-4077-b98a-9f555a8106ad"/>
    <xsd:import namespace="faeb1ee0-d6d6-46d9-8028-8be4d0a791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aa282-5c9b-4077-b98a-9f555a810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eb1ee0-d6d6-46d9-8028-8be4d0a791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17aa282-5c9b-4077-b98a-9f555a8106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9A5D0-3AA0-4FC5-B05C-9A388FC7A588}">
  <ds:schemaRefs>
    <ds:schemaRef ds:uri="http://schemas.microsoft.com/sharepoint/v3/contenttype/forms"/>
  </ds:schemaRefs>
</ds:datastoreItem>
</file>

<file path=customXml/itemProps2.xml><?xml version="1.0" encoding="utf-8"?>
<ds:datastoreItem xmlns:ds="http://schemas.openxmlformats.org/officeDocument/2006/customXml" ds:itemID="{802660D6-207C-4EE3-B2FC-BD2090A17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aa282-5c9b-4077-b98a-9f555a8106ad"/>
    <ds:schemaRef ds:uri="faeb1ee0-d6d6-46d9-8028-8be4d0a79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403CA-F1B7-4C79-ADEF-30502EB241A8}">
  <ds:schemaRefs>
    <ds:schemaRef ds:uri="http://schemas.microsoft.com/office/2006/metadata/properties"/>
    <ds:schemaRef ds:uri="http://schemas.microsoft.com/office/infopath/2007/PartnerControls"/>
    <ds:schemaRef ds:uri="917aa282-5c9b-4077-b98a-9f555a8106ad"/>
  </ds:schemaRefs>
</ds:datastoreItem>
</file>

<file path=customXml/itemProps4.xml><?xml version="1.0" encoding="utf-8"?>
<ds:datastoreItem xmlns:ds="http://schemas.openxmlformats.org/officeDocument/2006/customXml" ds:itemID="{A1E665C1-0D9E-41C7-841B-36F2FA7F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Maggie Johns</cp:lastModifiedBy>
  <cp:revision>18</cp:revision>
  <cp:lastPrinted>2018-10-24T01:00:00Z</cp:lastPrinted>
  <dcterms:created xsi:type="dcterms:W3CDTF">2024-05-10T04:10:00Z</dcterms:created>
  <dcterms:modified xsi:type="dcterms:W3CDTF">2024-06-18T05:33:00Z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0x0101006A4E4CB2F593BB4C8B3ED28C3DEA5341</vt:lpwstr>
  </property>
</Properties>
</file>