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7260B" w14:textId="412B6AE8" w:rsidR="00F54E79" w:rsidRDefault="00F54E79" w:rsidP="002B3D14">
      <w:pPr>
        <w:rPr>
          <w:rFonts w:cstheme="minorHAnsi"/>
          <w:b/>
          <w:bCs/>
        </w:rPr>
      </w:pPr>
      <w:r w:rsidRPr="00871FC2">
        <w:rPr>
          <w:b/>
        </w:rPr>
        <w:t>School administrators, Heads of Learning Area –</w:t>
      </w:r>
      <w:r>
        <w:rPr>
          <w:b/>
        </w:rPr>
        <w:t xml:space="preserve"> Science </w:t>
      </w:r>
      <w:r w:rsidRPr="00871FC2">
        <w:rPr>
          <w:b/>
        </w:rPr>
        <w:t xml:space="preserve">and </w:t>
      </w:r>
      <w:r>
        <w:rPr>
          <w:b/>
        </w:rPr>
        <w:t>T</w:t>
      </w:r>
      <w:r w:rsidRPr="00871FC2">
        <w:rPr>
          <w:b/>
        </w:rPr>
        <w:t xml:space="preserve">eachers of </w:t>
      </w:r>
      <w:r>
        <w:rPr>
          <w:b/>
        </w:rPr>
        <w:t>Biology ATAR</w:t>
      </w:r>
      <w:r w:rsidRPr="00871FC2">
        <w:rPr>
          <w:b/>
        </w:rPr>
        <w:t xml:space="preserve"> </w:t>
      </w:r>
      <w:r>
        <w:rPr>
          <w:b/>
        </w:rPr>
        <w:t xml:space="preserve">Year 12 </w:t>
      </w:r>
      <w:r w:rsidRPr="00871FC2">
        <w:rPr>
          <w:b/>
        </w:rPr>
        <w:t>are requested to note for 202</w:t>
      </w:r>
      <w:r>
        <w:rPr>
          <w:b/>
        </w:rPr>
        <w:t>7</w:t>
      </w:r>
      <w:r w:rsidRPr="00871FC2">
        <w:rPr>
          <w:b/>
        </w:rPr>
        <w:t xml:space="preserve"> the following minor syllabus changes. The syllabus is labelled as ‘For teaching from 202</w:t>
      </w:r>
      <w:r>
        <w:rPr>
          <w:b/>
        </w:rPr>
        <w:t>7</w:t>
      </w:r>
      <w:r w:rsidRPr="00871FC2">
        <w:rPr>
          <w:b/>
        </w:rPr>
        <w:t>’.</w:t>
      </w:r>
    </w:p>
    <w:p w14:paraId="361CD40B" w14:textId="7000AFDA" w:rsidR="00A02BC1" w:rsidRPr="00A02BC1" w:rsidRDefault="00BB6B16" w:rsidP="002B3D14">
      <w:pPr>
        <w:rPr>
          <w:rFonts w:cstheme="minorHAnsi"/>
          <w:b/>
          <w:bCs/>
        </w:rPr>
      </w:pPr>
      <w:r>
        <w:rPr>
          <w:rFonts w:cstheme="minorHAnsi"/>
          <w:b/>
          <w:bCs/>
        </w:rPr>
        <w:t>Biology</w:t>
      </w:r>
      <w:r w:rsidR="005736EE">
        <w:rPr>
          <w:rFonts w:cstheme="minorHAnsi"/>
          <w:b/>
          <w:bCs/>
        </w:rPr>
        <w:t xml:space="preserve"> | ATAR Year 1</w:t>
      </w:r>
      <w:r w:rsidR="00D77112">
        <w:rPr>
          <w:rFonts w:cstheme="minorHAnsi"/>
          <w:b/>
          <w:bCs/>
        </w:rPr>
        <w:t>2</w:t>
      </w:r>
      <w:r w:rsidR="005736EE">
        <w:rPr>
          <w:rFonts w:cstheme="minorHAnsi"/>
          <w:b/>
          <w:bCs/>
        </w:rPr>
        <w:t xml:space="preserve"> | Summary of minor s</w:t>
      </w:r>
      <w:r w:rsidR="00A02BC1" w:rsidRPr="00A02BC1">
        <w:rPr>
          <w:rFonts w:cstheme="minorHAnsi"/>
          <w:b/>
          <w:bCs/>
        </w:rPr>
        <w:t>yllabus changes</w:t>
      </w:r>
      <w:r w:rsidR="005736EE">
        <w:rPr>
          <w:rFonts w:cstheme="minorHAnsi"/>
          <w:b/>
          <w:bCs/>
        </w:rPr>
        <w:t xml:space="preserve"> for 202</w:t>
      </w:r>
      <w:r>
        <w:rPr>
          <w:rFonts w:cstheme="minorHAnsi"/>
          <w:b/>
          <w:bCs/>
        </w:rPr>
        <w:t>7</w:t>
      </w:r>
    </w:p>
    <w:p w14:paraId="4AEDBD42" w14:textId="5864E797" w:rsidR="00A02BC1" w:rsidRPr="00A02BC1" w:rsidRDefault="00A02BC1" w:rsidP="0022123B">
      <w:pPr>
        <w:rPr>
          <w:rFonts w:cstheme="minorHAnsi"/>
        </w:rPr>
      </w:pPr>
      <w:r w:rsidRPr="009E3BA6">
        <w:rPr>
          <w:rFonts w:cstheme="minorHAnsi"/>
        </w:rPr>
        <w:t xml:space="preserve">The content identified by </w:t>
      </w:r>
      <w:r w:rsidRPr="009E3BA6">
        <w:rPr>
          <w:rFonts w:cstheme="minorHAnsi"/>
          <w:strike/>
        </w:rPr>
        <w:t>strikethrough</w:t>
      </w:r>
      <w:r w:rsidRPr="009E3BA6">
        <w:rPr>
          <w:rFonts w:cstheme="minorHAnsi"/>
        </w:rPr>
        <w:t xml:space="preserve"> has been deleted from the syllabus and the content identified in </w:t>
      </w:r>
      <w:r w:rsidRPr="009E3BA6">
        <w:rPr>
          <w:rFonts w:cstheme="minorHAnsi"/>
          <w:i/>
        </w:rPr>
        <w:t>italic</w:t>
      </w:r>
      <w:r w:rsidRPr="009E3BA6">
        <w:rPr>
          <w:rFonts w:cstheme="minorHAnsi"/>
        </w:rPr>
        <w:t>s has been revised in the syllabus for teaching from 202</w:t>
      </w:r>
      <w:r w:rsidR="002C5488">
        <w:rPr>
          <w:rFonts w:cstheme="minorHAnsi"/>
        </w:rPr>
        <w:t>7</w:t>
      </w:r>
      <w:r w:rsidR="00BC3DBF">
        <w:rPr>
          <w:rFonts w:cstheme="minorHAnsi"/>
        </w:rPr>
        <w:t>.</w:t>
      </w:r>
    </w:p>
    <w:p w14:paraId="643F27AF" w14:textId="17F66AE7" w:rsidR="00A02BC1" w:rsidRPr="009E3BA6" w:rsidRDefault="00A02BC1" w:rsidP="00A02BC1">
      <w:pPr>
        <w:spacing w:before="120"/>
        <w:rPr>
          <w:rFonts w:cstheme="minorHAnsi"/>
          <w:b/>
        </w:rPr>
      </w:pPr>
      <w:r w:rsidRPr="009E3BA6">
        <w:rPr>
          <w:rFonts w:cstheme="minorHAnsi"/>
          <w:b/>
        </w:rPr>
        <w:t xml:space="preserve">Unit </w:t>
      </w:r>
      <w:r w:rsidR="00680320">
        <w:rPr>
          <w:rFonts w:cstheme="minorHAnsi"/>
          <w:b/>
        </w:rPr>
        <w:t>3</w:t>
      </w:r>
    </w:p>
    <w:p w14:paraId="35D15F8A" w14:textId="706FE663" w:rsidR="00A02BC1" w:rsidRPr="009E3BA6" w:rsidRDefault="000072E8" w:rsidP="000072E8">
      <w:pPr>
        <w:spacing w:before="120"/>
        <w:rPr>
          <w:rFonts w:cstheme="minorHAnsi"/>
          <w:b/>
        </w:rPr>
      </w:pPr>
      <w:r>
        <w:rPr>
          <w:rFonts w:cstheme="minorHAnsi"/>
          <w:b/>
        </w:rPr>
        <w:t>Science as a Human Endeavour</w:t>
      </w:r>
    </w:p>
    <w:p w14:paraId="1FC3C45B" w14:textId="77777777" w:rsidR="00D3728D" w:rsidRPr="00332854" w:rsidRDefault="00D3728D" w:rsidP="00D3728D">
      <w:pPr>
        <w:pStyle w:val="ListParagraph"/>
        <w:numPr>
          <w:ilvl w:val="0"/>
          <w:numId w:val="12"/>
        </w:numPr>
        <w:spacing w:after="160" w:line="278" w:lineRule="auto"/>
        <w:rPr>
          <w:strike/>
        </w:rPr>
      </w:pPr>
      <w:r w:rsidRPr="00332854">
        <w:rPr>
          <w:strike/>
        </w:rPr>
        <w:t>technological developments in the fields of comparative genomics, comparative biochemistry and bioinformatics have enabled identification of further evidence for evolutionary relationships</w:t>
      </w:r>
    </w:p>
    <w:p w14:paraId="42F2EB4B" w14:textId="76BDC470" w:rsidR="00FA3950" w:rsidRPr="00FA3950" w:rsidRDefault="00D3728D" w:rsidP="001337FE">
      <w:pPr>
        <w:pStyle w:val="ListParagraph"/>
        <w:widowControl w:val="0"/>
        <w:numPr>
          <w:ilvl w:val="0"/>
          <w:numId w:val="12"/>
        </w:numPr>
        <w:autoSpaceDE w:val="0"/>
        <w:autoSpaceDN w:val="0"/>
        <w:adjustRightInd w:val="0"/>
        <w:spacing w:before="120" w:after="0"/>
        <w:rPr>
          <w:rFonts w:eastAsiaTheme="minorEastAsia" w:cstheme="minorHAnsi"/>
          <w:b/>
          <w:i/>
          <w:iCs/>
          <w:lang w:eastAsia="en-AU"/>
        </w:rPr>
      </w:pPr>
      <w:r w:rsidRPr="00FA3950">
        <w:rPr>
          <w:rFonts w:eastAsia="Times New Roman" w:cs="Helvetica"/>
          <w:i/>
          <w:iCs/>
          <w:lang w:eastAsia="en-AU"/>
        </w:rPr>
        <w:t>bioinformatics involves the construction, maintenance and use of databases to analyse the relationships in biological data, such as amino acid sequences or nucleotide sequences. DNA and protein sequences can be mapped and analysed to compare genes within a species or between different species</w:t>
      </w:r>
    </w:p>
    <w:p w14:paraId="67EF76C8" w14:textId="77777777" w:rsidR="001337FE" w:rsidRPr="001337FE" w:rsidRDefault="001337FE" w:rsidP="001337FE">
      <w:pPr>
        <w:pStyle w:val="Default"/>
        <w:widowControl w:val="0"/>
        <w:numPr>
          <w:ilvl w:val="0"/>
          <w:numId w:val="16"/>
        </w:numPr>
        <w:tabs>
          <w:tab w:val="left" w:pos="426"/>
        </w:tabs>
        <w:spacing w:line="276" w:lineRule="auto"/>
        <w:ind w:left="357" w:hanging="357"/>
        <w:rPr>
          <w:rFonts w:asciiTheme="minorHAnsi" w:hAnsiTheme="minorHAnsi" w:cstheme="minorHAnsi"/>
          <w:strike/>
          <w:color w:val="auto"/>
          <w:sz w:val="22"/>
          <w:szCs w:val="22"/>
        </w:rPr>
      </w:pPr>
      <w:r w:rsidRPr="001337FE">
        <w:rPr>
          <w:rFonts w:asciiTheme="minorHAnsi" w:hAnsiTheme="minorHAnsi" w:cstheme="minorHAnsi"/>
          <w:strike/>
          <w:color w:val="auto"/>
          <w:sz w:val="22"/>
          <w:szCs w:val="22"/>
        </w:rPr>
        <w:t>conservation planning to maintain viable gene pools includes consideration of</w:t>
      </w:r>
    </w:p>
    <w:p w14:paraId="68ACD7C1" w14:textId="77777777" w:rsidR="001337FE" w:rsidRPr="001337FE" w:rsidRDefault="001337FE" w:rsidP="001337FE">
      <w:pPr>
        <w:pStyle w:val="Default"/>
        <w:numPr>
          <w:ilvl w:val="0"/>
          <w:numId w:val="15"/>
        </w:numPr>
        <w:autoSpaceDE/>
        <w:autoSpaceDN/>
        <w:adjustRightInd/>
        <w:spacing w:line="276" w:lineRule="auto"/>
        <w:rPr>
          <w:rFonts w:asciiTheme="minorHAnsi" w:hAnsiTheme="minorHAnsi" w:cstheme="minorHAnsi"/>
          <w:strike/>
          <w:color w:val="auto"/>
          <w:sz w:val="22"/>
          <w:szCs w:val="22"/>
        </w:rPr>
      </w:pPr>
      <w:r w:rsidRPr="001337FE">
        <w:rPr>
          <w:rFonts w:asciiTheme="minorHAnsi" w:hAnsiTheme="minorHAnsi" w:cstheme="minorHAnsi"/>
          <w:strike/>
          <w:color w:val="auto"/>
          <w:sz w:val="22"/>
          <w:szCs w:val="22"/>
        </w:rPr>
        <w:t>biogeography</w:t>
      </w:r>
    </w:p>
    <w:p w14:paraId="49DE060B" w14:textId="77777777" w:rsidR="001337FE" w:rsidRPr="001337FE" w:rsidRDefault="001337FE" w:rsidP="001337FE">
      <w:pPr>
        <w:pStyle w:val="Default"/>
        <w:numPr>
          <w:ilvl w:val="0"/>
          <w:numId w:val="15"/>
        </w:numPr>
        <w:autoSpaceDE/>
        <w:autoSpaceDN/>
        <w:adjustRightInd/>
        <w:spacing w:line="276" w:lineRule="auto"/>
        <w:rPr>
          <w:rFonts w:asciiTheme="minorHAnsi" w:hAnsiTheme="minorHAnsi" w:cstheme="minorHAnsi"/>
          <w:strike/>
          <w:color w:val="auto"/>
          <w:sz w:val="22"/>
          <w:szCs w:val="22"/>
        </w:rPr>
      </w:pPr>
      <w:r w:rsidRPr="001337FE">
        <w:rPr>
          <w:rFonts w:asciiTheme="minorHAnsi" w:hAnsiTheme="minorHAnsi" w:cstheme="minorHAnsi"/>
          <w:strike/>
          <w:color w:val="auto"/>
          <w:sz w:val="22"/>
          <w:szCs w:val="22"/>
        </w:rPr>
        <w:t>reproductive behaviour</w:t>
      </w:r>
    </w:p>
    <w:p w14:paraId="659AA24B" w14:textId="77777777" w:rsidR="001337FE" w:rsidRPr="001337FE" w:rsidRDefault="001337FE" w:rsidP="001337FE">
      <w:pPr>
        <w:pStyle w:val="Default"/>
        <w:numPr>
          <w:ilvl w:val="0"/>
          <w:numId w:val="15"/>
        </w:numPr>
        <w:autoSpaceDE/>
        <w:autoSpaceDN/>
        <w:adjustRightInd/>
        <w:spacing w:line="276" w:lineRule="auto"/>
        <w:rPr>
          <w:rFonts w:asciiTheme="minorHAnsi" w:hAnsiTheme="minorHAnsi" w:cstheme="minorHAnsi"/>
          <w:strike/>
          <w:color w:val="auto"/>
          <w:sz w:val="22"/>
          <w:szCs w:val="22"/>
        </w:rPr>
      </w:pPr>
      <w:r w:rsidRPr="001337FE">
        <w:rPr>
          <w:rFonts w:asciiTheme="minorHAnsi" w:hAnsiTheme="minorHAnsi" w:cstheme="minorHAnsi"/>
          <w:strike/>
          <w:color w:val="auto"/>
          <w:sz w:val="22"/>
          <w:szCs w:val="22"/>
        </w:rPr>
        <w:t>population dynamics</w:t>
      </w:r>
    </w:p>
    <w:p w14:paraId="489AD083" w14:textId="53D9DDB1" w:rsidR="00A02BC1" w:rsidRPr="009E3BA6" w:rsidRDefault="00A02BC1" w:rsidP="00A02BC1">
      <w:pPr>
        <w:widowControl w:val="0"/>
        <w:autoSpaceDE w:val="0"/>
        <w:autoSpaceDN w:val="0"/>
        <w:adjustRightInd w:val="0"/>
        <w:spacing w:before="120"/>
        <w:rPr>
          <w:rFonts w:eastAsiaTheme="minorEastAsia" w:cstheme="minorHAnsi"/>
          <w:b/>
          <w:iCs/>
          <w:lang w:eastAsia="en-AU"/>
        </w:rPr>
      </w:pPr>
      <w:r w:rsidRPr="009E3BA6">
        <w:rPr>
          <w:rFonts w:eastAsiaTheme="minorEastAsia" w:cstheme="minorHAnsi"/>
          <w:b/>
          <w:iCs/>
          <w:lang w:eastAsia="en-AU"/>
        </w:rPr>
        <w:t xml:space="preserve">Unit </w:t>
      </w:r>
      <w:r w:rsidR="00680320">
        <w:rPr>
          <w:rFonts w:eastAsiaTheme="minorEastAsia" w:cstheme="minorHAnsi"/>
          <w:b/>
          <w:iCs/>
          <w:lang w:eastAsia="en-AU"/>
        </w:rPr>
        <w:t>4</w:t>
      </w:r>
    </w:p>
    <w:p w14:paraId="46B65C35" w14:textId="3C6A0F98" w:rsidR="00A02BC1" w:rsidRPr="000072E8" w:rsidRDefault="000072E8" w:rsidP="000072E8">
      <w:pPr>
        <w:spacing w:before="120"/>
        <w:rPr>
          <w:rFonts w:cstheme="minorHAnsi"/>
          <w:b/>
        </w:rPr>
      </w:pPr>
      <w:r>
        <w:rPr>
          <w:rFonts w:cstheme="minorHAnsi"/>
          <w:b/>
        </w:rPr>
        <w:t>Science as a Human Endeavour</w:t>
      </w:r>
    </w:p>
    <w:p w14:paraId="6DBE0E0F" w14:textId="58AD1BCA" w:rsidR="00EF0987" w:rsidRPr="002C67EC" w:rsidRDefault="00EF0987" w:rsidP="00EF0987">
      <w:pPr>
        <w:pStyle w:val="Default"/>
        <w:widowControl w:val="0"/>
        <w:numPr>
          <w:ilvl w:val="0"/>
          <w:numId w:val="16"/>
        </w:numPr>
        <w:tabs>
          <w:tab w:val="left" w:pos="426"/>
        </w:tabs>
        <w:spacing w:line="300" w:lineRule="exact"/>
        <w:ind w:left="357" w:hanging="357"/>
        <w:rPr>
          <w:rFonts w:asciiTheme="minorHAnsi" w:hAnsiTheme="minorHAnsi" w:cstheme="minorHAnsi"/>
          <w:i/>
          <w:iCs/>
          <w:strike/>
          <w:color w:val="auto"/>
          <w:sz w:val="22"/>
          <w:szCs w:val="22"/>
        </w:rPr>
      </w:pPr>
      <w:r w:rsidRPr="00EF0987">
        <w:rPr>
          <w:rFonts w:asciiTheme="minorHAnsi" w:hAnsiTheme="minorHAnsi" w:cstheme="minorHAnsi"/>
          <w:color w:val="auto"/>
          <w:sz w:val="22"/>
          <w:szCs w:val="22"/>
        </w:rPr>
        <w:t>susceptibility</w:t>
      </w:r>
      <w:r w:rsidRPr="00EF0987">
        <w:rPr>
          <w:rFonts w:asciiTheme="minorHAnsi" w:hAnsiTheme="minorHAnsi" w:cstheme="minorHAnsi"/>
          <w:strike/>
          <w:color w:val="auto"/>
          <w:sz w:val="22"/>
          <w:szCs w:val="22"/>
        </w:rPr>
        <w:t xml:space="preserve"> of urban areas</w:t>
      </w:r>
      <w:r w:rsidRPr="00EF0987">
        <w:rPr>
          <w:rFonts w:asciiTheme="minorHAnsi" w:hAnsiTheme="minorHAnsi" w:cstheme="minorHAnsi"/>
          <w:color w:val="auto"/>
          <w:sz w:val="22"/>
          <w:szCs w:val="22"/>
        </w:rPr>
        <w:t xml:space="preserve"> to epidemics and pandemics of infectious disease </w:t>
      </w:r>
      <w:r w:rsidRPr="00EF0987">
        <w:rPr>
          <w:rFonts w:asciiTheme="minorHAnsi" w:hAnsiTheme="minorHAnsi" w:cstheme="minorHAnsi"/>
          <w:strike/>
          <w:color w:val="auto"/>
          <w:sz w:val="22"/>
          <w:szCs w:val="22"/>
        </w:rPr>
        <w:t>can be</w:t>
      </w:r>
      <w:r w:rsidRPr="00EF0987">
        <w:rPr>
          <w:rFonts w:asciiTheme="minorHAnsi" w:hAnsiTheme="minorHAnsi" w:cstheme="minorHAnsi"/>
          <w:color w:val="auto"/>
          <w:sz w:val="22"/>
          <w:szCs w:val="22"/>
        </w:rPr>
        <w:t xml:space="preserve"> due </w:t>
      </w:r>
      <w:r w:rsidRPr="002C67EC">
        <w:rPr>
          <w:rFonts w:asciiTheme="minorHAnsi" w:hAnsiTheme="minorHAnsi" w:cstheme="minorHAnsi"/>
          <w:i/>
          <w:iCs/>
          <w:color w:val="auto"/>
          <w:sz w:val="22"/>
          <w:szCs w:val="22"/>
        </w:rPr>
        <w:t>to</w:t>
      </w:r>
    </w:p>
    <w:p w14:paraId="2F2E3E20" w14:textId="77777777" w:rsidR="00EF0987" w:rsidRPr="00907BEA" w:rsidRDefault="00EF0987" w:rsidP="00EF0987">
      <w:pPr>
        <w:pStyle w:val="Default"/>
        <w:widowControl w:val="0"/>
        <w:numPr>
          <w:ilvl w:val="0"/>
          <w:numId w:val="17"/>
        </w:numPr>
        <w:tabs>
          <w:tab w:val="left" w:pos="426"/>
        </w:tabs>
        <w:spacing w:line="300" w:lineRule="exact"/>
        <w:rPr>
          <w:rFonts w:asciiTheme="minorHAnsi" w:hAnsiTheme="minorHAnsi" w:cstheme="minorHAnsi"/>
          <w:i/>
          <w:iCs/>
          <w:strike/>
          <w:color w:val="auto"/>
          <w:sz w:val="22"/>
          <w:szCs w:val="22"/>
        </w:rPr>
      </w:pPr>
      <w:r w:rsidRPr="00907BEA">
        <w:rPr>
          <w:rFonts w:asciiTheme="minorHAnsi" w:hAnsiTheme="minorHAnsi" w:cstheme="minorHAnsi"/>
          <w:i/>
          <w:iCs/>
          <w:color w:val="auto"/>
          <w:sz w:val="22"/>
          <w:szCs w:val="22"/>
        </w:rPr>
        <w:t>increasing migration and global travel</w:t>
      </w:r>
    </w:p>
    <w:p w14:paraId="1C122207" w14:textId="09FAF560" w:rsidR="00EF0987" w:rsidRPr="00907BEA" w:rsidRDefault="00EF0987" w:rsidP="00EF0987">
      <w:pPr>
        <w:pStyle w:val="Default"/>
        <w:widowControl w:val="0"/>
        <w:numPr>
          <w:ilvl w:val="0"/>
          <w:numId w:val="17"/>
        </w:numPr>
        <w:tabs>
          <w:tab w:val="left" w:pos="426"/>
        </w:tabs>
        <w:spacing w:line="300" w:lineRule="exact"/>
        <w:rPr>
          <w:rFonts w:asciiTheme="minorHAnsi" w:hAnsiTheme="minorHAnsi" w:cstheme="minorHAnsi"/>
          <w:strike/>
          <w:color w:val="auto"/>
          <w:sz w:val="22"/>
          <w:szCs w:val="22"/>
        </w:rPr>
      </w:pPr>
      <w:r w:rsidRPr="00907BEA">
        <w:rPr>
          <w:rFonts w:asciiTheme="minorHAnsi" w:hAnsiTheme="minorHAnsi" w:cstheme="minorHAnsi"/>
          <w:i/>
          <w:iCs/>
          <w:color w:val="auto"/>
          <w:sz w:val="22"/>
          <w:szCs w:val="22"/>
        </w:rPr>
        <w:t>high</w:t>
      </w:r>
      <w:r w:rsidRPr="00907BEA">
        <w:rPr>
          <w:rFonts w:asciiTheme="minorHAnsi" w:hAnsiTheme="minorHAnsi" w:cstheme="minorHAnsi"/>
          <w:color w:val="auto"/>
          <w:sz w:val="22"/>
          <w:szCs w:val="22"/>
        </w:rPr>
        <w:t xml:space="preserve"> population density</w:t>
      </w:r>
      <w:r w:rsidRPr="00907BEA">
        <w:rPr>
          <w:rFonts w:asciiTheme="minorHAnsi" w:hAnsiTheme="minorHAnsi" w:cstheme="minorHAnsi"/>
          <w:strike/>
          <w:color w:val="auto"/>
          <w:sz w:val="22"/>
          <w:szCs w:val="22"/>
        </w:rPr>
        <w:t xml:space="preserve">, variation in living conditions and healthcare </w:t>
      </w:r>
      <w:proofErr w:type="gramStart"/>
      <w:r w:rsidRPr="00907BEA">
        <w:rPr>
          <w:rFonts w:asciiTheme="minorHAnsi" w:hAnsiTheme="minorHAnsi" w:cstheme="minorHAnsi"/>
          <w:strike/>
          <w:color w:val="auto"/>
          <w:sz w:val="22"/>
          <w:szCs w:val="22"/>
        </w:rPr>
        <w:t xml:space="preserve">provisions </w:t>
      </w:r>
      <w:r w:rsidR="0088308F" w:rsidRPr="00907BEA">
        <w:rPr>
          <w:rFonts w:asciiTheme="minorHAnsi" w:hAnsiTheme="minorHAnsi" w:cstheme="minorHAnsi"/>
          <w:i/>
          <w:iCs/>
          <w:color w:val="auto"/>
          <w:sz w:val="22"/>
          <w:szCs w:val="22"/>
        </w:rPr>
        <w:t xml:space="preserve"> </w:t>
      </w:r>
      <w:r w:rsidRPr="00907BEA">
        <w:rPr>
          <w:rFonts w:asciiTheme="minorHAnsi" w:hAnsiTheme="minorHAnsi" w:cstheme="minorHAnsi"/>
          <w:i/>
          <w:iCs/>
          <w:color w:val="auto"/>
          <w:sz w:val="22"/>
          <w:szCs w:val="22"/>
        </w:rPr>
        <w:t>in</w:t>
      </w:r>
      <w:proofErr w:type="gramEnd"/>
      <w:r w:rsidRPr="00907BEA">
        <w:rPr>
          <w:rFonts w:asciiTheme="minorHAnsi" w:hAnsiTheme="minorHAnsi" w:cstheme="minorHAnsi"/>
          <w:i/>
          <w:iCs/>
          <w:color w:val="auto"/>
          <w:sz w:val="22"/>
          <w:szCs w:val="22"/>
        </w:rPr>
        <w:t xml:space="preserve"> urban areas</w:t>
      </w:r>
    </w:p>
    <w:p w14:paraId="7EB01632" w14:textId="77777777" w:rsidR="00EF0987" w:rsidRPr="00907BEA" w:rsidRDefault="00EF0987" w:rsidP="00EF0987">
      <w:pPr>
        <w:pStyle w:val="Default"/>
        <w:widowControl w:val="0"/>
        <w:numPr>
          <w:ilvl w:val="0"/>
          <w:numId w:val="17"/>
        </w:numPr>
        <w:tabs>
          <w:tab w:val="left" w:pos="426"/>
        </w:tabs>
        <w:spacing w:line="300" w:lineRule="exact"/>
        <w:rPr>
          <w:rFonts w:asciiTheme="minorHAnsi" w:hAnsiTheme="minorHAnsi" w:cstheme="minorHAnsi"/>
          <w:i/>
          <w:iCs/>
          <w:strike/>
          <w:color w:val="auto"/>
          <w:sz w:val="22"/>
          <w:szCs w:val="22"/>
        </w:rPr>
      </w:pPr>
      <w:r w:rsidRPr="00907BEA">
        <w:rPr>
          <w:rFonts w:asciiTheme="minorHAnsi" w:hAnsiTheme="minorHAnsi" w:cstheme="minorHAnsi"/>
          <w:i/>
          <w:iCs/>
          <w:color w:val="auto"/>
          <w:sz w:val="22"/>
          <w:szCs w:val="22"/>
        </w:rPr>
        <w:t>varied healthcare systems in some countries</w:t>
      </w:r>
    </w:p>
    <w:p w14:paraId="15970390" w14:textId="6925E2D0" w:rsidR="00B567AB" w:rsidRPr="00606F86" w:rsidRDefault="00B567AB" w:rsidP="00B567AB">
      <w:pPr>
        <w:pStyle w:val="Default"/>
        <w:widowControl w:val="0"/>
        <w:numPr>
          <w:ilvl w:val="0"/>
          <w:numId w:val="16"/>
        </w:numPr>
        <w:tabs>
          <w:tab w:val="left" w:pos="426"/>
        </w:tabs>
        <w:spacing w:line="300" w:lineRule="exact"/>
        <w:ind w:left="357" w:hanging="357"/>
        <w:rPr>
          <w:rFonts w:asciiTheme="minorHAnsi" w:hAnsiTheme="minorHAnsi" w:cstheme="minorHAnsi"/>
          <w:color w:val="auto"/>
          <w:sz w:val="22"/>
          <w:szCs w:val="22"/>
        </w:rPr>
      </w:pPr>
      <w:r w:rsidRPr="00606F86">
        <w:rPr>
          <w:rFonts w:asciiTheme="minorHAnsi" w:hAnsiTheme="minorHAnsi" w:cstheme="minorHAnsi"/>
          <w:color w:val="auto"/>
          <w:sz w:val="22"/>
          <w:szCs w:val="22"/>
        </w:rPr>
        <w:t>contemporary models can predict the spread of disease and simulate the effects of possible interventions</w:t>
      </w:r>
      <w:r w:rsidRPr="00606F86">
        <w:rPr>
          <w:rFonts w:asciiTheme="minorHAnsi" w:hAnsiTheme="minorHAnsi" w:cstheme="minorHAnsi"/>
          <w:color w:val="7030A0"/>
          <w:sz w:val="22"/>
          <w:szCs w:val="22"/>
        </w:rPr>
        <w:t>.</w:t>
      </w:r>
      <w:r w:rsidRPr="00606F86">
        <w:rPr>
          <w:rFonts w:asciiTheme="minorHAnsi" w:hAnsiTheme="minorHAnsi" w:cstheme="minorHAnsi"/>
          <w:color w:val="auto"/>
          <w:sz w:val="22"/>
          <w:szCs w:val="22"/>
        </w:rPr>
        <w:t xml:space="preserve"> </w:t>
      </w:r>
      <w:r w:rsidRPr="00606F86">
        <w:rPr>
          <w:rFonts w:asciiTheme="minorHAnsi" w:hAnsiTheme="minorHAnsi" w:cstheme="minorHAnsi"/>
          <w:strike/>
          <w:color w:val="auto"/>
          <w:sz w:val="22"/>
          <w:szCs w:val="22"/>
        </w:rPr>
        <w:t>Supercomputing</w:t>
      </w:r>
      <w:r w:rsidRPr="00606F86">
        <w:rPr>
          <w:rFonts w:asciiTheme="minorHAnsi" w:hAnsiTheme="minorHAnsi" w:cstheme="minorHAnsi"/>
          <w:color w:val="7030A0"/>
          <w:sz w:val="22"/>
          <w:szCs w:val="22"/>
        </w:rPr>
        <w:t xml:space="preserve"> </w:t>
      </w:r>
      <w:r w:rsidRPr="00606F86">
        <w:rPr>
          <w:rFonts w:asciiTheme="minorHAnsi" w:hAnsiTheme="minorHAnsi" w:cstheme="minorHAnsi"/>
          <w:i/>
          <w:iCs/>
          <w:color w:val="auto"/>
          <w:sz w:val="22"/>
          <w:szCs w:val="22"/>
        </w:rPr>
        <w:t>Increased processing capacity and data storage</w:t>
      </w:r>
      <w:r w:rsidRPr="00606F86">
        <w:rPr>
          <w:rFonts w:asciiTheme="minorHAnsi" w:hAnsiTheme="minorHAnsi" w:cstheme="minorHAnsi"/>
          <w:color w:val="auto"/>
          <w:sz w:val="22"/>
          <w:szCs w:val="22"/>
        </w:rPr>
        <w:t xml:space="preserve"> has enabled models to predict the relationship between epidemic frequency and location, and </w:t>
      </w:r>
      <w:r w:rsidRPr="00606F86">
        <w:rPr>
          <w:rFonts w:asciiTheme="minorHAnsi" w:hAnsiTheme="minorHAnsi" w:cstheme="minorHAnsi"/>
          <w:strike/>
          <w:color w:val="auto"/>
          <w:sz w:val="22"/>
          <w:szCs w:val="22"/>
        </w:rPr>
        <w:t>factors</w:t>
      </w:r>
      <w:r w:rsidRPr="00606F86">
        <w:rPr>
          <w:rFonts w:asciiTheme="minorHAnsi" w:hAnsiTheme="minorHAnsi" w:cstheme="minorHAnsi"/>
          <w:color w:val="auto"/>
          <w:sz w:val="22"/>
          <w:szCs w:val="22"/>
        </w:rPr>
        <w:t xml:space="preserve"> </w:t>
      </w:r>
      <w:r w:rsidRPr="00606F86">
        <w:rPr>
          <w:rFonts w:asciiTheme="minorHAnsi" w:hAnsiTheme="minorHAnsi" w:cstheme="minorHAnsi"/>
          <w:i/>
          <w:iCs/>
          <w:color w:val="auto"/>
          <w:sz w:val="22"/>
          <w:szCs w:val="22"/>
        </w:rPr>
        <w:t>examine variables</w:t>
      </w:r>
      <w:r w:rsidRPr="00606F86">
        <w:rPr>
          <w:rFonts w:asciiTheme="minorHAnsi" w:hAnsiTheme="minorHAnsi" w:cstheme="minorHAnsi"/>
          <w:color w:val="auto"/>
          <w:sz w:val="22"/>
          <w:szCs w:val="22"/>
        </w:rPr>
        <w:t xml:space="preserve"> such as population size </w:t>
      </w:r>
      <w:r w:rsidRPr="00606F86">
        <w:rPr>
          <w:rFonts w:asciiTheme="minorHAnsi" w:hAnsiTheme="minorHAnsi" w:cstheme="minorHAnsi"/>
          <w:i/>
          <w:iCs/>
          <w:color w:val="auto"/>
          <w:sz w:val="22"/>
          <w:szCs w:val="22"/>
        </w:rPr>
        <w:t>and density</w:t>
      </w:r>
      <w:r w:rsidRPr="00606F86">
        <w:rPr>
          <w:rFonts w:asciiTheme="minorHAnsi" w:hAnsiTheme="minorHAnsi" w:cstheme="minorHAnsi"/>
          <w:color w:val="auto"/>
          <w:sz w:val="22"/>
          <w:szCs w:val="22"/>
        </w:rPr>
        <w:t>, environmental change and antibiotic resistance</w:t>
      </w:r>
    </w:p>
    <w:p w14:paraId="451E8C98" w14:textId="2247BCA3" w:rsidR="00712BA5" w:rsidRPr="00B567AB" w:rsidRDefault="00712BA5" w:rsidP="00B567AB">
      <w:pPr>
        <w:rPr>
          <w:rFonts w:eastAsia="Times New Roman"/>
        </w:rPr>
      </w:pPr>
    </w:p>
    <w:sectPr w:rsidR="00712BA5" w:rsidRPr="00B567AB" w:rsidSect="00C70734">
      <w:headerReference w:type="even" r:id="rId7"/>
      <w:headerReference w:type="default" r:id="rId8"/>
      <w:footerReference w:type="default" r:id="rId9"/>
      <w:headerReference w:type="first" r:id="rId10"/>
      <w:pgSz w:w="12240" w:h="15840"/>
      <w:pgMar w:top="1644" w:right="1418" w:bottom="1276" w:left="1418" w:header="680"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7B6D2" w14:textId="77777777" w:rsidR="0074123D" w:rsidRDefault="0074123D" w:rsidP="00C172F1">
      <w:pPr>
        <w:spacing w:after="0" w:line="240" w:lineRule="auto"/>
      </w:pPr>
      <w:r>
        <w:separator/>
      </w:r>
    </w:p>
  </w:endnote>
  <w:endnote w:type="continuationSeparator" w:id="0">
    <w:p w14:paraId="66DB2B11" w14:textId="77777777" w:rsidR="0074123D" w:rsidRDefault="0074123D" w:rsidP="00C17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aavi">
    <w:panose1 w:val="02000500000000000000"/>
    <w:charset w:val="00"/>
    <w:family w:val="swiss"/>
    <w:pitch w:val="variable"/>
    <w:sig w:usb0="00020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541EF" w14:textId="21C2C660" w:rsidR="00D83888" w:rsidRPr="00BB580F" w:rsidRDefault="00BB580F" w:rsidP="00BB580F">
    <w:r w:rsidRPr="00BB580F">
      <w:rPr>
        <w:sz w:val="18"/>
        <w:szCs w:val="18"/>
      </w:rPr>
      <w:t>2026/</w:t>
    </w:r>
    <w:r w:rsidR="003056C5">
      <w:rPr>
        <w:sz w:val="18"/>
        <w:szCs w:val="18"/>
      </w:rPr>
      <w:t>38239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C391" w14:textId="77777777" w:rsidR="0074123D" w:rsidRDefault="0074123D" w:rsidP="00C172F1">
      <w:pPr>
        <w:spacing w:after="0" w:line="240" w:lineRule="auto"/>
      </w:pPr>
      <w:r>
        <w:separator/>
      </w:r>
    </w:p>
  </w:footnote>
  <w:footnote w:type="continuationSeparator" w:id="0">
    <w:p w14:paraId="32718D60" w14:textId="77777777" w:rsidR="0074123D" w:rsidRDefault="0074123D" w:rsidP="00C17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807F3" w14:textId="2146FF7A" w:rsidR="0068188D" w:rsidRDefault="0068188D">
    <w:pPr>
      <w:pStyle w:val="Header"/>
    </w:pPr>
    <w:r>
      <w:rPr>
        <w:noProof/>
      </w:rPr>
      <mc:AlternateContent>
        <mc:Choice Requires="wps">
          <w:drawing>
            <wp:anchor distT="0" distB="0" distL="0" distR="0" simplePos="0" relativeHeight="251659264" behindDoc="0" locked="0" layoutInCell="1" allowOverlap="1" wp14:anchorId="3BC3B80C" wp14:editId="47534714">
              <wp:simplePos x="635" y="635"/>
              <wp:positionH relativeFrom="page">
                <wp:align>center</wp:align>
              </wp:positionH>
              <wp:positionV relativeFrom="page">
                <wp:align>top</wp:align>
              </wp:positionV>
              <wp:extent cx="518795" cy="368935"/>
              <wp:effectExtent l="0" t="0" r="14605" b="12065"/>
              <wp:wrapNone/>
              <wp:docPr id="135727243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EA849EB" w14:textId="39288A99"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C3B80C"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textbox style="mso-fit-shape-to-text:t" inset="0,15pt,0,0">
                <w:txbxContent>
                  <w:p w14:paraId="1EA849EB" w14:textId="39288A99"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79B49" w14:textId="073DFC32" w:rsidR="004B6AE2" w:rsidRPr="00E277C2" w:rsidRDefault="0068188D" w:rsidP="004B6AE2">
    <w:pPr>
      <w:spacing w:line="257" w:lineRule="auto"/>
      <w:rPr>
        <w:b/>
      </w:rPr>
    </w:pPr>
    <w:r>
      <w:rPr>
        <w:b/>
        <w:noProof/>
      </w:rPr>
      <mc:AlternateContent>
        <mc:Choice Requires="wps">
          <w:drawing>
            <wp:anchor distT="0" distB="0" distL="0" distR="0" simplePos="0" relativeHeight="251660288" behindDoc="0" locked="0" layoutInCell="1" allowOverlap="1" wp14:anchorId="5720766A" wp14:editId="71A517B8">
              <wp:simplePos x="901987" y="434443"/>
              <wp:positionH relativeFrom="page">
                <wp:align>center</wp:align>
              </wp:positionH>
              <wp:positionV relativeFrom="page">
                <wp:align>top</wp:align>
              </wp:positionV>
              <wp:extent cx="518795" cy="368935"/>
              <wp:effectExtent l="0" t="0" r="14605" b="12065"/>
              <wp:wrapNone/>
              <wp:docPr id="130488074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BD8BFB5" w14:textId="253F5ED8"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20766A"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textbox style="mso-fit-shape-to-text:t" inset="0,15pt,0,0">
                <w:txbxContent>
                  <w:p w14:paraId="5BD8BFB5" w14:textId="253F5ED8"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A9430" w14:textId="7AB669D9" w:rsidR="0068188D" w:rsidRDefault="0068188D">
    <w:pPr>
      <w:pStyle w:val="Header"/>
    </w:pPr>
    <w:r>
      <w:rPr>
        <w:noProof/>
      </w:rPr>
      <mc:AlternateContent>
        <mc:Choice Requires="wps">
          <w:drawing>
            <wp:anchor distT="0" distB="0" distL="0" distR="0" simplePos="0" relativeHeight="251658240" behindDoc="0" locked="0" layoutInCell="1" allowOverlap="1" wp14:anchorId="4307B187" wp14:editId="7971249D">
              <wp:simplePos x="635" y="635"/>
              <wp:positionH relativeFrom="page">
                <wp:align>center</wp:align>
              </wp:positionH>
              <wp:positionV relativeFrom="page">
                <wp:align>top</wp:align>
              </wp:positionV>
              <wp:extent cx="518795" cy="368935"/>
              <wp:effectExtent l="0" t="0" r="14605" b="12065"/>
              <wp:wrapNone/>
              <wp:docPr id="753962296"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BAB53F1" w14:textId="26C03026"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07B187"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textbox style="mso-fit-shape-to-text:t" inset="0,15pt,0,0">
                <w:txbxContent>
                  <w:p w14:paraId="6BAB53F1" w14:textId="26C03026" w:rsidR="0068188D" w:rsidRPr="0068188D" w:rsidRDefault="0068188D" w:rsidP="0068188D">
                    <w:pPr>
                      <w:spacing w:after="0"/>
                      <w:rPr>
                        <w:rFonts w:ascii="Aptos" w:eastAsia="Aptos" w:hAnsi="Aptos" w:cs="Aptos"/>
                        <w:noProof/>
                        <w:color w:val="000000"/>
                        <w:sz w:val="20"/>
                        <w:szCs w:val="20"/>
                      </w:rPr>
                    </w:pPr>
                    <w:r w:rsidRPr="0068188D">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04BAD05A"/>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5A0C610"/>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02A226F2"/>
    <w:multiLevelType w:val="hybridMultilevel"/>
    <w:tmpl w:val="46E4EA0E"/>
    <w:lvl w:ilvl="0" w:tplc="A78899F0">
      <w:start w:val="1"/>
      <w:numFmt w:val="bullet"/>
      <w:lvlText w:val=""/>
      <w:lvlJc w:val="left"/>
      <w:pPr>
        <w:ind w:left="720" w:hanging="360"/>
      </w:pPr>
      <w:rPr>
        <w:rFonts w:ascii="Wingdings" w:hAnsi="Wingdings" w:hint="default"/>
        <w:color w:val="000000" w:themeColor="text1"/>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15228D"/>
    <w:multiLevelType w:val="hybridMultilevel"/>
    <w:tmpl w:val="D738108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3EBE749A">
      <w:numFmt w:val="bullet"/>
      <w:lvlText w:val="-"/>
      <w:lvlJc w:val="left"/>
      <w:pPr>
        <w:ind w:left="2520" w:hanging="360"/>
      </w:pPr>
      <w:rPr>
        <w:rFonts w:ascii="Calibri" w:eastAsiaTheme="minorEastAsia" w:hAnsi="Calibri" w:cs="Calibri" w:hint="default"/>
        <w:i/>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521541F"/>
    <w:multiLevelType w:val="multilevel"/>
    <w:tmpl w:val="C0F29924"/>
    <w:numStyleLink w:val="SCSABulletList"/>
  </w:abstractNum>
  <w:abstractNum w:abstractNumId="5" w15:restartNumberingAfterBreak="0">
    <w:nsid w:val="1E4C03B9"/>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0337D18"/>
    <w:multiLevelType w:val="multilevel"/>
    <w:tmpl w:val="C0F29924"/>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20D842A7"/>
    <w:multiLevelType w:val="hybridMultilevel"/>
    <w:tmpl w:val="E79E54AE"/>
    <w:lvl w:ilvl="0" w:tplc="0C090001">
      <w:start w:val="1"/>
      <w:numFmt w:val="bullet"/>
      <w:lvlText w:val=""/>
      <w:lvlJc w:val="left"/>
      <w:pPr>
        <w:ind w:left="720" w:hanging="360"/>
      </w:pPr>
      <w:rPr>
        <w:rFonts w:ascii="Symbol" w:hAnsi="Symbol" w:hint="default"/>
        <w:b w:val="0"/>
        <w:i w:val="0"/>
        <w:sz w:val="22"/>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4C83616"/>
    <w:multiLevelType w:val="hybridMultilevel"/>
    <w:tmpl w:val="8E4EDB76"/>
    <w:lvl w:ilvl="0" w:tplc="7AC8B280">
      <w:numFmt w:val="bullet"/>
      <w:lvlText w:val="-"/>
      <w:lvlJc w:val="left"/>
      <w:pPr>
        <w:ind w:left="1803" w:hanging="360"/>
      </w:pPr>
      <w:rPr>
        <w:rFonts w:ascii="Symbol" w:eastAsiaTheme="minorEastAsia" w:hAnsi="Symbol" w:hint="default"/>
        <w:i/>
      </w:rPr>
    </w:lvl>
    <w:lvl w:ilvl="1" w:tplc="7AC8B280">
      <w:numFmt w:val="bullet"/>
      <w:lvlText w:val="-"/>
      <w:lvlJc w:val="left"/>
      <w:pPr>
        <w:ind w:left="1440" w:hanging="360"/>
      </w:pPr>
      <w:rPr>
        <w:rFonts w:ascii="Symbol" w:eastAsiaTheme="minorEastAsia" w:hAnsi="Symbol" w:hint="default"/>
        <w:i/>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3E34A0"/>
    <w:multiLevelType w:val="hybridMultilevel"/>
    <w:tmpl w:val="3EC20EB8"/>
    <w:lvl w:ilvl="0" w:tplc="0C090001">
      <w:start w:val="1"/>
      <w:numFmt w:val="bullet"/>
      <w:pStyle w:val="Heading1"/>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34416FEF"/>
    <w:multiLevelType w:val="multilevel"/>
    <w:tmpl w:val="EB2CB468"/>
    <w:styleLink w:val="ListBullets"/>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11" w15:restartNumberingAfterBreak="0">
    <w:nsid w:val="37672294"/>
    <w:multiLevelType w:val="multilevel"/>
    <w:tmpl w:val="CA8A9336"/>
    <w:styleLink w:val="EngBulletsList"/>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Wingdings" w:hAnsi="Wingdings" w:hint="default"/>
      </w:rPr>
    </w:lvl>
    <w:lvl w:ilvl="2">
      <w:start w:val="1"/>
      <w:numFmt w:val="bullet"/>
      <w:lvlText w:val="○"/>
      <w:lvlJc w:val="left"/>
      <w:pPr>
        <w:ind w:left="1071" w:hanging="357"/>
      </w:pPr>
      <w:rPr>
        <w:rFonts w:ascii="Courier New" w:hAnsi="Courier New" w:hint="default"/>
      </w:rPr>
    </w:lvl>
    <w:lvl w:ilvl="3">
      <w:start w:val="1"/>
      <w:numFmt w:val="bullet"/>
      <w:lvlText w:val=""/>
      <w:lvlJc w:val="left"/>
      <w:pPr>
        <w:ind w:left="1428" w:hanging="357"/>
      </w:pPr>
      <w:rPr>
        <w:rFonts w:ascii="Symbol" w:hAnsi="Symbol" w:hint="default"/>
      </w:rPr>
    </w:lvl>
    <w:lvl w:ilvl="4">
      <w:start w:val="1"/>
      <w:numFmt w:val="bullet"/>
      <w:lvlText w:val=""/>
      <w:lvlJc w:val="left"/>
      <w:pPr>
        <w:ind w:left="1785" w:hanging="357"/>
      </w:pPr>
      <w:rPr>
        <w:rFonts w:ascii="Symbol" w:hAnsi="Symbol" w:hint="default"/>
      </w:rPr>
    </w:lvl>
    <w:lvl w:ilvl="5">
      <w:start w:val="1"/>
      <w:numFmt w:val="none"/>
      <w:lvlText w:val=""/>
      <w:lvlJc w:val="left"/>
      <w:pPr>
        <w:ind w:left="2142" w:hanging="357"/>
      </w:pPr>
      <w:rPr>
        <w:rFonts w:hint="default"/>
      </w:rPr>
    </w:lvl>
    <w:lvl w:ilvl="6">
      <w:start w:val="1"/>
      <w:numFmt w:val="none"/>
      <w:lvlText w:val=""/>
      <w:lvlJc w:val="left"/>
      <w:pPr>
        <w:ind w:left="2499" w:hanging="357"/>
      </w:pPr>
      <w:rPr>
        <w:rFonts w:hint="default"/>
      </w:rPr>
    </w:lvl>
    <w:lvl w:ilvl="7">
      <w:start w:val="1"/>
      <w:numFmt w:val="none"/>
      <w:lvlText w:val=""/>
      <w:lvlJc w:val="left"/>
      <w:pPr>
        <w:ind w:left="2856" w:hanging="357"/>
      </w:pPr>
      <w:rPr>
        <w:rFonts w:hint="default"/>
      </w:rPr>
    </w:lvl>
    <w:lvl w:ilvl="8">
      <w:start w:val="1"/>
      <w:numFmt w:val="none"/>
      <w:lvlText w:val=""/>
      <w:lvlJc w:val="left"/>
      <w:pPr>
        <w:ind w:left="3213" w:hanging="357"/>
      </w:pPr>
      <w:rPr>
        <w:rFonts w:hint="default"/>
      </w:rPr>
    </w:lvl>
  </w:abstractNum>
  <w:abstractNum w:abstractNumId="12" w15:restartNumberingAfterBreak="0">
    <w:nsid w:val="42C005C2"/>
    <w:multiLevelType w:val="hybridMultilevel"/>
    <w:tmpl w:val="2EAE579E"/>
    <w:lvl w:ilvl="0" w:tplc="C7E091E0">
      <w:start w:val="1"/>
      <w:numFmt w:val="bullet"/>
      <w:lvlText w:val="-"/>
      <w:lvlJc w:val="left"/>
      <w:pPr>
        <w:ind w:left="360" w:hanging="360"/>
      </w:pPr>
      <w:rPr>
        <w:rFonts w:ascii="Calibri" w:hAnsi="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numFmt w:val="bullet"/>
      <w:lvlText w:val="-"/>
      <w:lvlJc w:val="left"/>
      <w:pPr>
        <w:ind w:left="2520" w:hanging="360"/>
      </w:pPr>
      <w:rPr>
        <w:rFonts w:ascii="Calibri" w:eastAsiaTheme="minorEastAsia" w:hAnsi="Calibri" w:cs="Calibri" w:hint="default"/>
        <w:i/>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480F2C4B"/>
    <w:multiLevelType w:val="multilevel"/>
    <w:tmpl w:val="C0F29924"/>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
      <w:lvlJc w:val="left"/>
      <w:pPr>
        <w:ind w:left="1792" w:hanging="357"/>
      </w:pPr>
      <w:rPr>
        <w:rFonts w:ascii="Symbol" w:hAnsi="Symbol" w:hint="default"/>
      </w:rPr>
    </w:lvl>
    <w:lvl w:ilvl="5">
      <w:start w:val="1"/>
      <w:numFmt w:val="bullet"/>
      <w:lvlText w:val=""/>
      <w:lvlJc w:val="left"/>
      <w:pPr>
        <w:ind w:left="2149" w:hanging="357"/>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4" w15:restartNumberingAfterBreak="0">
    <w:nsid w:val="4D404FA8"/>
    <w:multiLevelType w:val="multilevel"/>
    <w:tmpl w:val="4B2AEF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CBF2513"/>
    <w:multiLevelType w:val="hybridMultilevel"/>
    <w:tmpl w:val="FD8A498C"/>
    <w:lvl w:ilvl="0" w:tplc="FA541E30">
      <w:start w:val="1"/>
      <w:numFmt w:val="bullet"/>
      <w:lvlText w:val=""/>
      <w:lvlJc w:val="left"/>
      <w:pPr>
        <w:ind w:left="360" w:hanging="360"/>
      </w:pPr>
      <w:rPr>
        <w:rFonts w:ascii="Symbol" w:hAnsi="Symbol" w:hint="default"/>
        <w:color w:val="000000" w:themeColor="text1"/>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454B45"/>
    <w:multiLevelType w:val="hybridMultilevel"/>
    <w:tmpl w:val="A5903578"/>
    <w:lvl w:ilvl="0" w:tplc="C8DC586A">
      <w:start w:val="1"/>
      <w:numFmt w:val="bullet"/>
      <w:lvlText w:val="o"/>
      <w:lvlJc w:val="left"/>
      <w:pPr>
        <w:ind w:left="720" w:hanging="360"/>
      </w:pPr>
      <w:rPr>
        <w:rFonts w:ascii="Courier New" w:hAnsi="Courier New" w:cs="Courier New" w:hint="default"/>
        <w:b w:val="0"/>
        <w:i w:val="0"/>
        <w:strike w:val="0"/>
        <w:color w:val="auto"/>
        <w:sz w:val="22"/>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89543720">
    <w:abstractNumId w:val="15"/>
  </w:num>
  <w:num w:numId="2" w16cid:durableId="730886385">
    <w:abstractNumId w:val="10"/>
  </w:num>
  <w:num w:numId="3" w16cid:durableId="137041739">
    <w:abstractNumId w:val="9"/>
  </w:num>
  <w:num w:numId="4" w16cid:durableId="1724984853">
    <w:abstractNumId w:val="3"/>
  </w:num>
  <w:num w:numId="5" w16cid:durableId="1510633869">
    <w:abstractNumId w:val="1"/>
  </w:num>
  <w:num w:numId="6" w16cid:durableId="664747358">
    <w:abstractNumId w:val="0"/>
  </w:num>
  <w:num w:numId="7" w16cid:durableId="1595943122">
    <w:abstractNumId w:val="11"/>
  </w:num>
  <w:num w:numId="8" w16cid:durableId="2048216384">
    <w:abstractNumId w:val="14"/>
  </w:num>
  <w:num w:numId="9" w16cid:durableId="628320279">
    <w:abstractNumId w:val="12"/>
  </w:num>
  <w:num w:numId="10" w16cid:durableId="796753231">
    <w:abstractNumId w:val="8"/>
  </w:num>
  <w:num w:numId="11" w16cid:durableId="1517453160">
    <w:abstractNumId w:val="6"/>
  </w:num>
  <w:num w:numId="12" w16cid:durableId="623928248">
    <w:abstractNumId w:val="13"/>
  </w:num>
  <w:num w:numId="13" w16cid:durableId="1269585255">
    <w:abstractNumId w:val="4"/>
  </w:num>
  <w:num w:numId="14" w16cid:durableId="332529877">
    <w:abstractNumId w:val="5"/>
  </w:num>
  <w:num w:numId="15" w16cid:durableId="2058815710">
    <w:abstractNumId w:val="2"/>
  </w:num>
  <w:num w:numId="16" w16cid:durableId="997344051">
    <w:abstractNumId w:val="7"/>
  </w:num>
  <w:num w:numId="17" w16cid:durableId="1389576422">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1BF"/>
    <w:rsid w:val="00000035"/>
    <w:rsid w:val="000072E8"/>
    <w:rsid w:val="00010803"/>
    <w:rsid w:val="00014A4C"/>
    <w:rsid w:val="0001621A"/>
    <w:rsid w:val="000602F2"/>
    <w:rsid w:val="000650EF"/>
    <w:rsid w:val="00074F5A"/>
    <w:rsid w:val="000B1665"/>
    <w:rsid w:val="000B30CF"/>
    <w:rsid w:val="000B45C2"/>
    <w:rsid w:val="000B4D2A"/>
    <w:rsid w:val="000C3A91"/>
    <w:rsid w:val="000F3F5C"/>
    <w:rsid w:val="000F4384"/>
    <w:rsid w:val="000F5C48"/>
    <w:rsid w:val="000F6D00"/>
    <w:rsid w:val="001055F2"/>
    <w:rsid w:val="001108C5"/>
    <w:rsid w:val="00111937"/>
    <w:rsid w:val="00112756"/>
    <w:rsid w:val="00115142"/>
    <w:rsid w:val="00120B9B"/>
    <w:rsid w:val="00124831"/>
    <w:rsid w:val="0013071D"/>
    <w:rsid w:val="001337FE"/>
    <w:rsid w:val="00150520"/>
    <w:rsid w:val="001640FC"/>
    <w:rsid w:val="00171E9C"/>
    <w:rsid w:val="001748DB"/>
    <w:rsid w:val="00174D13"/>
    <w:rsid w:val="0018267F"/>
    <w:rsid w:val="00185C52"/>
    <w:rsid w:val="001A4C14"/>
    <w:rsid w:val="001A723C"/>
    <w:rsid w:val="001C3451"/>
    <w:rsid w:val="001C5A16"/>
    <w:rsid w:val="001D1674"/>
    <w:rsid w:val="001D642A"/>
    <w:rsid w:val="001E4C0D"/>
    <w:rsid w:val="001E665C"/>
    <w:rsid w:val="001F2EBA"/>
    <w:rsid w:val="001F7298"/>
    <w:rsid w:val="001F79E0"/>
    <w:rsid w:val="0020074A"/>
    <w:rsid w:val="00206FDD"/>
    <w:rsid w:val="0020753A"/>
    <w:rsid w:val="002100BD"/>
    <w:rsid w:val="0022123B"/>
    <w:rsid w:val="002214D0"/>
    <w:rsid w:val="002252AF"/>
    <w:rsid w:val="0024461E"/>
    <w:rsid w:val="002506A0"/>
    <w:rsid w:val="00276775"/>
    <w:rsid w:val="00281A31"/>
    <w:rsid w:val="002A452F"/>
    <w:rsid w:val="002B3D14"/>
    <w:rsid w:val="002C5488"/>
    <w:rsid w:val="002C67EC"/>
    <w:rsid w:val="002D756C"/>
    <w:rsid w:val="003056C5"/>
    <w:rsid w:val="003110E5"/>
    <w:rsid w:val="00323B75"/>
    <w:rsid w:val="00336A04"/>
    <w:rsid w:val="00351823"/>
    <w:rsid w:val="00355F5A"/>
    <w:rsid w:val="00360C97"/>
    <w:rsid w:val="003641AF"/>
    <w:rsid w:val="00374D8A"/>
    <w:rsid w:val="00376354"/>
    <w:rsid w:val="00376BDC"/>
    <w:rsid w:val="00383BAF"/>
    <w:rsid w:val="003913BD"/>
    <w:rsid w:val="00397469"/>
    <w:rsid w:val="003A1EF7"/>
    <w:rsid w:val="003A7E16"/>
    <w:rsid w:val="003C7D40"/>
    <w:rsid w:val="003E070A"/>
    <w:rsid w:val="003F5E65"/>
    <w:rsid w:val="004061B3"/>
    <w:rsid w:val="004306D0"/>
    <w:rsid w:val="00432337"/>
    <w:rsid w:val="00435F37"/>
    <w:rsid w:val="004503DF"/>
    <w:rsid w:val="00453F97"/>
    <w:rsid w:val="00455E7E"/>
    <w:rsid w:val="00460A32"/>
    <w:rsid w:val="0049220B"/>
    <w:rsid w:val="00495A9C"/>
    <w:rsid w:val="004A25BB"/>
    <w:rsid w:val="004A4C9F"/>
    <w:rsid w:val="004B6AE2"/>
    <w:rsid w:val="004D3492"/>
    <w:rsid w:val="004E48B4"/>
    <w:rsid w:val="004F5872"/>
    <w:rsid w:val="005213E2"/>
    <w:rsid w:val="0052538C"/>
    <w:rsid w:val="00535834"/>
    <w:rsid w:val="00546860"/>
    <w:rsid w:val="00560AB2"/>
    <w:rsid w:val="005635B7"/>
    <w:rsid w:val="005736EE"/>
    <w:rsid w:val="00574DF9"/>
    <w:rsid w:val="00586367"/>
    <w:rsid w:val="005908CE"/>
    <w:rsid w:val="005A1F47"/>
    <w:rsid w:val="005C7147"/>
    <w:rsid w:val="005D3820"/>
    <w:rsid w:val="005E69F3"/>
    <w:rsid w:val="005F24FA"/>
    <w:rsid w:val="00601C2E"/>
    <w:rsid w:val="00606F86"/>
    <w:rsid w:val="00622442"/>
    <w:rsid w:val="00630D14"/>
    <w:rsid w:val="006337FD"/>
    <w:rsid w:val="0065655E"/>
    <w:rsid w:val="00673839"/>
    <w:rsid w:val="006745A0"/>
    <w:rsid w:val="00680320"/>
    <w:rsid w:val="006808A8"/>
    <w:rsid w:val="0068188D"/>
    <w:rsid w:val="00686093"/>
    <w:rsid w:val="006951BF"/>
    <w:rsid w:val="006975C4"/>
    <w:rsid w:val="006D37FB"/>
    <w:rsid w:val="006E5C58"/>
    <w:rsid w:val="006E66A1"/>
    <w:rsid w:val="006F4690"/>
    <w:rsid w:val="00704B36"/>
    <w:rsid w:val="00712BA5"/>
    <w:rsid w:val="007131BF"/>
    <w:rsid w:val="00732BA5"/>
    <w:rsid w:val="0074123D"/>
    <w:rsid w:val="00746B89"/>
    <w:rsid w:val="00746D19"/>
    <w:rsid w:val="00747DA2"/>
    <w:rsid w:val="00754595"/>
    <w:rsid w:val="0076480E"/>
    <w:rsid w:val="00764AA2"/>
    <w:rsid w:val="007651B7"/>
    <w:rsid w:val="0076694B"/>
    <w:rsid w:val="00794508"/>
    <w:rsid w:val="007A54E9"/>
    <w:rsid w:val="007B0BB8"/>
    <w:rsid w:val="007C231E"/>
    <w:rsid w:val="007D0169"/>
    <w:rsid w:val="007D26F0"/>
    <w:rsid w:val="007D603F"/>
    <w:rsid w:val="007D675A"/>
    <w:rsid w:val="007D73E1"/>
    <w:rsid w:val="00800A94"/>
    <w:rsid w:val="00802436"/>
    <w:rsid w:val="00805A4E"/>
    <w:rsid w:val="00807731"/>
    <w:rsid w:val="00807877"/>
    <w:rsid w:val="00807996"/>
    <w:rsid w:val="00823DFD"/>
    <w:rsid w:val="00852430"/>
    <w:rsid w:val="00853D86"/>
    <w:rsid w:val="0086198C"/>
    <w:rsid w:val="008625DF"/>
    <w:rsid w:val="00864DBE"/>
    <w:rsid w:val="0086576D"/>
    <w:rsid w:val="00871F75"/>
    <w:rsid w:val="00874F37"/>
    <w:rsid w:val="0088308F"/>
    <w:rsid w:val="00885E4B"/>
    <w:rsid w:val="008A7E3A"/>
    <w:rsid w:val="008B6C4D"/>
    <w:rsid w:val="008C14A1"/>
    <w:rsid w:val="008D4EA5"/>
    <w:rsid w:val="008E570F"/>
    <w:rsid w:val="008F08C0"/>
    <w:rsid w:val="00903E32"/>
    <w:rsid w:val="0090660E"/>
    <w:rsid w:val="00907BEA"/>
    <w:rsid w:val="00924226"/>
    <w:rsid w:val="00924B1C"/>
    <w:rsid w:val="00935AE6"/>
    <w:rsid w:val="009365C7"/>
    <w:rsid w:val="009465C7"/>
    <w:rsid w:val="00946B43"/>
    <w:rsid w:val="0095498B"/>
    <w:rsid w:val="0096774A"/>
    <w:rsid w:val="00997B8F"/>
    <w:rsid w:val="009A491D"/>
    <w:rsid w:val="009B47C4"/>
    <w:rsid w:val="009E3BA6"/>
    <w:rsid w:val="009F0E97"/>
    <w:rsid w:val="009F11A7"/>
    <w:rsid w:val="009F2AF5"/>
    <w:rsid w:val="009F571E"/>
    <w:rsid w:val="00A02BC1"/>
    <w:rsid w:val="00A11864"/>
    <w:rsid w:val="00A13203"/>
    <w:rsid w:val="00A15503"/>
    <w:rsid w:val="00A314F4"/>
    <w:rsid w:val="00A320EB"/>
    <w:rsid w:val="00A32E0B"/>
    <w:rsid w:val="00A4204D"/>
    <w:rsid w:val="00A43F90"/>
    <w:rsid w:val="00A44EA9"/>
    <w:rsid w:val="00A55D32"/>
    <w:rsid w:val="00A6597A"/>
    <w:rsid w:val="00A67941"/>
    <w:rsid w:val="00A71C04"/>
    <w:rsid w:val="00A723E9"/>
    <w:rsid w:val="00A77758"/>
    <w:rsid w:val="00A86DC2"/>
    <w:rsid w:val="00A943A7"/>
    <w:rsid w:val="00A95B98"/>
    <w:rsid w:val="00AA7B63"/>
    <w:rsid w:val="00AB2F6D"/>
    <w:rsid w:val="00AC410E"/>
    <w:rsid w:val="00AD661D"/>
    <w:rsid w:val="00AD7D8D"/>
    <w:rsid w:val="00AE24E8"/>
    <w:rsid w:val="00AE50DE"/>
    <w:rsid w:val="00AF2B56"/>
    <w:rsid w:val="00AF5A52"/>
    <w:rsid w:val="00AF76FF"/>
    <w:rsid w:val="00B11B5A"/>
    <w:rsid w:val="00B17BC5"/>
    <w:rsid w:val="00B567AB"/>
    <w:rsid w:val="00B63D81"/>
    <w:rsid w:val="00B952EB"/>
    <w:rsid w:val="00B95F75"/>
    <w:rsid w:val="00BA4D7F"/>
    <w:rsid w:val="00BB05A7"/>
    <w:rsid w:val="00BB580F"/>
    <w:rsid w:val="00BB6B16"/>
    <w:rsid w:val="00BC36D5"/>
    <w:rsid w:val="00BC3DBF"/>
    <w:rsid w:val="00BC5A20"/>
    <w:rsid w:val="00BD2792"/>
    <w:rsid w:val="00BD7CCE"/>
    <w:rsid w:val="00BF75C7"/>
    <w:rsid w:val="00C02DBC"/>
    <w:rsid w:val="00C04BB8"/>
    <w:rsid w:val="00C1724E"/>
    <w:rsid w:val="00C172F1"/>
    <w:rsid w:val="00C17A21"/>
    <w:rsid w:val="00C32ACE"/>
    <w:rsid w:val="00C32CAA"/>
    <w:rsid w:val="00C334A8"/>
    <w:rsid w:val="00C47A15"/>
    <w:rsid w:val="00C5524B"/>
    <w:rsid w:val="00C56CCE"/>
    <w:rsid w:val="00C64978"/>
    <w:rsid w:val="00C70734"/>
    <w:rsid w:val="00C7384F"/>
    <w:rsid w:val="00C82D62"/>
    <w:rsid w:val="00C82E15"/>
    <w:rsid w:val="00C90C85"/>
    <w:rsid w:val="00C9451B"/>
    <w:rsid w:val="00C97203"/>
    <w:rsid w:val="00CA0985"/>
    <w:rsid w:val="00CA2E68"/>
    <w:rsid w:val="00CB6220"/>
    <w:rsid w:val="00CC4390"/>
    <w:rsid w:val="00CD20D3"/>
    <w:rsid w:val="00CD61C7"/>
    <w:rsid w:val="00CE0DC6"/>
    <w:rsid w:val="00CF3EA7"/>
    <w:rsid w:val="00CF5443"/>
    <w:rsid w:val="00D10027"/>
    <w:rsid w:val="00D115BF"/>
    <w:rsid w:val="00D12368"/>
    <w:rsid w:val="00D12D3E"/>
    <w:rsid w:val="00D13B34"/>
    <w:rsid w:val="00D14D06"/>
    <w:rsid w:val="00D16D4D"/>
    <w:rsid w:val="00D33EFB"/>
    <w:rsid w:val="00D3728D"/>
    <w:rsid w:val="00D4169A"/>
    <w:rsid w:val="00D427D8"/>
    <w:rsid w:val="00D5170F"/>
    <w:rsid w:val="00D55038"/>
    <w:rsid w:val="00D55D2E"/>
    <w:rsid w:val="00D77112"/>
    <w:rsid w:val="00D802FA"/>
    <w:rsid w:val="00D83888"/>
    <w:rsid w:val="00D846D7"/>
    <w:rsid w:val="00D86A31"/>
    <w:rsid w:val="00D92E3B"/>
    <w:rsid w:val="00DC0DC4"/>
    <w:rsid w:val="00DE292C"/>
    <w:rsid w:val="00DE55E0"/>
    <w:rsid w:val="00E07415"/>
    <w:rsid w:val="00E10C94"/>
    <w:rsid w:val="00E12814"/>
    <w:rsid w:val="00E24BD0"/>
    <w:rsid w:val="00E277C2"/>
    <w:rsid w:val="00E541CA"/>
    <w:rsid w:val="00E54536"/>
    <w:rsid w:val="00E57AC0"/>
    <w:rsid w:val="00E649F9"/>
    <w:rsid w:val="00E805B1"/>
    <w:rsid w:val="00E8571A"/>
    <w:rsid w:val="00E922D7"/>
    <w:rsid w:val="00EA2878"/>
    <w:rsid w:val="00ED2D97"/>
    <w:rsid w:val="00EF0987"/>
    <w:rsid w:val="00EF6DB3"/>
    <w:rsid w:val="00F15278"/>
    <w:rsid w:val="00F430F7"/>
    <w:rsid w:val="00F44383"/>
    <w:rsid w:val="00F471F7"/>
    <w:rsid w:val="00F5242D"/>
    <w:rsid w:val="00F53CB5"/>
    <w:rsid w:val="00F54A17"/>
    <w:rsid w:val="00F54E79"/>
    <w:rsid w:val="00F54F46"/>
    <w:rsid w:val="00F63C68"/>
    <w:rsid w:val="00F660AB"/>
    <w:rsid w:val="00F81A7E"/>
    <w:rsid w:val="00F83976"/>
    <w:rsid w:val="00FA3950"/>
    <w:rsid w:val="00FB3A10"/>
    <w:rsid w:val="00FD2429"/>
    <w:rsid w:val="00FD4A1E"/>
    <w:rsid w:val="00FE52AE"/>
  </w:rsids>
  <m:mathPr>
    <m:mathFont m:val="Cambria Math"/>
    <m:brkBin m:val="before"/>
    <m:brkBinSub m:val="--"/>
    <m:smallFrac m:val="0"/>
    <m:dispDef/>
    <m:lMargin m:val="0"/>
    <m:rMargin m:val="0"/>
    <m:defJc m:val="centerGroup"/>
    <m:wrapIndent m:val="1440"/>
    <m:intLim m:val="subSup"/>
    <m:naryLim m:val="undOvr"/>
  </m:mathPr>
  <w:themeFontLang w:val="en-AU" w:eastAsia="zh-CN" w:bidi="p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33DDA"/>
  <w15:chartTrackingRefBased/>
  <w15:docId w15:val="{D59E24F4-FB99-4CCC-96B9-4F1AE50A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80F"/>
  </w:style>
  <w:style w:type="paragraph" w:styleId="Heading1">
    <w:name w:val="heading 1"/>
    <w:basedOn w:val="Normal"/>
    <w:next w:val="Normal"/>
    <w:link w:val="Heading1Char"/>
    <w:uiPriority w:val="9"/>
    <w:qFormat/>
    <w:rsid w:val="00924226"/>
    <w:pPr>
      <w:keepNext/>
      <w:keepLines/>
      <w:numPr>
        <w:numId w:val="3"/>
      </w:numPr>
      <w:spacing w:before="240" w:after="0" w:line="259" w:lineRule="auto"/>
      <w:outlineLvl w:val="0"/>
    </w:pPr>
    <w:rPr>
      <w:rFonts w:asciiTheme="majorHAnsi" w:eastAsiaTheme="majorEastAsia" w:hAnsiTheme="majorHAnsi" w:cstheme="majorBidi"/>
      <w:color w:val="410B68" w:themeColor="accent1" w:themeShade="BF"/>
      <w:sz w:val="32"/>
      <w:szCs w:val="32"/>
    </w:rPr>
  </w:style>
  <w:style w:type="paragraph" w:styleId="Heading3">
    <w:name w:val="heading 3"/>
    <w:basedOn w:val="Normal"/>
    <w:next w:val="Normal"/>
    <w:link w:val="Heading3Char"/>
    <w:uiPriority w:val="9"/>
    <w:unhideWhenUsed/>
    <w:qFormat/>
    <w:rsid w:val="001C5A16"/>
    <w:pPr>
      <w:spacing w:before="240" w:after="60" w:line="264" w:lineRule="auto"/>
      <w:outlineLvl w:val="2"/>
    </w:pPr>
    <w:rPr>
      <w:rFonts w:ascii="Calibri" w:eastAsiaTheme="minorEastAsia" w:hAnsi="Calibri" w:cs="Times New Roman"/>
      <w:b/>
      <w:bCs/>
      <w:color w:val="595959" w:themeColor="text1" w:themeTint="A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31BF"/>
    <w:rPr>
      <w:color w:val="580F8B" w:themeColor="hyperlink"/>
      <w:u w:val="single"/>
    </w:rPr>
  </w:style>
  <w:style w:type="table" w:styleId="TableGrid">
    <w:name w:val="Table Grid"/>
    <w:basedOn w:val="TableNormal"/>
    <w:uiPriority w:val="39"/>
    <w:rsid w:val="0071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365C7"/>
    <w:pPr>
      <w:ind w:left="720"/>
      <w:contextualSpacing/>
    </w:pPr>
  </w:style>
  <w:style w:type="paragraph" w:customStyle="1" w:styleId="Default">
    <w:name w:val="Default"/>
    <w:rsid w:val="00E8571A"/>
    <w:pPr>
      <w:autoSpaceDE w:val="0"/>
      <w:autoSpaceDN w:val="0"/>
      <w:adjustRightInd w:val="0"/>
      <w:spacing w:after="0" w:line="240" w:lineRule="auto"/>
    </w:pPr>
    <w:rPr>
      <w:rFonts w:ascii="Calibri" w:hAnsi="Calibri" w:cs="Calibri"/>
      <w:color w:val="000000"/>
      <w:sz w:val="24"/>
      <w:szCs w:val="24"/>
    </w:rPr>
  </w:style>
  <w:style w:type="table" w:styleId="LightList-Accent4">
    <w:name w:val="Light List Accent 4"/>
    <w:aliases w:val="Syllabus tables"/>
    <w:basedOn w:val="TableNormal"/>
    <w:uiPriority w:val="61"/>
    <w:rsid w:val="00AE24E8"/>
    <w:pPr>
      <w:spacing w:after="0" w:line="240" w:lineRule="auto"/>
    </w:pPr>
    <w:rPr>
      <w:rFonts w:ascii="Arial" w:eastAsiaTheme="minorEastAsia"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1">
    <w:name w:val="Table Grid1"/>
    <w:basedOn w:val="TableNormal"/>
    <w:next w:val="TableGrid"/>
    <w:uiPriority w:val="59"/>
    <w:rsid w:val="00DE5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31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21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355F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1C5A16"/>
    <w:rPr>
      <w:rFonts w:ascii="Calibri" w:eastAsiaTheme="minorEastAsia" w:hAnsi="Calibri" w:cs="Times New Roman"/>
      <w:b/>
      <w:bCs/>
      <w:color w:val="595959" w:themeColor="text1" w:themeTint="A6"/>
      <w:sz w:val="26"/>
      <w:szCs w:val="26"/>
    </w:rPr>
  </w:style>
  <w:style w:type="table" w:customStyle="1" w:styleId="TableGrid5">
    <w:name w:val="Table Grid5"/>
    <w:basedOn w:val="TableNormal"/>
    <w:next w:val="TableGrid"/>
    <w:uiPriority w:val="59"/>
    <w:rsid w:val="001C5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yllabustables1">
    <w:name w:val="Syllabus tables1"/>
    <w:basedOn w:val="TableNormal"/>
    <w:next w:val="LightList-Accent4"/>
    <w:uiPriority w:val="61"/>
    <w:rsid w:val="001C5A16"/>
    <w:pPr>
      <w:spacing w:after="0" w:line="240" w:lineRule="auto"/>
    </w:pPr>
    <w:rPr>
      <w:rFonts w:ascii="Arial" w:eastAsiaTheme="minorEastAsia" w:hAnsi="Arial"/>
      <w:sz w:val="18"/>
    </w:rPr>
    <w:tblPr>
      <w:tblStyleRowBandSize w:val="1"/>
      <w:tblStyleColBandSize w:val="1"/>
      <w:tblBorders>
        <w:top w:val="single" w:sz="8" w:space="0" w:color="BC9FD1" w:themeColor="accent4"/>
        <w:left w:val="single" w:sz="8" w:space="0" w:color="BC9FD1" w:themeColor="accent4"/>
        <w:bottom w:val="single" w:sz="8" w:space="0" w:color="BC9FD1" w:themeColor="accent4"/>
        <w:right w:val="single" w:sz="8" w:space="0" w:color="BC9FD1" w:themeColor="accent4"/>
      </w:tblBorders>
    </w:tblPr>
    <w:tblStylePr w:type="firstRow">
      <w:pPr>
        <w:wordWrap/>
        <w:spacing w:beforeLines="0" w:before="40" w:beforeAutospacing="0" w:afterLines="0" w:after="40" w:afterAutospacing="0" w:line="240" w:lineRule="auto"/>
        <w:jc w:val="left"/>
      </w:pPr>
      <w:rPr>
        <w:rFonts w:ascii="Arial" w:hAnsi="Arial"/>
        <w:b/>
        <w:bCs/>
        <w:color w:val="FFFFFF" w:themeColor="background1"/>
        <w:sz w:val="20"/>
      </w:rPr>
      <w:tblPr/>
      <w:tcPr>
        <w:shd w:val="clear" w:color="auto" w:fill="BC9FD1" w:themeFill="accent4"/>
        <w:vAlign w:val="center"/>
      </w:tcPr>
    </w:tblStylePr>
    <w:tblStylePr w:type="lastRow">
      <w:pPr>
        <w:wordWrap/>
        <w:spacing w:beforeLines="0" w:before="40" w:beforeAutospacing="0" w:afterLines="0" w:after="40" w:afterAutospacing="0" w:line="240" w:lineRule="auto"/>
        <w:jc w:val="left"/>
      </w:pPr>
      <w:rPr>
        <w:rFonts w:ascii="Arial" w:hAnsi="Arial"/>
        <w:b/>
        <w:bCs/>
        <w:sz w:val="20"/>
      </w:rPr>
      <w:tblPr/>
      <w:tcPr>
        <w:tcBorders>
          <w:top w:val="double" w:sz="6" w:space="0" w:color="BC9FD1" w:themeColor="accent4"/>
          <w:left w:val="single" w:sz="8" w:space="0" w:color="BC9FD1" w:themeColor="accent4"/>
          <w:bottom w:val="single" w:sz="8" w:space="0" w:color="BC9FD1" w:themeColor="accent4"/>
          <w:right w:val="single" w:sz="8" w:space="0" w:color="BC9FD1" w:themeColor="accent4"/>
        </w:tcBorders>
      </w:tcPr>
    </w:tblStylePr>
    <w:tblStylePr w:type="firstCol">
      <w:pPr>
        <w:wordWrap/>
        <w:spacing w:beforeLines="0" w:before="40" w:beforeAutospacing="0" w:afterLines="0" w:after="40" w:afterAutospacing="0" w:line="240" w:lineRule="auto"/>
        <w:jc w:val="center"/>
      </w:pPr>
      <w:rPr>
        <w:rFonts w:ascii="Arial" w:hAnsi="Arial"/>
        <w:b/>
        <w:bCs/>
        <w:sz w:val="18"/>
      </w:rPr>
      <w:tblPr/>
      <w:tcPr>
        <w:vAlign w:val="center"/>
      </w:tcPr>
    </w:tblStylePr>
    <w:tblStylePr w:type="lastCol">
      <w:pPr>
        <w:wordWrap/>
        <w:spacing w:beforeLines="0" w:before="40" w:beforeAutospacing="0" w:afterLines="0" w:after="40" w:afterAutospacing="0" w:line="240" w:lineRule="auto"/>
        <w:jc w:val="center"/>
      </w:pPr>
      <w:rPr>
        <w:rFonts w:ascii="Arial" w:hAnsi="Arial"/>
        <w:b/>
        <w:bCs/>
        <w:sz w:val="20"/>
      </w:rPr>
      <w:tblPr/>
      <w:tcPr>
        <w:vAlign w:val="center"/>
      </w:tcPr>
    </w:tblStylePr>
    <w:tblStylePr w:type="band1Vert">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Vert">
      <w:pPr>
        <w:wordWrap/>
        <w:spacing w:beforeLines="0" w:before="40" w:beforeAutospacing="0" w:afterLines="0" w:after="40" w:afterAutospacing="0" w:line="240" w:lineRule="auto"/>
        <w:jc w:val="left"/>
      </w:pPr>
    </w:tblStylePr>
    <w:tblStylePr w:type="band1Horz">
      <w:pPr>
        <w:wordWrap/>
        <w:spacing w:beforeLines="0" w:before="40" w:beforeAutospacing="0" w:afterLines="0" w:after="40" w:afterAutospacing="0" w:line="240" w:lineRule="auto"/>
        <w:jc w:val="left"/>
      </w:pPr>
      <w:tblPr/>
      <w:tcPr>
        <w:tcBorders>
          <w:top w:val="single" w:sz="8" w:space="0" w:color="BC9FD1" w:themeColor="accent4"/>
          <w:left w:val="single" w:sz="8" w:space="0" w:color="BC9FD1" w:themeColor="accent4"/>
          <w:bottom w:val="single" w:sz="8" w:space="0" w:color="BC9FD1" w:themeColor="accent4"/>
          <w:right w:val="single" w:sz="8" w:space="0" w:color="BC9FD1" w:themeColor="accent4"/>
        </w:tcBorders>
      </w:tcPr>
    </w:tblStylePr>
    <w:tblStylePr w:type="band2Horz">
      <w:pPr>
        <w:wordWrap/>
        <w:spacing w:beforeLines="0" w:before="40" w:beforeAutospacing="0" w:afterLines="0" w:after="40" w:afterAutospacing="0" w:line="240" w:lineRule="auto"/>
        <w:jc w:val="left"/>
      </w:pPr>
    </w:tblStylePr>
  </w:style>
  <w:style w:type="table" w:customStyle="1" w:styleId="TableGrid6">
    <w:name w:val="Table Grid6"/>
    <w:basedOn w:val="TableNormal"/>
    <w:next w:val="TableGrid"/>
    <w:uiPriority w:val="59"/>
    <w:rsid w:val="008B6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24B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10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Bullets">
    <w:name w:val="ListBullets"/>
    <w:uiPriority w:val="99"/>
    <w:rsid w:val="003913BD"/>
    <w:pPr>
      <w:numPr>
        <w:numId w:val="2"/>
      </w:numPr>
    </w:pPr>
  </w:style>
  <w:style w:type="table" w:customStyle="1" w:styleId="TableGrid9">
    <w:name w:val="Table Grid9"/>
    <w:basedOn w:val="TableNormal"/>
    <w:next w:val="TableGrid"/>
    <w:uiPriority w:val="39"/>
    <w:rsid w:val="003C7D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07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24226"/>
    <w:rPr>
      <w:rFonts w:asciiTheme="majorHAnsi" w:eastAsiaTheme="majorEastAsia" w:hAnsiTheme="majorHAnsi" w:cstheme="majorBidi"/>
      <w:color w:val="410B68" w:themeColor="accent1" w:themeShade="BF"/>
      <w:sz w:val="32"/>
      <w:szCs w:val="32"/>
    </w:rPr>
  </w:style>
  <w:style w:type="paragraph" w:styleId="Header">
    <w:name w:val="header"/>
    <w:basedOn w:val="Normal"/>
    <w:link w:val="HeaderChar"/>
    <w:uiPriority w:val="99"/>
    <w:unhideWhenUsed/>
    <w:rsid w:val="00C17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2F1"/>
  </w:style>
  <w:style w:type="paragraph" w:styleId="Footer">
    <w:name w:val="footer"/>
    <w:basedOn w:val="Normal"/>
    <w:link w:val="FooterChar"/>
    <w:uiPriority w:val="99"/>
    <w:unhideWhenUsed/>
    <w:rsid w:val="00C17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2F1"/>
  </w:style>
  <w:style w:type="paragraph" w:styleId="BalloonText">
    <w:name w:val="Balloon Text"/>
    <w:basedOn w:val="Normal"/>
    <w:link w:val="BalloonTextChar"/>
    <w:uiPriority w:val="99"/>
    <w:semiHidden/>
    <w:unhideWhenUsed/>
    <w:rsid w:val="001A4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C14"/>
    <w:rPr>
      <w:rFonts w:ascii="Segoe UI" w:hAnsi="Segoe UI" w:cs="Segoe UI"/>
      <w:sz w:val="18"/>
      <w:szCs w:val="18"/>
    </w:rPr>
  </w:style>
  <w:style w:type="numbering" w:customStyle="1" w:styleId="EngBulletsList">
    <w:name w:val="EngBulletsList"/>
    <w:uiPriority w:val="99"/>
    <w:rsid w:val="00F471F7"/>
    <w:pPr>
      <w:numPr>
        <w:numId w:val="7"/>
      </w:numPr>
    </w:pPr>
  </w:style>
  <w:style w:type="character" w:styleId="CommentReference">
    <w:name w:val="annotation reference"/>
    <w:basedOn w:val="DefaultParagraphFont"/>
    <w:uiPriority w:val="99"/>
    <w:semiHidden/>
    <w:unhideWhenUsed/>
    <w:rsid w:val="00A320EB"/>
    <w:rPr>
      <w:sz w:val="16"/>
      <w:szCs w:val="16"/>
    </w:rPr>
  </w:style>
  <w:style w:type="paragraph" w:styleId="CommentText">
    <w:name w:val="annotation text"/>
    <w:basedOn w:val="Normal"/>
    <w:link w:val="CommentTextChar"/>
    <w:uiPriority w:val="99"/>
    <w:unhideWhenUsed/>
    <w:rsid w:val="00A320EB"/>
    <w:pPr>
      <w:spacing w:line="240" w:lineRule="auto"/>
    </w:pPr>
    <w:rPr>
      <w:rFonts w:ascii="Calibri" w:eastAsiaTheme="minorEastAsia" w:hAnsi="Calibri"/>
      <w:sz w:val="20"/>
      <w:szCs w:val="20"/>
    </w:rPr>
  </w:style>
  <w:style w:type="character" w:customStyle="1" w:styleId="CommentTextChar">
    <w:name w:val="Comment Text Char"/>
    <w:basedOn w:val="DefaultParagraphFont"/>
    <w:link w:val="CommentText"/>
    <w:uiPriority w:val="99"/>
    <w:rsid w:val="00A320EB"/>
    <w:rPr>
      <w:rFonts w:ascii="Calibri" w:eastAsiaTheme="minorEastAsia" w:hAnsi="Calibri"/>
      <w:sz w:val="20"/>
      <w:szCs w:val="20"/>
    </w:rPr>
  </w:style>
  <w:style w:type="numbering" w:customStyle="1" w:styleId="SCSABulletList">
    <w:name w:val="SCSA Bullet List"/>
    <w:uiPriority w:val="99"/>
    <w:rsid w:val="005A1F47"/>
    <w:pPr>
      <w:numPr>
        <w:numId w:val="11"/>
      </w:numPr>
    </w:pPr>
  </w:style>
  <w:style w:type="paragraph" w:styleId="Revision">
    <w:name w:val="Revision"/>
    <w:hidden/>
    <w:uiPriority w:val="99"/>
    <w:semiHidden/>
    <w:rsid w:val="00BC3DBF"/>
    <w:pPr>
      <w:spacing w:after="0" w:line="240" w:lineRule="auto"/>
    </w:pPr>
  </w:style>
  <w:style w:type="paragraph" w:styleId="CommentSubject">
    <w:name w:val="annotation subject"/>
    <w:basedOn w:val="CommentText"/>
    <w:next w:val="CommentText"/>
    <w:link w:val="CommentSubjectChar"/>
    <w:uiPriority w:val="99"/>
    <w:semiHidden/>
    <w:unhideWhenUsed/>
    <w:rsid w:val="00C70734"/>
    <w:rPr>
      <w:rFonts w:asciiTheme="minorHAnsi" w:eastAsiaTheme="minorHAnsi" w:hAnsiTheme="minorHAnsi"/>
      <w:b/>
      <w:bCs/>
    </w:rPr>
  </w:style>
  <w:style w:type="character" w:customStyle="1" w:styleId="CommentSubjectChar">
    <w:name w:val="Comment Subject Char"/>
    <w:basedOn w:val="CommentTextChar"/>
    <w:link w:val="CommentSubject"/>
    <w:uiPriority w:val="99"/>
    <w:semiHidden/>
    <w:rsid w:val="00C70734"/>
    <w:rPr>
      <w:rFonts w:ascii="Calibri" w:eastAsiaTheme="minorEastAsia" w:hAnsi="Calibri"/>
      <w:b/>
      <w:bCs/>
      <w:sz w:val="20"/>
      <w:szCs w:val="20"/>
    </w:rPr>
  </w:style>
  <w:style w:type="character" w:customStyle="1" w:styleId="ListParagraphChar">
    <w:name w:val="List Paragraph Char"/>
    <w:basedOn w:val="DefaultParagraphFont"/>
    <w:link w:val="ListParagraph"/>
    <w:uiPriority w:val="34"/>
    <w:qFormat/>
    <w:locked/>
    <w:rsid w:val="00D37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261</Words>
  <Characters>1541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Jenna Khor</cp:lastModifiedBy>
  <cp:revision>20</cp:revision>
  <cp:lastPrinted>2026-07-31T03:52:00Z</cp:lastPrinted>
  <dcterms:created xsi:type="dcterms:W3CDTF">2026-05-26T07:02:00Z</dcterms:created>
  <dcterms:modified xsi:type="dcterms:W3CDTF">2026-07-31T03:52:00Z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17ba55bd40fab149d46a98a20eb39debd064c1b636ab9c79c78dfc95822281fd</vt:lpwstr>
  </property>
  <property fmtid="{D5CDD505-2E9C-101B-9397-08002B2CF9AE}" pid="3" name="ClassificationContentMarkingHeaderShapeIds">
    <vt:lpwstr>2cf08d38,50e65572,4dc6e66b</vt:lpwstr>
  </property>
  <property fmtid="{D5CDD505-2E9C-101B-9397-08002B2CF9AE}" pid="4" name="ClassificationContentMarkingHeaderFontProps">
    <vt:lpwstr>#000000,10,Aptos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2026-07-22T06:45:21Z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7df5f0dd-8664-41c0-995e-ff840558e30d</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