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DE62" w14:textId="3D00536C" w:rsidR="00E07415" w:rsidRDefault="004B62FD" w:rsidP="004B62FD">
      <w:pPr>
        <w:spacing w:after="120"/>
        <w:rPr>
          <w:b/>
        </w:rPr>
      </w:pPr>
      <w:r>
        <w:rPr>
          <w:b/>
        </w:rPr>
        <w:t>Politics and Law</w:t>
      </w:r>
      <w:r w:rsidRPr="004B62FD">
        <w:rPr>
          <w:b/>
        </w:rPr>
        <w:t xml:space="preserve"> | ATAR Year 12 | Summary of minor syllabus changes for 2024</w:t>
      </w:r>
    </w:p>
    <w:p w14:paraId="370A6F2A" w14:textId="59B7E688" w:rsidR="004B62FD" w:rsidRPr="004B62FD" w:rsidRDefault="004B62FD" w:rsidP="004B62FD">
      <w:pPr>
        <w:spacing w:after="120" w:line="240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by </w:t>
      </w:r>
      <w:r w:rsidRPr="00D7125B">
        <w:rPr>
          <w:rFonts w:cstheme="minorHAnsi"/>
          <w:strike/>
        </w:rPr>
        <w:t>strikethrough</w:t>
      </w:r>
      <w:r w:rsidRPr="00D7125B">
        <w:rPr>
          <w:rFonts w:cstheme="minorHAnsi"/>
        </w:rPr>
        <w:t xml:space="preserve"> has been deleted from the syllabus and 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 w:rsidRPr="00D7125B">
        <w:rPr>
          <w:rFonts w:eastAsia="Times New Roman" w:cstheme="minorHAnsi"/>
          <w:lang w:eastAsia="en-AU"/>
        </w:rPr>
        <w:t>:</w:t>
      </w:r>
    </w:p>
    <w:p w14:paraId="2657807E" w14:textId="77777777" w:rsidR="004B62FD" w:rsidRPr="00D7125B" w:rsidRDefault="004B62FD" w:rsidP="004B62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D7125B">
        <w:rPr>
          <w:rFonts w:eastAsia="Times New Roman" w:cstheme="minorHAnsi"/>
          <w:b/>
          <w:lang w:eastAsia="en-AU"/>
        </w:rPr>
        <w:t>Unit 3</w:t>
      </w:r>
    </w:p>
    <w:p w14:paraId="05E91A46" w14:textId="77777777" w:rsidR="004B62FD" w:rsidRPr="00C26FD4" w:rsidRDefault="004B62FD" w:rsidP="004B62FD">
      <w:pPr>
        <w:pStyle w:val="ListItem"/>
        <w:numPr>
          <w:ilvl w:val="0"/>
          <w:numId w:val="29"/>
        </w:numPr>
        <w:spacing w:before="0"/>
      </w:pPr>
      <w:r w:rsidRPr="00AC29BC">
        <w:rPr>
          <w:iCs w:val="0"/>
        </w:rPr>
        <w:t>chan</w:t>
      </w:r>
      <w:r w:rsidRPr="00C26FD4">
        <w:t xml:space="preserve">ge in the balance of power since federation, </w:t>
      </w:r>
      <w:r>
        <w:t>with reference to</w:t>
      </w:r>
    </w:p>
    <w:p w14:paraId="5AA1A141" w14:textId="77777777" w:rsidR="004B62FD" w:rsidRPr="00C26FD4" w:rsidRDefault="004B62FD" w:rsidP="004B62FD">
      <w:pPr>
        <w:pStyle w:val="ListBullet"/>
        <w:numPr>
          <w:ilvl w:val="0"/>
          <w:numId w:val="28"/>
        </w:numPr>
        <w:ind w:left="993" w:hanging="284"/>
      </w:pPr>
      <w:r w:rsidRPr="00C26FD4">
        <w:t>financial powers</w:t>
      </w:r>
      <w:r>
        <w:t>,</w:t>
      </w:r>
      <w:r w:rsidRPr="00C26FD4">
        <w:t xml:space="preserve"> including vertical fiscal imbalance and horizontal fiscal equa</w:t>
      </w:r>
      <w:r>
        <w:t>lisation, the Grants Commission</w:t>
      </w:r>
    </w:p>
    <w:p w14:paraId="05B432CD" w14:textId="77777777" w:rsidR="004B62FD" w:rsidRPr="00C26FD4" w:rsidRDefault="004B62FD" w:rsidP="004B62FD">
      <w:pPr>
        <w:pStyle w:val="ListBullet"/>
        <w:numPr>
          <w:ilvl w:val="0"/>
          <w:numId w:val="28"/>
        </w:numPr>
        <w:ind w:left="993" w:hanging="284"/>
      </w:pPr>
      <w:r w:rsidRPr="00C26FD4">
        <w:t>referral of powers</w:t>
      </w:r>
      <w:r>
        <w:t xml:space="preserve"> </w:t>
      </w:r>
      <w:r w:rsidRPr="00C26FD4">
        <w:t>Section 51(xxxvii)</w:t>
      </w:r>
    </w:p>
    <w:p w14:paraId="6D0DA36F" w14:textId="77777777" w:rsidR="004B62FD" w:rsidRPr="00C704D8" w:rsidRDefault="004B62FD" w:rsidP="004B62FD">
      <w:pPr>
        <w:pStyle w:val="ListBullet"/>
        <w:numPr>
          <w:ilvl w:val="0"/>
          <w:numId w:val="28"/>
        </w:numPr>
        <w:ind w:left="993" w:hanging="284"/>
        <w:rPr>
          <w:strike/>
        </w:rPr>
      </w:pPr>
      <w:r w:rsidRPr="00C704D8">
        <w:rPr>
          <w:strike/>
        </w:rPr>
        <w:t>the Council of Australian Governments (COAG)</w:t>
      </w:r>
    </w:p>
    <w:p w14:paraId="3F43C5AC" w14:textId="77777777" w:rsidR="004B62FD" w:rsidRPr="00C704D8" w:rsidRDefault="004B62FD" w:rsidP="004B62FD">
      <w:pPr>
        <w:pStyle w:val="ListBullet"/>
        <w:numPr>
          <w:ilvl w:val="0"/>
          <w:numId w:val="28"/>
        </w:numPr>
        <w:ind w:left="993" w:hanging="284"/>
        <w:rPr>
          <w:strike/>
        </w:rPr>
      </w:pPr>
      <w:r w:rsidRPr="00C704D8">
        <w:rPr>
          <w:strike/>
        </w:rPr>
        <w:t>National Federation Reform Council (NFRC) and the National Cabinet (replaced COAG June 2020)</w:t>
      </w:r>
    </w:p>
    <w:p w14:paraId="26032423" w14:textId="416C4554" w:rsidR="004B62FD" w:rsidRPr="00C704D8" w:rsidRDefault="004B62FD" w:rsidP="004B62FD">
      <w:pPr>
        <w:pStyle w:val="ListBullet"/>
        <w:numPr>
          <w:ilvl w:val="0"/>
          <w:numId w:val="28"/>
        </w:numPr>
        <w:ind w:left="993" w:hanging="284"/>
        <w:rPr>
          <w:i/>
          <w:iCs/>
        </w:rPr>
      </w:pPr>
      <w:r w:rsidRPr="00C704D8">
        <w:rPr>
          <w:i/>
          <w:iCs/>
        </w:rPr>
        <w:t xml:space="preserve">intergovernmental relations through the Council of Australian Governments (COAG, 1992 to 2020) replaced by National Cabinet (2020 to present) with Ministerial Councils (2022 to present) reporting to </w:t>
      </w:r>
      <w:proofErr w:type="gramStart"/>
      <w:r w:rsidRPr="00C704D8">
        <w:rPr>
          <w:i/>
          <w:iCs/>
        </w:rPr>
        <w:t>it</w:t>
      </w:r>
      <w:proofErr w:type="gramEnd"/>
      <w:r w:rsidRPr="00C704D8">
        <w:rPr>
          <w:i/>
          <w:iCs/>
        </w:rPr>
        <w:t xml:space="preserve"> </w:t>
      </w:r>
    </w:p>
    <w:p w14:paraId="618E2595" w14:textId="77777777" w:rsidR="004B62FD" w:rsidRPr="00C26FD4" w:rsidRDefault="004B62FD" w:rsidP="004B62FD">
      <w:pPr>
        <w:pStyle w:val="ListBullet"/>
        <w:numPr>
          <w:ilvl w:val="0"/>
          <w:numId w:val="28"/>
        </w:numPr>
        <w:ind w:left="993" w:hanging="284"/>
      </w:pPr>
      <w:r w:rsidRPr="00C26FD4">
        <w:t>co-operative federalism as</w:t>
      </w:r>
      <w:r>
        <w:t xml:space="preserve"> opposed to coercive </w:t>
      </w:r>
      <w:proofErr w:type="gramStart"/>
      <w:r>
        <w:t>federalism</w:t>
      </w:r>
      <w:proofErr w:type="gramEnd"/>
    </w:p>
    <w:p w14:paraId="4D739C30" w14:textId="2715ED4E" w:rsidR="00712BA5" w:rsidRDefault="004B62FD" w:rsidP="004B62FD">
      <w:pPr>
        <w:pStyle w:val="ListBullet"/>
        <w:numPr>
          <w:ilvl w:val="0"/>
          <w:numId w:val="28"/>
        </w:numPr>
        <w:ind w:left="993" w:hanging="284"/>
      </w:pPr>
      <w:r w:rsidRPr="00C26FD4">
        <w:t xml:space="preserve">High Court of Australia constitutional interpretation, </w:t>
      </w:r>
      <w:r>
        <w:t xml:space="preserve">including </w:t>
      </w:r>
      <w:r w:rsidRPr="00C26FD4">
        <w:t>external affairs power</w:t>
      </w:r>
      <w:r>
        <w:t xml:space="preserve"> Section 51</w:t>
      </w:r>
      <w:r w:rsidRPr="00C26FD4">
        <w:t>(xxix), corporations power Section 51(xx)</w:t>
      </w:r>
      <w:r>
        <w:t>, and taxation powers</w:t>
      </w:r>
    </w:p>
    <w:sectPr w:rsidR="00712BA5" w:rsidSect="006A16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04BA" w14:textId="77777777" w:rsidR="00B37B2D" w:rsidRDefault="00B37B2D" w:rsidP="0052202C">
      <w:pPr>
        <w:spacing w:after="0" w:line="240" w:lineRule="auto"/>
      </w:pPr>
      <w:r>
        <w:separator/>
      </w:r>
    </w:p>
  </w:endnote>
  <w:endnote w:type="continuationSeparator" w:id="0">
    <w:p w14:paraId="783953AC" w14:textId="77777777" w:rsidR="00B37B2D" w:rsidRDefault="00B37B2D" w:rsidP="0052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7AD" w14:textId="77777777" w:rsidR="0052202C" w:rsidRPr="006A1623" w:rsidRDefault="0052202C">
    <w:pPr>
      <w:pStyle w:val="Footer"/>
      <w:rPr>
        <w:rFonts w:cstheme="minorHAnsi"/>
        <w:sz w:val="18"/>
      </w:rPr>
    </w:pPr>
    <w:r w:rsidRPr="006A1623">
      <w:rPr>
        <w:rFonts w:cstheme="minorHAnsi"/>
        <w:sz w:val="18"/>
      </w:rPr>
      <w:t>CM: 2022/36691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A443" w14:textId="2A707171" w:rsidR="006A1623" w:rsidRDefault="001D237E">
    <w:pPr>
      <w:pStyle w:val="Footer"/>
    </w:pPr>
    <w:r>
      <w:rPr>
        <w:rFonts w:cstheme="minorHAnsi"/>
        <w:sz w:val="18"/>
      </w:rPr>
      <w:t>2023/35291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141A" w14:textId="77777777" w:rsidR="00B37B2D" w:rsidRDefault="00B37B2D" w:rsidP="0052202C">
      <w:pPr>
        <w:spacing w:after="0" w:line="240" w:lineRule="auto"/>
      </w:pPr>
      <w:r>
        <w:separator/>
      </w:r>
    </w:p>
  </w:footnote>
  <w:footnote w:type="continuationSeparator" w:id="0">
    <w:p w14:paraId="7EBE8E95" w14:textId="77777777" w:rsidR="00B37B2D" w:rsidRDefault="00B37B2D" w:rsidP="0052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BE6" w14:textId="77777777" w:rsidR="006A1623" w:rsidRPr="006A1623" w:rsidRDefault="006A1623" w:rsidP="006A1623">
    <w:pPr>
      <w:spacing w:after="0" w:line="257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4693" w14:textId="3CE76CE4" w:rsidR="006A1623" w:rsidRPr="006A1623" w:rsidRDefault="006A1623" w:rsidP="004B62FD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 w:rsidR="00C704D8">
      <w:rPr>
        <w:b/>
      </w:rPr>
      <w:t>Politics and Law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</w:t>
    </w:r>
    <w:r w:rsidR="00C704D8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C704D8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23DF2"/>
    <w:multiLevelType w:val="multilevel"/>
    <w:tmpl w:val="AD648950"/>
    <w:lvl w:ilvl="0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7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6080"/>
    <w:multiLevelType w:val="hybridMultilevel"/>
    <w:tmpl w:val="B1C8F6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956AFE"/>
    <w:multiLevelType w:val="hybridMultilevel"/>
    <w:tmpl w:val="9FAC31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7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2513"/>
    <w:multiLevelType w:val="hybridMultilevel"/>
    <w:tmpl w:val="854AE322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962904">
    <w:abstractNumId w:val="13"/>
  </w:num>
  <w:num w:numId="2" w16cid:durableId="957763466">
    <w:abstractNumId w:val="8"/>
  </w:num>
  <w:num w:numId="3" w16cid:durableId="140192330">
    <w:abstractNumId w:val="5"/>
  </w:num>
  <w:num w:numId="4" w16cid:durableId="823199435">
    <w:abstractNumId w:val="3"/>
  </w:num>
  <w:num w:numId="5" w16cid:durableId="713391431">
    <w:abstractNumId w:val="23"/>
  </w:num>
  <w:num w:numId="6" w16cid:durableId="1942491582">
    <w:abstractNumId w:val="12"/>
  </w:num>
  <w:num w:numId="7" w16cid:durableId="289870374">
    <w:abstractNumId w:val="4"/>
  </w:num>
  <w:num w:numId="8" w16cid:durableId="223755388">
    <w:abstractNumId w:val="21"/>
  </w:num>
  <w:num w:numId="9" w16cid:durableId="671302555">
    <w:abstractNumId w:val="16"/>
  </w:num>
  <w:num w:numId="10" w16cid:durableId="1656225930">
    <w:abstractNumId w:val="22"/>
  </w:num>
  <w:num w:numId="11" w16cid:durableId="2146238980">
    <w:abstractNumId w:val="1"/>
  </w:num>
  <w:num w:numId="12" w16cid:durableId="1302540153">
    <w:abstractNumId w:val="20"/>
  </w:num>
  <w:num w:numId="13" w16cid:durableId="839198477">
    <w:abstractNumId w:val="15"/>
  </w:num>
  <w:num w:numId="14" w16cid:durableId="1509245839">
    <w:abstractNumId w:val="10"/>
  </w:num>
  <w:num w:numId="15" w16cid:durableId="1899854758">
    <w:abstractNumId w:val="0"/>
  </w:num>
  <w:num w:numId="16" w16cid:durableId="856043806">
    <w:abstractNumId w:val="2"/>
  </w:num>
  <w:num w:numId="17" w16cid:durableId="1797488392">
    <w:abstractNumId w:val="7"/>
  </w:num>
  <w:num w:numId="18" w16cid:durableId="34275737">
    <w:abstractNumId w:val="9"/>
  </w:num>
  <w:num w:numId="19" w16cid:durableId="565727456">
    <w:abstractNumId w:val="17"/>
  </w:num>
  <w:num w:numId="20" w16cid:durableId="2012101359">
    <w:abstractNumId w:val="19"/>
  </w:num>
  <w:num w:numId="21" w16cid:durableId="1200976904">
    <w:abstractNumId w:val="18"/>
  </w:num>
  <w:num w:numId="22" w16cid:durableId="363747105">
    <w:abstractNumId w:val="23"/>
  </w:num>
  <w:num w:numId="23" w16cid:durableId="1578325468">
    <w:abstractNumId w:val="23"/>
  </w:num>
  <w:num w:numId="24" w16cid:durableId="1892419248">
    <w:abstractNumId w:val="23"/>
  </w:num>
  <w:num w:numId="25" w16cid:durableId="87771516">
    <w:abstractNumId w:val="23"/>
  </w:num>
  <w:num w:numId="26" w16cid:durableId="902721519">
    <w:abstractNumId w:val="23"/>
  </w:num>
  <w:num w:numId="27" w16cid:durableId="759257813">
    <w:abstractNumId w:val="11"/>
  </w:num>
  <w:num w:numId="28" w16cid:durableId="626742357">
    <w:abstractNumId w:val="6"/>
  </w:num>
  <w:num w:numId="29" w16cid:durableId="2058553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26B0F"/>
    <w:rsid w:val="000650EF"/>
    <w:rsid w:val="00070E65"/>
    <w:rsid w:val="001B5A99"/>
    <w:rsid w:val="001C5A16"/>
    <w:rsid w:val="001D237E"/>
    <w:rsid w:val="001D45FB"/>
    <w:rsid w:val="002100BD"/>
    <w:rsid w:val="002214D0"/>
    <w:rsid w:val="002434CB"/>
    <w:rsid w:val="00281A31"/>
    <w:rsid w:val="00355F5A"/>
    <w:rsid w:val="00360C97"/>
    <w:rsid w:val="00376354"/>
    <w:rsid w:val="003913BD"/>
    <w:rsid w:val="003C7D40"/>
    <w:rsid w:val="004B62FD"/>
    <w:rsid w:val="004D2DDC"/>
    <w:rsid w:val="0052202C"/>
    <w:rsid w:val="006951BF"/>
    <w:rsid w:val="006A1623"/>
    <w:rsid w:val="00712BA5"/>
    <w:rsid w:val="007131BF"/>
    <w:rsid w:val="00736869"/>
    <w:rsid w:val="007F7358"/>
    <w:rsid w:val="00855721"/>
    <w:rsid w:val="008B6C4D"/>
    <w:rsid w:val="008C14A1"/>
    <w:rsid w:val="00924B1C"/>
    <w:rsid w:val="009365C7"/>
    <w:rsid w:val="00952B69"/>
    <w:rsid w:val="00A314F4"/>
    <w:rsid w:val="00A32E0B"/>
    <w:rsid w:val="00A4204D"/>
    <w:rsid w:val="00A617F8"/>
    <w:rsid w:val="00AD7D8D"/>
    <w:rsid w:val="00AE24E8"/>
    <w:rsid w:val="00AF5A52"/>
    <w:rsid w:val="00B37B2D"/>
    <w:rsid w:val="00BB05A7"/>
    <w:rsid w:val="00C13B59"/>
    <w:rsid w:val="00C64978"/>
    <w:rsid w:val="00C704D8"/>
    <w:rsid w:val="00D33EFB"/>
    <w:rsid w:val="00D7125B"/>
    <w:rsid w:val="00DE55E0"/>
    <w:rsid w:val="00E07415"/>
    <w:rsid w:val="00E10C94"/>
    <w:rsid w:val="00E36FC0"/>
    <w:rsid w:val="00E8571A"/>
    <w:rsid w:val="00EE5CB4"/>
    <w:rsid w:val="00E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7BBE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2C"/>
  </w:style>
  <w:style w:type="paragraph" w:styleId="Footer">
    <w:name w:val="footer"/>
    <w:basedOn w:val="Normal"/>
    <w:link w:val="FooterChar"/>
    <w:uiPriority w:val="99"/>
    <w:unhideWhenUsed/>
    <w:rsid w:val="0052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2C"/>
  </w:style>
  <w:style w:type="paragraph" w:styleId="ListBullet">
    <w:name w:val="List Bullet"/>
    <w:basedOn w:val="Normal"/>
    <w:uiPriority w:val="99"/>
    <w:unhideWhenUsed/>
    <w:qFormat/>
    <w:rsid w:val="00C704D8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C704D8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C704D8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C704D8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C704D8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6</cp:revision>
  <dcterms:created xsi:type="dcterms:W3CDTF">2023-06-21T03:40:00Z</dcterms:created>
  <dcterms:modified xsi:type="dcterms:W3CDTF">2023-08-11T01:45:00Z</dcterms:modified>
</cp:coreProperties>
</file>