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AEB1E62"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35AA20EB">
            <wp:simplePos x="0" y="0"/>
            <wp:positionH relativeFrom="page">
              <wp:posOffset>-53927</wp:posOffset>
            </wp:positionH>
            <wp:positionV relativeFrom="page">
              <wp:posOffset>-16510</wp:posOffset>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34CA5">
        <w:rPr>
          <w:noProof/>
        </w:rPr>
        <w:t>Mathematics</w:t>
      </w:r>
      <w:r w:rsidR="00A95F20">
        <w:rPr>
          <w:noProof/>
        </w:rPr>
        <w:t xml:space="preserve"> Essential</w:t>
      </w:r>
    </w:p>
    <w:p w14:paraId="48000699" w14:textId="3C73BCBA" w:rsidR="00334CA5" w:rsidRPr="00A93F91" w:rsidRDefault="00334CA5" w:rsidP="00334CA5">
      <w:pPr>
        <w:pStyle w:val="SCSATitle2"/>
      </w:pPr>
      <w:r>
        <w:t>G</w:t>
      </w:r>
      <w:r w:rsidR="00A95F20">
        <w:t>eneral</w:t>
      </w:r>
      <w:r w:rsidRPr="00A93F91">
        <w:t xml:space="preserve"> course</w:t>
      </w:r>
    </w:p>
    <w:p w14:paraId="440A0442" w14:textId="64663C39" w:rsidR="00334CA5" w:rsidRDefault="00334CA5" w:rsidP="00334CA5">
      <w:pPr>
        <w:pStyle w:val="SCSATitle3"/>
      </w:pPr>
      <w:r w:rsidRPr="00B41296">
        <w:t xml:space="preserve">Year </w:t>
      </w:r>
      <w:r>
        <w:t>12</w:t>
      </w:r>
      <w:r w:rsidRPr="00B41296">
        <w:t xml:space="preserve"> </w:t>
      </w:r>
      <w:r>
        <w:t>s</w:t>
      </w:r>
      <w:r w:rsidRPr="00B41296">
        <w:t xml:space="preserve">yllabus </w:t>
      </w:r>
      <w:r>
        <w:t xml:space="preserve">– What’s changing: General capabilities </w:t>
      </w:r>
    </w:p>
    <w:p w14:paraId="35A356C3" w14:textId="1BAC3B24" w:rsidR="002C05E5" w:rsidRPr="00B41296" w:rsidRDefault="00334CA5" w:rsidP="00334CA5">
      <w:pPr>
        <w:pStyle w:val="SCSATitle3"/>
      </w:pPr>
      <w:bookmarkStart w:id="0" w:name="_Hlk197502329"/>
      <w:r>
        <w:t>For teaching in 202</w:t>
      </w:r>
      <w:bookmarkEnd w:id="0"/>
      <w:r w:rsidR="003877D5">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5E4AA56" w14:textId="77777777" w:rsidR="009322F6" w:rsidRPr="00B46658" w:rsidRDefault="009322F6" w:rsidP="009322F6">
      <w:pPr>
        <w:rPr>
          <w:rFonts w:cstheme="minorHAnsi"/>
          <w:b/>
          <w:bCs/>
        </w:rPr>
      </w:pPr>
      <w:r w:rsidRPr="00B46658">
        <w:rPr>
          <w:rFonts w:cstheme="minorHAnsi"/>
          <w:b/>
          <w:bCs/>
        </w:rPr>
        <w:t>Background</w:t>
      </w:r>
    </w:p>
    <w:p w14:paraId="10678920" w14:textId="77777777" w:rsidR="009322F6" w:rsidRPr="00B46658" w:rsidRDefault="009322F6" w:rsidP="009322F6">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F0448F8" w14:textId="77777777" w:rsidR="009322F6" w:rsidRPr="00B46658" w:rsidRDefault="009322F6" w:rsidP="009322F6">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127042B7" w14:textId="77777777" w:rsidR="009322F6" w:rsidRPr="00B46658" w:rsidRDefault="009322F6" w:rsidP="009322F6">
      <w:pPr>
        <w:rPr>
          <w:rFonts w:cstheme="minorHAnsi"/>
          <w:b/>
          <w:bCs/>
          <w:sz w:val="20"/>
          <w:szCs w:val="20"/>
        </w:rPr>
      </w:pPr>
      <w:r w:rsidRPr="00B46658">
        <w:rPr>
          <w:rFonts w:cstheme="minorHAnsi"/>
          <w:b/>
          <w:bCs/>
          <w:sz w:val="20"/>
          <w:szCs w:val="20"/>
        </w:rPr>
        <w:t>Important information</w:t>
      </w:r>
    </w:p>
    <w:p w14:paraId="77BC1A41" w14:textId="77777777" w:rsidR="009322F6" w:rsidRPr="00B46658" w:rsidRDefault="009322F6" w:rsidP="009322F6">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06481D2A" w14:textId="77777777" w:rsidR="009322F6" w:rsidRPr="00B46658" w:rsidRDefault="009322F6" w:rsidP="009322F6">
      <w:pPr>
        <w:rPr>
          <w:rFonts w:cstheme="minorHAnsi"/>
          <w:sz w:val="20"/>
          <w:szCs w:val="20"/>
        </w:rPr>
      </w:pPr>
      <w:r w:rsidRPr="00B46658">
        <w:rPr>
          <w:rFonts w:cstheme="minorHAnsi"/>
          <w:sz w:val="20"/>
          <w:szCs w:val="20"/>
        </w:rPr>
        <w:t>This document contains information that will be included in the syllabus effective from 1 January 2027.</w:t>
      </w:r>
    </w:p>
    <w:p w14:paraId="179376F4" w14:textId="77777777" w:rsidR="009322F6" w:rsidRPr="00B46658" w:rsidRDefault="009322F6" w:rsidP="009322F6">
      <w:pPr>
        <w:rPr>
          <w:rFonts w:cstheme="minorHAnsi"/>
          <w:sz w:val="20"/>
          <w:szCs w:val="20"/>
        </w:rPr>
      </w:pPr>
      <w:r w:rsidRPr="00B46658">
        <w:rPr>
          <w:rFonts w:cstheme="minorHAnsi"/>
          <w:sz w:val="20"/>
          <w:szCs w:val="20"/>
        </w:rPr>
        <w:t>Users of the syllabus are responsible for checking its currency.</w:t>
      </w:r>
    </w:p>
    <w:p w14:paraId="0F4725F1" w14:textId="77777777" w:rsidR="009322F6" w:rsidRPr="00B46658" w:rsidRDefault="009322F6" w:rsidP="009322F6">
      <w:pPr>
        <w:rPr>
          <w:rFonts w:cstheme="minorHAnsi"/>
          <w:sz w:val="20"/>
          <w:szCs w:val="20"/>
        </w:rPr>
      </w:pPr>
      <w:r w:rsidRPr="00B46658">
        <w:rPr>
          <w:rFonts w:cstheme="minorHAnsi"/>
          <w:sz w:val="20"/>
          <w:szCs w:val="20"/>
        </w:rPr>
        <w:t>Syllabuses are formally reviewed by the Authority on a cyclical basis, typically every five years.</w:t>
      </w:r>
    </w:p>
    <w:p w14:paraId="378743FA" w14:textId="77777777" w:rsidR="009322F6" w:rsidRPr="00B46658" w:rsidRDefault="009322F6" w:rsidP="009322F6">
      <w:pPr>
        <w:jc w:val="both"/>
        <w:rPr>
          <w:rFonts w:cstheme="minorHAnsi"/>
          <w:b/>
          <w:sz w:val="20"/>
          <w:szCs w:val="20"/>
        </w:rPr>
      </w:pPr>
      <w:r w:rsidRPr="00B46658">
        <w:rPr>
          <w:rFonts w:cstheme="minorHAnsi"/>
          <w:b/>
          <w:sz w:val="20"/>
          <w:szCs w:val="20"/>
        </w:rPr>
        <w:t>Copyright</w:t>
      </w:r>
    </w:p>
    <w:p w14:paraId="5B4794DA" w14:textId="77777777" w:rsidR="009322F6" w:rsidRPr="00B46658" w:rsidRDefault="009322F6" w:rsidP="009322F6">
      <w:pPr>
        <w:jc w:val="both"/>
        <w:rPr>
          <w:rFonts w:cstheme="minorHAnsi"/>
          <w:sz w:val="20"/>
          <w:szCs w:val="20"/>
          <w:lang w:val="en-GB"/>
        </w:rPr>
      </w:pPr>
      <w:r w:rsidRPr="00B46658">
        <w:rPr>
          <w:rFonts w:cstheme="minorHAnsi"/>
          <w:sz w:val="20"/>
          <w:szCs w:val="20"/>
          <w:lang w:val="en-GB"/>
        </w:rPr>
        <w:t>© School Curriculum and Standards Authority, 2025</w:t>
      </w:r>
    </w:p>
    <w:p w14:paraId="64265086" w14:textId="77777777" w:rsidR="009322F6" w:rsidRPr="00B46658" w:rsidRDefault="009322F6" w:rsidP="009322F6">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CEC2303" w14:textId="77777777" w:rsidR="009322F6" w:rsidRPr="00B46658" w:rsidRDefault="009322F6" w:rsidP="009322F6">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7A07E701" w14:textId="77777777" w:rsidR="009322F6" w:rsidRPr="00B46658" w:rsidRDefault="009322F6" w:rsidP="009322F6">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212655">
          <w:footerReference w:type="even" r:id="rId10"/>
          <w:pgSz w:w="11906" w:h="16838"/>
          <w:pgMar w:top="1644" w:right="1418" w:bottom="1276" w:left="1418" w:header="680" w:footer="567" w:gutter="0"/>
          <w:cols w:space="708"/>
          <w:titlePg/>
          <w:docGrid w:linePitch="360"/>
        </w:sectPr>
      </w:pPr>
    </w:p>
    <w:p w14:paraId="1404858C" w14:textId="640727F7"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66D5003D" w:rsidR="006054A2" w:rsidRPr="009C3CBD" w:rsidRDefault="006054A2" w:rsidP="00513E3D">
      <w:r w:rsidRPr="009C3CBD">
        <w:t xml:space="preserve">The general capabilities encompass the knowledge, skills, behaviours and dispositions that will </w:t>
      </w:r>
      <w:r w:rsidR="00E1312B">
        <w:t>support</w:t>
      </w:r>
      <w:r w:rsidRPr="009C3CBD">
        <w:t xml:space="preserve"> students to live and work successfully </w:t>
      </w:r>
      <w:r w:rsidR="00E1312B">
        <w:t>now and into the future</w:t>
      </w:r>
      <w:r w:rsidRPr="009C3CBD">
        <w:t xml:space="preserve">. Teachers should find opportunities to incorporate the following capabilities into the teaching and learning program for the </w:t>
      </w:r>
      <w:r w:rsidR="00580F26">
        <w:t>Mathematics Essential General</w:t>
      </w:r>
      <w:r w:rsidR="00580F26" w:rsidRPr="009C3CBD">
        <w:t xml:space="preserve"> </w:t>
      </w:r>
      <w:r w:rsidRPr="009C3CBD">
        <w:t>course. The general capabilities are not assessed unless they are identified within the specified unit content.</w:t>
      </w:r>
    </w:p>
    <w:p w14:paraId="1462773A" w14:textId="77777777" w:rsidR="009322F6" w:rsidRPr="009C3CBD" w:rsidRDefault="009322F6" w:rsidP="009322F6">
      <w:pPr>
        <w:pStyle w:val="SCSAHeading3"/>
      </w:pPr>
      <w:r w:rsidRPr="009C3CBD">
        <w:t>Critical and creative thinking</w:t>
      </w:r>
    </w:p>
    <w:p w14:paraId="208496A2" w14:textId="3CE04A90" w:rsidR="009322F6" w:rsidRPr="009C3CBD" w:rsidRDefault="009322F6" w:rsidP="009322F6">
      <w:r>
        <w:t>S</w:t>
      </w:r>
      <w:r w:rsidRPr="00266ADF">
        <w:t xml:space="preserve">tudents </w:t>
      </w:r>
      <w:r>
        <w:t>have</w:t>
      </w:r>
      <w:r w:rsidRPr="00266ADF">
        <w:t xml:space="preserve"> opportunities to use their mathematical knowledge, skills and understanding to solve problems in personal, workplace, community and further learning contexts</w:t>
      </w:r>
      <w:r w:rsidRPr="00CD57C9">
        <w:t xml:space="preserve">. </w:t>
      </w:r>
      <w:r w:rsidR="00C25B35">
        <w:t>They</w:t>
      </w:r>
      <w:r w:rsidRPr="00CD57C9">
        <w:t xml:space="preserve"> identify and examine relevant information from a range of sources, including visual </w:t>
      </w:r>
      <w:r w:rsidRPr="009D2FBE">
        <w:t>information and digital sources</w:t>
      </w:r>
      <w:r>
        <w:t>,</w:t>
      </w:r>
      <w:r w:rsidRPr="00CD57C9">
        <w:t xml:space="preserve"> and evaluate the accuracy and validity of the information. </w:t>
      </w:r>
      <w:r w:rsidR="00C25B35">
        <w:t>Students</w:t>
      </w:r>
      <w:r w:rsidRPr="00CD57C9">
        <w:t xml:space="preserve"> draw on their mathematical knowledge to make choices that will help reach a conclusion. </w:t>
      </w:r>
    </w:p>
    <w:p w14:paraId="7AC62768" w14:textId="77777777" w:rsidR="009322F6" w:rsidRPr="009C3CBD" w:rsidRDefault="009322F6" w:rsidP="009322F6">
      <w:pPr>
        <w:pStyle w:val="SCSAHeading3"/>
      </w:pPr>
      <w:r w:rsidRPr="009C3CBD">
        <w:t>Digital literacy</w:t>
      </w:r>
    </w:p>
    <w:p w14:paraId="1EE2C87B" w14:textId="77777777" w:rsidR="009322F6" w:rsidRPr="009C3CBD" w:rsidRDefault="009322F6" w:rsidP="009322F6">
      <w:r>
        <w:t>S</w:t>
      </w:r>
      <w:r w:rsidRPr="00255FF7">
        <w:t xml:space="preserve">tudents use digital tools to apply mathematical knowledge to a range of problems. They use digital tools for statistical analysis, data representation and calculation, as well as in performing simulations and in locating positions. </w:t>
      </w:r>
      <w:r>
        <w:t>Students use s</w:t>
      </w:r>
      <w:r w:rsidRPr="00255FF7">
        <w:t>oftware</w:t>
      </w:r>
      <w:r>
        <w:t xml:space="preserve"> </w:t>
      </w:r>
      <w:r w:rsidRPr="00255FF7">
        <w:t>to visualise, manipulate and construct scale drawings and shapes in design</w:t>
      </w:r>
      <w:r>
        <w:t>,</w:t>
      </w:r>
      <w:r w:rsidRPr="00255FF7">
        <w:t xml:space="preserve"> </w:t>
      </w:r>
      <w:r>
        <w:t>and use s</w:t>
      </w:r>
      <w:r w:rsidRPr="00255FF7">
        <w:t>preadsheets to tabulate and graph data.</w:t>
      </w:r>
    </w:p>
    <w:p w14:paraId="3F8850AC" w14:textId="75ED2151" w:rsidR="00426B9A" w:rsidRPr="009C3CBD" w:rsidRDefault="00426B9A" w:rsidP="007A5272">
      <w:pPr>
        <w:pStyle w:val="SCSAHeading3"/>
      </w:pPr>
      <w:r w:rsidRPr="009C3CBD">
        <w:t>Literacy</w:t>
      </w:r>
    </w:p>
    <w:p w14:paraId="4662F5BE" w14:textId="08264553" w:rsidR="003526F6" w:rsidRPr="009C3CBD" w:rsidRDefault="00C63E68" w:rsidP="00513E3D">
      <w:r>
        <w:t>Students</w:t>
      </w:r>
      <w:r w:rsidR="006740BE" w:rsidRPr="004135BB">
        <w:t xml:space="preserve"> </w:t>
      </w:r>
      <w:r w:rsidR="00114F6D">
        <w:t xml:space="preserve">develop literacy skills </w:t>
      </w:r>
      <w:r>
        <w:t>through</w:t>
      </w:r>
      <w:r w:rsidR="006740BE" w:rsidRPr="00CD57C9">
        <w:t xml:space="preserve"> read</w:t>
      </w:r>
      <w:r>
        <w:t>ing</w:t>
      </w:r>
      <w:r w:rsidR="006740BE" w:rsidRPr="00CD57C9">
        <w:t>, writ</w:t>
      </w:r>
      <w:r>
        <w:t>ing</w:t>
      </w:r>
      <w:r w:rsidR="006740BE" w:rsidRPr="00CD57C9">
        <w:t>, visualis</w:t>
      </w:r>
      <w:r>
        <w:t>ing</w:t>
      </w:r>
      <w:r w:rsidR="006740BE" w:rsidRPr="00CD57C9">
        <w:t xml:space="preserve"> and talk</w:t>
      </w:r>
      <w:r>
        <w:t>ing</w:t>
      </w:r>
      <w:r w:rsidR="006740BE" w:rsidRPr="00CD57C9">
        <w:t xml:space="preserve"> about situations involving a range of mathematical ideas. </w:t>
      </w:r>
      <w:r w:rsidR="00E1622E">
        <w:t>They</w:t>
      </w:r>
      <w:r w:rsidR="006740BE" w:rsidRPr="00CD57C9">
        <w:t xml:space="preserve"> apply and further develop their literacy skills and strategies by shifting between verbal, written and spoken, graphic, numerical and symbolic forms of representing problems</w:t>
      </w:r>
      <w:r w:rsidR="00A95F20">
        <w:t xml:space="preserve"> </w:t>
      </w:r>
      <w:r w:rsidR="006740BE" w:rsidRPr="00CD57C9">
        <w:t xml:space="preserve">to formulate, understand and solve problems and communicate results. </w:t>
      </w:r>
      <w:r w:rsidR="00E1622E">
        <w:t>Students</w:t>
      </w:r>
      <w:r w:rsidR="006740BE" w:rsidRPr="00CD57C9">
        <w:t xml:space="preserve"> learn to communicate their findings in different ways, using multiple systems of representation and data displays to illustrate the relationships they have observed or constructed.</w:t>
      </w:r>
    </w:p>
    <w:p w14:paraId="68CFF3A2" w14:textId="149914A1" w:rsidR="00426B9A" w:rsidRPr="009C3CBD" w:rsidRDefault="00426B9A" w:rsidP="007A5272">
      <w:pPr>
        <w:pStyle w:val="SCSAHeading3"/>
      </w:pPr>
      <w:r w:rsidRPr="009C3CBD">
        <w:t>Numeracy</w:t>
      </w:r>
    </w:p>
    <w:p w14:paraId="0214E46B" w14:textId="293D7E75" w:rsidR="009322F6" w:rsidRDefault="00C63E68" w:rsidP="00513E3D">
      <w:r>
        <w:t>S</w:t>
      </w:r>
      <w:r w:rsidR="00DF50D5" w:rsidRPr="002223ED">
        <w:t>tudents</w:t>
      </w:r>
      <w:r>
        <w:t xml:space="preserve"> develop</w:t>
      </w:r>
      <w:r w:rsidR="00DF50D5" w:rsidRPr="002223ED">
        <w:t xml:space="preserve"> numeracy skills </w:t>
      </w:r>
      <w:r>
        <w:t xml:space="preserve">in the course </w:t>
      </w:r>
      <w:r w:rsidR="00DF50D5" w:rsidRPr="002223ED">
        <w:t xml:space="preserve">by equipping them with the knowledge, confidence and reasoning needed to apply </w:t>
      </w:r>
      <w:r w:rsidR="00DF50D5" w:rsidRPr="00CD57C9">
        <w:t>mathematics in real-world contexts. With a focus on financial literacy, measurement, data analysis and proportional reasoning, students learn to interpret information, solve problems and make informed decisions in personal, workplace and community settings. This practical approach supports their ability to transfer mathematical skills across different contexts, preparing them for employment, further education and everyday life.</w:t>
      </w:r>
    </w:p>
    <w:p w14:paraId="37290EDE" w14:textId="77777777" w:rsidR="009322F6" w:rsidRDefault="009322F6">
      <w:r>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22CA2CEB" w:rsidR="006054A2" w:rsidRPr="009C3CBD" w:rsidRDefault="006054A2" w:rsidP="00513E3D">
      <w:r w:rsidRPr="009C3CBD">
        <w:t xml:space="preserve">Although the following general capabilities have not been identified as a focus in the </w:t>
      </w:r>
      <w:r w:rsidR="00580F26">
        <w:t>Mathematics Essential General</w:t>
      </w:r>
      <w:r w:rsidR="00580F26" w:rsidRPr="009C3CBD">
        <w:t xml:space="preserve"> </w:t>
      </w:r>
      <w:r w:rsidR="00A95F20" w:rsidRPr="009C3CBD">
        <w:t xml:space="preserve">Year </w:t>
      </w:r>
      <w:r w:rsidR="00A95F20" w:rsidRPr="00C96B57">
        <w:t>12</w:t>
      </w:r>
      <w:r w:rsidR="00A95F20" w:rsidRPr="00F225DA">
        <w:t xml:space="preserve"> </w:t>
      </w:r>
      <w:r w:rsidR="00423F7B">
        <w:t>syllabus</w:t>
      </w:r>
      <w:r w:rsidRPr="009C3CBD">
        <w:t>, teachers may find opportunities to incorporate these capabilities into the teaching and learning program.</w:t>
      </w:r>
    </w:p>
    <w:p w14:paraId="52949DDE" w14:textId="77777777" w:rsidR="009322F6" w:rsidRPr="00CD57C9" w:rsidRDefault="009322F6" w:rsidP="00E1312B">
      <w:pPr>
        <w:pStyle w:val="ListParagraph"/>
        <w:numPr>
          <w:ilvl w:val="0"/>
          <w:numId w:val="16"/>
        </w:numPr>
        <w:spacing w:after="160"/>
        <w:ind w:left="357" w:hanging="357"/>
        <w:rPr>
          <w:rFonts w:ascii="Calibri" w:hAnsi="Calibri" w:cs="Calibri"/>
        </w:rPr>
      </w:pPr>
      <w:r w:rsidRPr="00CD57C9">
        <w:rPr>
          <w:rFonts w:ascii="Calibri" w:hAnsi="Calibri" w:cs="Calibri"/>
        </w:rPr>
        <w:t>Ethical understanding</w:t>
      </w:r>
    </w:p>
    <w:p w14:paraId="2A793D71" w14:textId="77777777" w:rsidR="009322F6" w:rsidRPr="00CD57C9" w:rsidRDefault="009322F6" w:rsidP="00E1312B">
      <w:pPr>
        <w:pStyle w:val="ListParagraph"/>
        <w:numPr>
          <w:ilvl w:val="0"/>
          <w:numId w:val="16"/>
        </w:numPr>
        <w:spacing w:after="160"/>
        <w:ind w:left="357" w:hanging="357"/>
        <w:rPr>
          <w:rFonts w:ascii="Calibri" w:hAnsi="Calibri" w:cs="Calibri"/>
        </w:rPr>
      </w:pPr>
      <w:r w:rsidRPr="00CD57C9">
        <w:rPr>
          <w:rFonts w:ascii="Calibri" w:hAnsi="Calibri" w:cs="Calibri"/>
        </w:rPr>
        <w:t>Intercultural understanding</w:t>
      </w:r>
    </w:p>
    <w:p w14:paraId="7AF4956C" w14:textId="77777777" w:rsidR="00C15CF9" w:rsidRPr="00CD57C9" w:rsidRDefault="00C15CF9" w:rsidP="00E1312B">
      <w:pPr>
        <w:pStyle w:val="ListParagraph"/>
        <w:numPr>
          <w:ilvl w:val="0"/>
          <w:numId w:val="16"/>
        </w:numPr>
        <w:spacing w:after="160"/>
        <w:ind w:left="357" w:hanging="357"/>
        <w:rPr>
          <w:rFonts w:ascii="Calibri" w:hAnsi="Calibri" w:cs="Calibri"/>
        </w:rPr>
      </w:pPr>
      <w:r w:rsidRPr="00CD57C9">
        <w:rPr>
          <w:rFonts w:ascii="Calibri" w:hAnsi="Calibri" w:cs="Calibri"/>
        </w:rPr>
        <w:t>Personal and social capability</w:t>
      </w:r>
    </w:p>
    <w:p w14:paraId="0351B485" w14:textId="7E1C2EFE" w:rsidR="006054A2" w:rsidRPr="009C3CBD" w:rsidRDefault="006054A2" w:rsidP="00513E3D">
      <w:r w:rsidRPr="009C3CBD">
        <w:t>Such opportunities may occur through the application of different contexts, pedagogical practices and/or assessment strategies that relate to the syllabus as part of the teaching and learning program.</w:t>
      </w:r>
    </w:p>
    <w:p w14:paraId="49AA4128" w14:textId="13A87C4C" w:rsidR="009F5CD5" w:rsidRPr="009C3CBD" w:rsidRDefault="009F5CD5" w:rsidP="002C6BB2">
      <w:pPr>
        <w:pStyle w:val="SCSAHeading3"/>
      </w:pPr>
      <w:r w:rsidRPr="009C3CBD">
        <w:t xml:space="preserve">Summary representation of the </w:t>
      </w:r>
      <w:r w:rsidR="00A95F20">
        <w:t>g</w:t>
      </w:r>
      <w:r w:rsidRPr="009C3CBD">
        <w:t xml:space="preserve">eneral </w:t>
      </w:r>
      <w:r w:rsidR="00A95F20">
        <w:t>c</w:t>
      </w:r>
      <w:r w:rsidRPr="009C3CBD">
        <w:t xml:space="preserve">apabilities in the </w:t>
      </w:r>
      <w:r w:rsidR="00C96B57">
        <w:t>Mathematics Essential General</w:t>
      </w:r>
      <w:r w:rsidRPr="009C3CBD">
        <w:t xml:space="preserve"> course</w:t>
      </w:r>
    </w:p>
    <w:p w14:paraId="23927AC4" w14:textId="300EFD2C" w:rsidR="009F5CD5" w:rsidRPr="009C3CBD" w:rsidRDefault="009F5CD5" w:rsidP="009C3CBD">
      <w:r w:rsidRPr="009C3CBD">
        <w:t xml:space="preserve">A </w:t>
      </w:r>
      <w:r w:rsidR="008D7100">
        <w:t>representation of the general capabilities for</w:t>
      </w:r>
      <w:r w:rsidRPr="009C3CBD">
        <w:t xml:space="preserve"> the two years </w:t>
      </w:r>
      <w:r w:rsidR="008D7100">
        <w:t>is summarised in the table below</w:t>
      </w:r>
      <w:r w:rsidRPr="009C3CBD">
        <w:t>.</w:t>
      </w:r>
    </w:p>
    <w:tbl>
      <w:tblPr>
        <w:tblStyle w:val="SCSATableclearstyle"/>
        <w:tblW w:w="5000" w:type="pct"/>
        <w:tblLook w:val="04A0" w:firstRow="1" w:lastRow="0" w:firstColumn="1" w:lastColumn="0" w:noHBand="0" w:noVBand="1"/>
      </w:tblPr>
      <w:tblGrid>
        <w:gridCol w:w="995"/>
        <w:gridCol w:w="3142"/>
        <w:gridCol w:w="857"/>
        <w:gridCol w:w="601"/>
        <w:gridCol w:w="601"/>
        <w:gridCol w:w="601"/>
        <w:gridCol w:w="601"/>
        <w:gridCol w:w="601"/>
        <w:gridCol w:w="601"/>
        <w:gridCol w:w="602"/>
      </w:tblGrid>
      <w:tr w:rsidR="009322F6" w:rsidRPr="006A76EA" w14:paraId="6888C24B" w14:textId="77777777" w:rsidTr="009E2539">
        <w:trPr>
          <w:cnfStyle w:val="100000000000" w:firstRow="1" w:lastRow="0" w:firstColumn="0" w:lastColumn="0" w:oddVBand="0" w:evenVBand="0" w:oddHBand="0" w:evenHBand="0" w:firstRowFirstColumn="0" w:firstRowLastColumn="0" w:lastRowFirstColumn="0" w:lastRowLastColumn="0"/>
          <w:trHeight w:val="261"/>
        </w:trPr>
        <w:tc>
          <w:tcPr>
            <w:tcW w:w="995" w:type="dxa"/>
            <w:vMerge w:val="restart"/>
          </w:tcPr>
          <w:p w14:paraId="792BA374" w14:textId="77777777" w:rsidR="009322F6" w:rsidRPr="006A76EA" w:rsidRDefault="009322F6" w:rsidP="009E2539">
            <w:pPr>
              <w:spacing w:after="100" w:afterAutospacing="1"/>
              <w:rPr>
                <w:b w:val="0"/>
                <w:bCs/>
              </w:rPr>
            </w:pPr>
            <w:r w:rsidRPr="006A76EA">
              <w:rPr>
                <w:bCs/>
              </w:rPr>
              <w:t>Year</w:t>
            </w:r>
          </w:p>
        </w:tc>
        <w:tc>
          <w:tcPr>
            <w:tcW w:w="3142" w:type="dxa"/>
            <w:vMerge w:val="restart"/>
          </w:tcPr>
          <w:p w14:paraId="1A2A8CC2" w14:textId="77777777" w:rsidR="009322F6" w:rsidRPr="006A76EA" w:rsidRDefault="009322F6" w:rsidP="009E2539">
            <w:pPr>
              <w:spacing w:after="100" w:afterAutospacing="1"/>
              <w:rPr>
                <w:b w:val="0"/>
                <w:bCs/>
              </w:rPr>
            </w:pPr>
            <w:r w:rsidRPr="006A76EA">
              <w:rPr>
                <w:bCs/>
              </w:rPr>
              <w:t>Course</w:t>
            </w:r>
          </w:p>
        </w:tc>
        <w:tc>
          <w:tcPr>
            <w:tcW w:w="857" w:type="dxa"/>
            <w:vMerge w:val="restart"/>
          </w:tcPr>
          <w:p w14:paraId="6D66AC71" w14:textId="77777777" w:rsidR="009322F6" w:rsidRPr="006A76EA" w:rsidRDefault="009322F6" w:rsidP="009E2539">
            <w:pPr>
              <w:spacing w:after="100" w:afterAutospacing="1"/>
              <w:rPr>
                <w:b w:val="0"/>
                <w:bCs/>
              </w:rPr>
            </w:pPr>
            <w:r w:rsidRPr="006A76EA">
              <w:rPr>
                <w:bCs/>
              </w:rPr>
              <w:t xml:space="preserve">Course </w:t>
            </w:r>
            <w:r>
              <w:rPr>
                <w:bCs/>
              </w:rPr>
              <w:t>t</w:t>
            </w:r>
            <w:r w:rsidRPr="006A76EA">
              <w:rPr>
                <w:bCs/>
              </w:rPr>
              <w:t>ype</w:t>
            </w:r>
          </w:p>
        </w:tc>
        <w:tc>
          <w:tcPr>
            <w:tcW w:w="4208" w:type="dxa"/>
            <w:gridSpan w:val="7"/>
          </w:tcPr>
          <w:p w14:paraId="16F24D36" w14:textId="77777777" w:rsidR="009322F6" w:rsidRPr="006A76EA" w:rsidRDefault="009322F6" w:rsidP="009E2539">
            <w:pPr>
              <w:spacing w:after="100" w:afterAutospacing="1"/>
              <w:jc w:val="center"/>
              <w:rPr>
                <w:b w:val="0"/>
                <w:bCs/>
              </w:rPr>
            </w:pPr>
            <w:r w:rsidRPr="006A76EA">
              <w:rPr>
                <w:bCs/>
              </w:rPr>
              <w:t xml:space="preserve">General </w:t>
            </w:r>
            <w:r>
              <w:rPr>
                <w:bCs/>
              </w:rPr>
              <w:t>c</w:t>
            </w:r>
            <w:r w:rsidRPr="006A76EA">
              <w:rPr>
                <w:bCs/>
              </w:rPr>
              <w:t>apabilities</w:t>
            </w:r>
          </w:p>
        </w:tc>
      </w:tr>
      <w:tr w:rsidR="009322F6" w:rsidRPr="006A76EA" w14:paraId="57BC3D18" w14:textId="77777777" w:rsidTr="00986F60">
        <w:trPr>
          <w:trHeight w:val="142"/>
        </w:trPr>
        <w:tc>
          <w:tcPr>
            <w:tcW w:w="995" w:type="dxa"/>
            <w:vMerge/>
          </w:tcPr>
          <w:p w14:paraId="6192A17E" w14:textId="77777777" w:rsidR="009322F6" w:rsidRPr="006A76EA" w:rsidRDefault="009322F6" w:rsidP="009E2539">
            <w:pPr>
              <w:spacing w:after="100" w:afterAutospacing="1"/>
              <w:rPr>
                <w:b/>
                <w:bCs/>
              </w:rPr>
            </w:pPr>
          </w:p>
        </w:tc>
        <w:tc>
          <w:tcPr>
            <w:tcW w:w="3142" w:type="dxa"/>
            <w:vMerge/>
          </w:tcPr>
          <w:p w14:paraId="514A4E57" w14:textId="77777777" w:rsidR="009322F6" w:rsidRPr="006A76EA" w:rsidRDefault="009322F6" w:rsidP="009E2539">
            <w:pPr>
              <w:spacing w:after="100" w:afterAutospacing="1"/>
              <w:rPr>
                <w:b/>
                <w:bCs/>
              </w:rPr>
            </w:pPr>
          </w:p>
        </w:tc>
        <w:tc>
          <w:tcPr>
            <w:tcW w:w="857" w:type="dxa"/>
            <w:vMerge/>
          </w:tcPr>
          <w:p w14:paraId="2AAC4B34" w14:textId="77777777" w:rsidR="009322F6" w:rsidRPr="006A76EA" w:rsidRDefault="009322F6" w:rsidP="009E2539">
            <w:pPr>
              <w:spacing w:after="100" w:afterAutospacing="1"/>
              <w:rPr>
                <w:b/>
                <w:bCs/>
              </w:rPr>
            </w:pPr>
          </w:p>
        </w:tc>
        <w:tc>
          <w:tcPr>
            <w:tcW w:w="601" w:type="dxa"/>
          </w:tcPr>
          <w:p w14:paraId="2ECDDD70" w14:textId="77777777" w:rsidR="009322F6" w:rsidRPr="006A76EA" w:rsidRDefault="009322F6" w:rsidP="009E2539">
            <w:pPr>
              <w:spacing w:after="100" w:afterAutospacing="1"/>
              <w:jc w:val="center"/>
              <w:rPr>
                <w:b/>
                <w:bCs/>
              </w:rPr>
            </w:pPr>
            <w:r w:rsidRPr="001F0833">
              <w:rPr>
                <w:rFonts w:ascii="Calibri" w:eastAsia="Calibri" w:hAnsi="Calibri" w:cs="Calibri"/>
                <w:b/>
                <w:bCs/>
              </w:rPr>
              <w:t>CCT</w:t>
            </w:r>
          </w:p>
        </w:tc>
        <w:tc>
          <w:tcPr>
            <w:tcW w:w="601" w:type="dxa"/>
          </w:tcPr>
          <w:p w14:paraId="2AB4D978" w14:textId="77777777" w:rsidR="009322F6" w:rsidRPr="006A76EA" w:rsidRDefault="009322F6" w:rsidP="009E2539">
            <w:pPr>
              <w:spacing w:after="100" w:afterAutospacing="1"/>
              <w:jc w:val="center"/>
              <w:rPr>
                <w:b/>
                <w:bCs/>
              </w:rPr>
            </w:pPr>
            <w:r w:rsidRPr="001F0833">
              <w:rPr>
                <w:rFonts w:ascii="Calibri" w:eastAsia="Calibri" w:hAnsi="Calibri" w:cs="Calibri"/>
                <w:b/>
                <w:bCs/>
              </w:rPr>
              <w:t>DL</w:t>
            </w:r>
          </w:p>
        </w:tc>
        <w:tc>
          <w:tcPr>
            <w:tcW w:w="601" w:type="dxa"/>
          </w:tcPr>
          <w:p w14:paraId="7707AAE1" w14:textId="77777777" w:rsidR="009322F6" w:rsidRPr="006A76EA" w:rsidRDefault="009322F6" w:rsidP="009E2539">
            <w:pPr>
              <w:spacing w:after="100" w:afterAutospacing="1"/>
              <w:jc w:val="center"/>
              <w:rPr>
                <w:b/>
                <w:bCs/>
              </w:rPr>
            </w:pPr>
            <w:r w:rsidRPr="001F0833">
              <w:rPr>
                <w:rFonts w:ascii="Calibri" w:eastAsia="Calibri" w:hAnsi="Calibri" w:cs="Calibri"/>
                <w:b/>
                <w:bCs/>
              </w:rPr>
              <w:t>EU</w:t>
            </w:r>
          </w:p>
        </w:tc>
        <w:tc>
          <w:tcPr>
            <w:tcW w:w="601" w:type="dxa"/>
          </w:tcPr>
          <w:p w14:paraId="7C337537" w14:textId="77777777" w:rsidR="009322F6" w:rsidRPr="006A76EA" w:rsidRDefault="009322F6" w:rsidP="009E2539">
            <w:pPr>
              <w:spacing w:after="100" w:afterAutospacing="1"/>
              <w:jc w:val="center"/>
              <w:rPr>
                <w:b/>
                <w:bCs/>
              </w:rPr>
            </w:pPr>
            <w:r w:rsidRPr="001F0833">
              <w:rPr>
                <w:rFonts w:ascii="Calibri" w:eastAsia="Calibri" w:hAnsi="Calibri" w:cs="Calibri"/>
                <w:b/>
                <w:bCs/>
              </w:rPr>
              <w:t>IU</w:t>
            </w:r>
          </w:p>
        </w:tc>
        <w:tc>
          <w:tcPr>
            <w:tcW w:w="601" w:type="dxa"/>
          </w:tcPr>
          <w:p w14:paraId="5D24CC5E" w14:textId="77777777" w:rsidR="009322F6" w:rsidRPr="006A76EA" w:rsidRDefault="009322F6" w:rsidP="009E2539">
            <w:pPr>
              <w:spacing w:after="100" w:afterAutospacing="1"/>
              <w:jc w:val="center"/>
              <w:rPr>
                <w:b/>
                <w:bCs/>
              </w:rPr>
            </w:pPr>
            <w:r w:rsidRPr="001F0833">
              <w:rPr>
                <w:rFonts w:ascii="Calibri" w:eastAsia="Calibri" w:hAnsi="Calibri" w:cs="Calibri"/>
                <w:b/>
                <w:bCs/>
              </w:rPr>
              <w:t>L</w:t>
            </w:r>
          </w:p>
        </w:tc>
        <w:tc>
          <w:tcPr>
            <w:tcW w:w="601" w:type="dxa"/>
          </w:tcPr>
          <w:p w14:paraId="67C1290F" w14:textId="77777777" w:rsidR="009322F6" w:rsidRPr="006A76EA" w:rsidRDefault="009322F6" w:rsidP="009E2539">
            <w:pPr>
              <w:spacing w:after="100" w:afterAutospacing="1"/>
              <w:jc w:val="center"/>
              <w:rPr>
                <w:b/>
                <w:bCs/>
              </w:rPr>
            </w:pPr>
            <w:r w:rsidRPr="001F0833">
              <w:rPr>
                <w:rFonts w:ascii="Calibri" w:eastAsia="Calibri" w:hAnsi="Calibri" w:cs="Calibri"/>
                <w:b/>
                <w:bCs/>
              </w:rPr>
              <w:t>N</w:t>
            </w:r>
          </w:p>
        </w:tc>
        <w:tc>
          <w:tcPr>
            <w:tcW w:w="602" w:type="dxa"/>
          </w:tcPr>
          <w:p w14:paraId="78510867" w14:textId="77777777" w:rsidR="009322F6" w:rsidRPr="006A76EA" w:rsidRDefault="009322F6" w:rsidP="009E2539">
            <w:pPr>
              <w:spacing w:after="100" w:afterAutospacing="1"/>
              <w:jc w:val="center"/>
              <w:rPr>
                <w:b/>
                <w:bCs/>
              </w:rPr>
            </w:pPr>
            <w:r w:rsidRPr="001F0833">
              <w:rPr>
                <w:rFonts w:ascii="Calibri" w:eastAsia="Calibri" w:hAnsi="Calibri" w:cs="Calibri"/>
                <w:b/>
                <w:bCs/>
              </w:rPr>
              <w:t>PSC</w:t>
            </w:r>
          </w:p>
        </w:tc>
      </w:tr>
      <w:tr w:rsidR="009322F6" w14:paraId="6618C106" w14:textId="77777777" w:rsidTr="00986F60">
        <w:trPr>
          <w:trHeight w:val="261"/>
        </w:trPr>
        <w:tc>
          <w:tcPr>
            <w:tcW w:w="995" w:type="dxa"/>
          </w:tcPr>
          <w:p w14:paraId="6B80AE4A" w14:textId="77777777" w:rsidR="009322F6" w:rsidRDefault="009322F6" w:rsidP="009E2539">
            <w:pPr>
              <w:spacing w:after="100" w:afterAutospacing="1"/>
            </w:pPr>
            <w:r>
              <w:t>Year 11</w:t>
            </w:r>
          </w:p>
        </w:tc>
        <w:tc>
          <w:tcPr>
            <w:tcW w:w="3142" w:type="dxa"/>
          </w:tcPr>
          <w:p w14:paraId="42AB2E4A" w14:textId="41B53B10" w:rsidR="009322F6" w:rsidRDefault="009322F6" w:rsidP="009E2539">
            <w:pPr>
              <w:spacing w:after="100" w:afterAutospacing="1"/>
            </w:pPr>
            <w:r w:rsidRPr="006B5F7C">
              <w:rPr>
                <w:rFonts w:cs="Calibri"/>
              </w:rPr>
              <w:t>Mathematics Essential (</w:t>
            </w:r>
            <w:r>
              <w:rPr>
                <w:rFonts w:cs="Calibri"/>
              </w:rPr>
              <w:t>G</w:t>
            </w:r>
            <w:r w:rsidR="00423F7B">
              <w:rPr>
                <w:rFonts w:cs="Calibri"/>
              </w:rPr>
              <w:t>E</w:t>
            </w:r>
            <w:r w:rsidRPr="006B5F7C">
              <w:t>MAE)</w:t>
            </w:r>
          </w:p>
        </w:tc>
        <w:tc>
          <w:tcPr>
            <w:tcW w:w="857" w:type="dxa"/>
          </w:tcPr>
          <w:p w14:paraId="3C1BABD1" w14:textId="77777777" w:rsidR="009322F6" w:rsidRDefault="009322F6" w:rsidP="009E2539">
            <w:pPr>
              <w:spacing w:after="100" w:afterAutospacing="1"/>
            </w:pPr>
            <w:r>
              <w:t>General</w:t>
            </w:r>
          </w:p>
        </w:tc>
        <w:tc>
          <w:tcPr>
            <w:tcW w:w="601" w:type="dxa"/>
            <w:vAlign w:val="center"/>
          </w:tcPr>
          <w:p w14:paraId="0C9B5017" w14:textId="77777777" w:rsidR="009322F6" w:rsidRPr="006B5F7C" w:rsidRDefault="009322F6" w:rsidP="00986F60">
            <w:pPr>
              <w:spacing w:after="100" w:afterAutospacing="1"/>
              <w:jc w:val="center"/>
            </w:pPr>
            <w:r w:rsidRPr="006B5F7C">
              <w:sym w:font="Wingdings" w:char="F0FC"/>
            </w:r>
          </w:p>
        </w:tc>
        <w:tc>
          <w:tcPr>
            <w:tcW w:w="601" w:type="dxa"/>
            <w:vAlign w:val="center"/>
          </w:tcPr>
          <w:p w14:paraId="3D5C29B1" w14:textId="77777777" w:rsidR="009322F6" w:rsidRPr="006B5F7C" w:rsidRDefault="009322F6" w:rsidP="00986F60">
            <w:pPr>
              <w:spacing w:after="100" w:afterAutospacing="1"/>
              <w:jc w:val="center"/>
            </w:pPr>
            <w:r w:rsidRPr="006B5F7C">
              <w:sym w:font="Wingdings" w:char="F0FC"/>
            </w:r>
          </w:p>
        </w:tc>
        <w:tc>
          <w:tcPr>
            <w:tcW w:w="601" w:type="dxa"/>
            <w:shd w:val="clear" w:color="auto" w:fill="DECFE8" w:themeFill="accent5"/>
            <w:vAlign w:val="center"/>
          </w:tcPr>
          <w:p w14:paraId="13B85301" w14:textId="77777777" w:rsidR="009322F6" w:rsidRPr="006B5F7C" w:rsidRDefault="009322F6" w:rsidP="00986F60">
            <w:pPr>
              <w:spacing w:after="100" w:afterAutospacing="1"/>
              <w:jc w:val="center"/>
            </w:pPr>
          </w:p>
        </w:tc>
        <w:tc>
          <w:tcPr>
            <w:tcW w:w="601" w:type="dxa"/>
            <w:shd w:val="clear" w:color="auto" w:fill="DECFE8" w:themeFill="accent5"/>
            <w:vAlign w:val="center"/>
          </w:tcPr>
          <w:p w14:paraId="21550FD4" w14:textId="77777777" w:rsidR="009322F6" w:rsidRPr="006B5F7C" w:rsidRDefault="009322F6" w:rsidP="00986F60">
            <w:pPr>
              <w:spacing w:after="100" w:afterAutospacing="1"/>
              <w:jc w:val="center"/>
            </w:pPr>
          </w:p>
        </w:tc>
        <w:tc>
          <w:tcPr>
            <w:tcW w:w="601" w:type="dxa"/>
            <w:vAlign w:val="center"/>
          </w:tcPr>
          <w:p w14:paraId="574CEFE9" w14:textId="77777777" w:rsidR="009322F6" w:rsidRDefault="009322F6" w:rsidP="00986F60">
            <w:pPr>
              <w:spacing w:after="100" w:afterAutospacing="1"/>
              <w:jc w:val="center"/>
            </w:pPr>
            <w:r w:rsidRPr="006B5F7C">
              <w:sym w:font="Wingdings" w:char="F0FC"/>
            </w:r>
          </w:p>
        </w:tc>
        <w:tc>
          <w:tcPr>
            <w:tcW w:w="601" w:type="dxa"/>
            <w:vAlign w:val="center"/>
          </w:tcPr>
          <w:p w14:paraId="3D9CAAD1" w14:textId="77777777" w:rsidR="009322F6" w:rsidRDefault="009322F6" w:rsidP="00986F60">
            <w:pPr>
              <w:spacing w:after="100" w:afterAutospacing="1"/>
              <w:jc w:val="center"/>
            </w:pPr>
            <w:r w:rsidRPr="006B5F7C">
              <w:sym w:font="Wingdings" w:char="F0FC"/>
            </w:r>
          </w:p>
        </w:tc>
        <w:tc>
          <w:tcPr>
            <w:tcW w:w="602" w:type="dxa"/>
            <w:shd w:val="clear" w:color="auto" w:fill="DECFE8" w:themeFill="accent5"/>
            <w:vAlign w:val="center"/>
          </w:tcPr>
          <w:p w14:paraId="3E51E05A" w14:textId="77777777" w:rsidR="009322F6" w:rsidRDefault="009322F6" w:rsidP="00986F60">
            <w:pPr>
              <w:spacing w:after="100" w:afterAutospacing="1"/>
              <w:jc w:val="center"/>
            </w:pPr>
          </w:p>
        </w:tc>
      </w:tr>
      <w:tr w:rsidR="009322F6" w14:paraId="6D0BA5C0" w14:textId="77777777" w:rsidTr="00986F60">
        <w:trPr>
          <w:trHeight w:val="261"/>
        </w:trPr>
        <w:tc>
          <w:tcPr>
            <w:tcW w:w="995" w:type="dxa"/>
          </w:tcPr>
          <w:p w14:paraId="5EB1E556" w14:textId="77777777" w:rsidR="009322F6" w:rsidRDefault="009322F6" w:rsidP="009E2539">
            <w:pPr>
              <w:spacing w:after="100" w:afterAutospacing="1"/>
            </w:pPr>
            <w:r>
              <w:t>Year 12</w:t>
            </w:r>
          </w:p>
        </w:tc>
        <w:tc>
          <w:tcPr>
            <w:tcW w:w="3142" w:type="dxa"/>
          </w:tcPr>
          <w:p w14:paraId="69B7EC21" w14:textId="60A7AB47" w:rsidR="009322F6" w:rsidRDefault="009322F6" w:rsidP="009E2539">
            <w:pPr>
              <w:spacing w:after="100" w:afterAutospacing="1"/>
            </w:pPr>
            <w:r w:rsidRPr="006B5F7C">
              <w:rPr>
                <w:rFonts w:cs="Calibri"/>
              </w:rPr>
              <w:t>Mathematics Essential (</w:t>
            </w:r>
            <w:r>
              <w:rPr>
                <w:rFonts w:cs="Calibri"/>
              </w:rPr>
              <w:t>G</w:t>
            </w:r>
            <w:r w:rsidR="00423F7B">
              <w:rPr>
                <w:rFonts w:cs="Calibri"/>
              </w:rPr>
              <w:t>T</w:t>
            </w:r>
            <w:r w:rsidRPr="006B5F7C">
              <w:t>MAE)</w:t>
            </w:r>
          </w:p>
        </w:tc>
        <w:tc>
          <w:tcPr>
            <w:tcW w:w="857" w:type="dxa"/>
          </w:tcPr>
          <w:p w14:paraId="4FEAB0AA" w14:textId="77777777" w:rsidR="009322F6" w:rsidRDefault="009322F6" w:rsidP="009E2539">
            <w:pPr>
              <w:spacing w:after="100" w:afterAutospacing="1"/>
            </w:pPr>
            <w:r>
              <w:t>General</w:t>
            </w:r>
          </w:p>
        </w:tc>
        <w:tc>
          <w:tcPr>
            <w:tcW w:w="601" w:type="dxa"/>
            <w:vAlign w:val="center"/>
          </w:tcPr>
          <w:p w14:paraId="79883B34" w14:textId="77777777" w:rsidR="009322F6" w:rsidRPr="008D46F9" w:rsidRDefault="009322F6" w:rsidP="00986F60">
            <w:pPr>
              <w:spacing w:after="100" w:afterAutospacing="1"/>
              <w:jc w:val="center"/>
              <w:rPr>
                <w:highlight w:val="yellow"/>
              </w:rPr>
            </w:pPr>
            <w:r w:rsidRPr="006B5F7C">
              <w:sym w:font="Wingdings" w:char="F0FC"/>
            </w:r>
          </w:p>
        </w:tc>
        <w:tc>
          <w:tcPr>
            <w:tcW w:w="601" w:type="dxa"/>
            <w:vAlign w:val="center"/>
          </w:tcPr>
          <w:p w14:paraId="7A5424BC" w14:textId="77777777" w:rsidR="009322F6" w:rsidRPr="008D46F9" w:rsidRDefault="009322F6" w:rsidP="00986F60">
            <w:pPr>
              <w:spacing w:after="100" w:afterAutospacing="1"/>
              <w:jc w:val="center"/>
              <w:rPr>
                <w:highlight w:val="yellow"/>
              </w:rPr>
            </w:pPr>
            <w:r w:rsidRPr="006B5F7C">
              <w:sym w:font="Wingdings" w:char="F0FC"/>
            </w:r>
          </w:p>
        </w:tc>
        <w:tc>
          <w:tcPr>
            <w:tcW w:w="601" w:type="dxa"/>
            <w:shd w:val="clear" w:color="auto" w:fill="DECFE8" w:themeFill="accent5"/>
            <w:vAlign w:val="center"/>
          </w:tcPr>
          <w:p w14:paraId="09124167" w14:textId="77777777" w:rsidR="009322F6" w:rsidRPr="008D46F9" w:rsidRDefault="009322F6" w:rsidP="00986F60">
            <w:pPr>
              <w:spacing w:after="100" w:afterAutospacing="1"/>
              <w:jc w:val="center"/>
              <w:rPr>
                <w:highlight w:val="yellow"/>
              </w:rPr>
            </w:pPr>
          </w:p>
        </w:tc>
        <w:tc>
          <w:tcPr>
            <w:tcW w:w="601" w:type="dxa"/>
            <w:shd w:val="clear" w:color="auto" w:fill="DECFE8" w:themeFill="accent5"/>
            <w:vAlign w:val="center"/>
          </w:tcPr>
          <w:p w14:paraId="1C63BEB3" w14:textId="77777777" w:rsidR="009322F6" w:rsidRPr="008D46F9" w:rsidRDefault="009322F6" w:rsidP="00986F60">
            <w:pPr>
              <w:spacing w:after="100" w:afterAutospacing="1"/>
              <w:jc w:val="center"/>
              <w:rPr>
                <w:highlight w:val="yellow"/>
              </w:rPr>
            </w:pPr>
          </w:p>
        </w:tc>
        <w:tc>
          <w:tcPr>
            <w:tcW w:w="601" w:type="dxa"/>
            <w:vAlign w:val="center"/>
          </w:tcPr>
          <w:p w14:paraId="399787EF" w14:textId="77777777" w:rsidR="009322F6" w:rsidRDefault="009322F6" w:rsidP="00986F60">
            <w:pPr>
              <w:spacing w:after="100" w:afterAutospacing="1"/>
              <w:jc w:val="center"/>
            </w:pPr>
            <w:r w:rsidRPr="006B5F7C">
              <w:sym w:font="Wingdings" w:char="F0FC"/>
            </w:r>
          </w:p>
        </w:tc>
        <w:tc>
          <w:tcPr>
            <w:tcW w:w="601" w:type="dxa"/>
            <w:vAlign w:val="center"/>
          </w:tcPr>
          <w:p w14:paraId="0546AA6E" w14:textId="77777777" w:rsidR="009322F6" w:rsidRDefault="009322F6" w:rsidP="00986F60">
            <w:pPr>
              <w:spacing w:after="100" w:afterAutospacing="1"/>
              <w:jc w:val="center"/>
            </w:pPr>
            <w:r w:rsidRPr="006B5F7C">
              <w:sym w:font="Wingdings" w:char="F0FC"/>
            </w:r>
          </w:p>
        </w:tc>
        <w:tc>
          <w:tcPr>
            <w:tcW w:w="602" w:type="dxa"/>
            <w:shd w:val="clear" w:color="auto" w:fill="DECFE8" w:themeFill="accent5"/>
            <w:vAlign w:val="center"/>
          </w:tcPr>
          <w:p w14:paraId="0304DFD5" w14:textId="77777777" w:rsidR="009322F6" w:rsidRDefault="009322F6" w:rsidP="00986F60">
            <w:pPr>
              <w:spacing w:after="100" w:afterAutospacing="1"/>
              <w:jc w:val="center"/>
            </w:pPr>
          </w:p>
        </w:tc>
      </w:tr>
    </w:tbl>
    <w:p w14:paraId="23D714FA" w14:textId="5E0ED96B" w:rsidR="009F5CD5" w:rsidRPr="009C3CBD" w:rsidRDefault="009F5CD5" w:rsidP="008A7111">
      <w:pPr>
        <w:spacing w:before="120" w:after="0"/>
        <w:rPr>
          <w:b/>
          <w:bCs/>
        </w:rPr>
      </w:pPr>
      <w:r w:rsidRPr="009C3CBD">
        <w:rPr>
          <w:b/>
          <w:bCs/>
        </w:rPr>
        <w:t>Key</w:t>
      </w:r>
    </w:p>
    <w:p w14:paraId="3C0617FE" w14:textId="77777777" w:rsidR="009322F6" w:rsidRPr="001F0833" w:rsidRDefault="009322F6" w:rsidP="009322F6">
      <w:pPr>
        <w:rPr>
          <w:rFonts w:ascii="Calibri" w:eastAsia="Calibri" w:hAnsi="Calibri" w:cs="Calibri"/>
        </w:rPr>
      </w:pPr>
      <w:bookmarkStart w:id="3"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3"/>
    </w:p>
    <w:sectPr w:rsidR="009322F6" w:rsidRPr="001F0833"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0304" w14:textId="77777777" w:rsidR="009B3D32" w:rsidRDefault="009B3D32" w:rsidP="00742128">
      <w:pPr>
        <w:spacing w:after="0" w:line="240" w:lineRule="auto"/>
      </w:pPr>
      <w:r>
        <w:separator/>
      </w:r>
    </w:p>
  </w:endnote>
  <w:endnote w:type="continuationSeparator" w:id="0">
    <w:p w14:paraId="4699F4BE" w14:textId="77777777" w:rsidR="009B3D32" w:rsidRDefault="009B3D3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82B4C01" w:rsidR="00F86F26" w:rsidRPr="008324A6" w:rsidRDefault="00F86F26" w:rsidP="00227D40">
    <w:pPr>
      <w:pStyle w:val="SCSAFootereven"/>
    </w:pPr>
    <w:r>
      <w:rPr>
        <w:noProof/>
      </w:rPr>
      <w:t>20</w:t>
    </w:r>
    <w:r w:rsidR="00C63FF4">
      <w:rPr>
        <w:noProof/>
      </w:rPr>
      <w:t>25</w:t>
    </w:r>
    <w:r>
      <w:rPr>
        <w:noProof/>
      </w:rPr>
      <w:t>/</w:t>
    </w:r>
    <w:r w:rsidR="00657FE9" w:rsidRPr="00657FE9">
      <w:rPr>
        <w:noProof/>
      </w:rPr>
      <w:t>37502</w:t>
    </w:r>
    <w:r w:rsidR="00924115">
      <w:rPr>
        <w:noProof/>
      </w:rPr>
      <w:t>[</w:t>
    </w:r>
    <w:r w:rsidR="008D7100">
      <w:rPr>
        <w:noProof/>
      </w:rPr>
      <w:t>v</w:t>
    </w:r>
    <w:r w:rsidR="009322F6">
      <w:rPr>
        <w:noProof/>
      </w:rPr>
      <w:t>3</w:t>
    </w:r>
    <w:r w:rsidR="00924115">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41FE499" w:rsidR="00F86F26" w:rsidRPr="00777AF3" w:rsidRDefault="00932C8A" w:rsidP="00227D40">
    <w:pPr>
      <w:pStyle w:val="SCSAFootereven"/>
    </w:pPr>
    <w:r>
      <w:rPr>
        <w:noProof/>
      </w:rPr>
      <w:t xml:space="preserve">Mathematics Essential | General | Year 12 syllabus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5AACC48" w:rsidR="00F86F26" w:rsidRPr="00AA2B0D" w:rsidRDefault="00932C8A" w:rsidP="00227D40">
    <w:pPr>
      <w:pStyle w:val="SCSAFooterodd"/>
    </w:pPr>
    <w:r>
      <w:rPr>
        <w:noProof/>
      </w:rPr>
      <w:t xml:space="preserve">Mathematics Essential | General | Year 12 syllabus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4A25" w14:textId="77777777" w:rsidR="009B3D32" w:rsidRDefault="009B3D32" w:rsidP="00742128">
      <w:pPr>
        <w:spacing w:after="0" w:line="240" w:lineRule="auto"/>
      </w:pPr>
      <w:r>
        <w:separator/>
      </w:r>
    </w:p>
  </w:footnote>
  <w:footnote w:type="continuationSeparator" w:id="0">
    <w:p w14:paraId="76C6BACC" w14:textId="77777777" w:rsidR="009B3D32" w:rsidRDefault="009B3D3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16A9"/>
    <w:rsid w:val="00053A6C"/>
    <w:rsid w:val="000573DD"/>
    <w:rsid w:val="000577DF"/>
    <w:rsid w:val="00066145"/>
    <w:rsid w:val="0009024C"/>
    <w:rsid w:val="0009076A"/>
    <w:rsid w:val="000926C3"/>
    <w:rsid w:val="00094E92"/>
    <w:rsid w:val="000A441D"/>
    <w:rsid w:val="000A6ABE"/>
    <w:rsid w:val="000A7B41"/>
    <w:rsid w:val="000B1346"/>
    <w:rsid w:val="000B135B"/>
    <w:rsid w:val="000B3DD4"/>
    <w:rsid w:val="000B4506"/>
    <w:rsid w:val="000B5909"/>
    <w:rsid w:val="000C1E2C"/>
    <w:rsid w:val="000C69C8"/>
    <w:rsid w:val="000C6E0F"/>
    <w:rsid w:val="000C6F75"/>
    <w:rsid w:val="000D22E2"/>
    <w:rsid w:val="000D35A8"/>
    <w:rsid w:val="000D5DBB"/>
    <w:rsid w:val="000E7350"/>
    <w:rsid w:val="000F404F"/>
    <w:rsid w:val="00103478"/>
    <w:rsid w:val="00105D81"/>
    <w:rsid w:val="001072D5"/>
    <w:rsid w:val="00114F6D"/>
    <w:rsid w:val="001176E8"/>
    <w:rsid w:val="001255E6"/>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225A"/>
    <w:rsid w:val="00204F73"/>
    <w:rsid w:val="002062AD"/>
    <w:rsid w:val="00212655"/>
    <w:rsid w:val="00212894"/>
    <w:rsid w:val="002145EE"/>
    <w:rsid w:val="00217901"/>
    <w:rsid w:val="00223D1B"/>
    <w:rsid w:val="00227D40"/>
    <w:rsid w:val="00236BF3"/>
    <w:rsid w:val="0024125D"/>
    <w:rsid w:val="0024439F"/>
    <w:rsid w:val="002451B5"/>
    <w:rsid w:val="002557B0"/>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4CA5"/>
    <w:rsid w:val="0033552B"/>
    <w:rsid w:val="00343469"/>
    <w:rsid w:val="00343B25"/>
    <w:rsid w:val="003502BC"/>
    <w:rsid w:val="00352652"/>
    <w:rsid w:val="003526F6"/>
    <w:rsid w:val="0036440F"/>
    <w:rsid w:val="0036446F"/>
    <w:rsid w:val="00364BF8"/>
    <w:rsid w:val="003650F5"/>
    <w:rsid w:val="00365121"/>
    <w:rsid w:val="00367ADC"/>
    <w:rsid w:val="00374938"/>
    <w:rsid w:val="00374CEC"/>
    <w:rsid w:val="0037621A"/>
    <w:rsid w:val="003841EB"/>
    <w:rsid w:val="003877D5"/>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0F84"/>
    <w:rsid w:val="003F1C41"/>
    <w:rsid w:val="00400B9D"/>
    <w:rsid w:val="00406A1C"/>
    <w:rsid w:val="004120B0"/>
    <w:rsid w:val="004120DA"/>
    <w:rsid w:val="00413A7F"/>
    <w:rsid w:val="00413C8C"/>
    <w:rsid w:val="00415FFA"/>
    <w:rsid w:val="00416C3D"/>
    <w:rsid w:val="00423F7B"/>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5C4C"/>
    <w:rsid w:val="004B09CF"/>
    <w:rsid w:val="004B256A"/>
    <w:rsid w:val="004B3B93"/>
    <w:rsid w:val="004B401A"/>
    <w:rsid w:val="004B7DB5"/>
    <w:rsid w:val="004C64D3"/>
    <w:rsid w:val="004D0002"/>
    <w:rsid w:val="004D26A7"/>
    <w:rsid w:val="004D3542"/>
    <w:rsid w:val="004E0AD6"/>
    <w:rsid w:val="004E4BA2"/>
    <w:rsid w:val="004E517B"/>
    <w:rsid w:val="004F3012"/>
    <w:rsid w:val="004F3801"/>
    <w:rsid w:val="00503F26"/>
    <w:rsid w:val="00504046"/>
    <w:rsid w:val="0050411E"/>
    <w:rsid w:val="00513E3D"/>
    <w:rsid w:val="00516487"/>
    <w:rsid w:val="00521808"/>
    <w:rsid w:val="005240D9"/>
    <w:rsid w:val="00525B58"/>
    <w:rsid w:val="0053382D"/>
    <w:rsid w:val="00537F6A"/>
    <w:rsid w:val="00540775"/>
    <w:rsid w:val="00542E80"/>
    <w:rsid w:val="00544423"/>
    <w:rsid w:val="00545F6E"/>
    <w:rsid w:val="00554AC8"/>
    <w:rsid w:val="00557D1B"/>
    <w:rsid w:val="005627B9"/>
    <w:rsid w:val="00564B14"/>
    <w:rsid w:val="00567AF4"/>
    <w:rsid w:val="005700C6"/>
    <w:rsid w:val="00573C05"/>
    <w:rsid w:val="00580F26"/>
    <w:rsid w:val="00587176"/>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13117"/>
    <w:rsid w:val="00623F3C"/>
    <w:rsid w:val="00626978"/>
    <w:rsid w:val="00630538"/>
    <w:rsid w:val="00630C3D"/>
    <w:rsid w:val="006316FC"/>
    <w:rsid w:val="00633E30"/>
    <w:rsid w:val="0063592D"/>
    <w:rsid w:val="00637F0D"/>
    <w:rsid w:val="00643DA9"/>
    <w:rsid w:val="00644647"/>
    <w:rsid w:val="00651B27"/>
    <w:rsid w:val="00652BC5"/>
    <w:rsid w:val="006538D8"/>
    <w:rsid w:val="00655969"/>
    <w:rsid w:val="006560C8"/>
    <w:rsid w:val="006561AD"/>
    <w:rsid w:val="00657FE9"/>
    <w:rsid w:val="00666FEB"/>
    <w:rsid w:val="006722DF"/>
    <w:rsid w:val="006740BE"/>
    <w:rsid w:val="006748E6"/>
    <w:rsid w:val="00691A72"/>
    <w:rsid w:val="00693261"/>
    <w:rsid w:val="0069421A"/>
    <w:rsid w:val="006A5E8C"/>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254AC"/>
    <w:rsid w:val="007266E9"/>
    <w:rsid w:val="007342C4"/>
    <w:rsid w:val="00737E63"/>
    <w:rsid w:val="007410DD"/>
    <w:rsid w:val="00741565"/>
    <w:rsid w:val="00741822"/>
    <w:rsid w:val="00742128"/>
    <w:rsid w:val="00750094"/>
    <w:rsid w:val="0075009C"/>
    <w:rsid w:val="00752C47"/>
    <w:rsid w:val="007669E8"/>
    <w:rsid w:val="00766AC1"/>
    <w:rsid w:val="0077019F"/>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0B24"/>
    <w:rsid w:val="007E1AFD"/>
    <w:rsid w:val="007E4139"/>
    <w:rsid w:val="007E4CD0"/>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D7100"/>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115"/>
    <w:rsid w:val="00924C4D"/>
    <w:rsid w:val="00925173"/>
    <w:rsid w:val="009304A9"/>
    <w:rsid w:val="009305C3"/>
    <w:rsid w:val="009322F6"/>
    <w:rsid w:val="00932C8A"/>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86F60"/>
    <w:rsid w:val="0099499A"/>
    <w:rsid w:val="00995294"/>
    <w:rsid w:val="009A64DF"/>
    <w:rsid w:val="009A78D6"/>
    <w:rsid w:val="009B3D32"/>
    <w:rsid w:val="009C1DA0"/>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4829"/>
    <w:rsid w:val="00A15FE7"/>
    <w:rsid w:val="00A2015C"/>
    <w:rsid w:val="00A243E1"/>
    <w:rsid w:val="00A24944"/>
    <w:rsid w:val="00A27208"/>
    <w:rsid w:val="00A3298F"/>
    <w:rsid w:val="00A33ED4"/>
    <w:rsid w:val="00A3610B"/>
    <w:rsid w:val="00A42E97"/>
    <w:rsid w:val="00A43A54"/>
    <w:rsid w:val="00A548E7"/>
    <w:rsid w:val="00A57BE7"/>
    <w:rsid w:val="00A6584A"/>
    <w:rsid w:val="00A65DDB"/>
    <w:rsid w:val="00A70344"/>
    <w:rsid w:val="00A72264"/>
    <w:rsid w:val="00A7392D"/>
    <w:rsid w:val="00A8257B"/>
    <w:rsid w:val="00A85FD4"/>
    <w:rsid w:val="00A87827"/>
    <w:rsid w:val="00A93F91"/>
    <w:rsid w:val="00A95F20"/>
    <w:rsid w:val="00AA2B0D"/>
    <w:rsid w:val="00AA650B"/>
    <w:rsid w:val="00AB00F3"/>
    <w:rsid w:val="00AB158A"/>
    <w:rsid w:val="00AB5CC5"/>
    <w:rsid w:val="00AC28E1"/>
    <w:rsid w:val="00AD00B8"/>
    <w:rsid w:val="00AD2EBD"/>
    <w:rsid w:val="00AE0106"/>
    <w:rsid w:val="00AE0CDE"/>
    <w:rsid w:val="00AE57D9"/>
    <w:rsid w:val="00AF067F"/>
    <w:rsid w:val="00AF3D3A"/>
    <w:rsid w:val="00B005A2"/>
    <w:rsid w:val="00B01420"/>
    <w:rsid w:val="00B03AE3"/>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D1564"/>
    <w:rsid w:val="00BE277F"/>
    <w:rsid w:val="00BF0672"/>
    <w:rsid w:val="00BF52DB"/>
    <w:rsid w:val="00BF7D5E"/>
    <w:rsid w:val="00C001A9"/>
    <w:rsid w:val="00C0208E"/>
    <w:rsid w:val="00C02D53"/>
    <w:rsid w:val="00C14767"/>
    <w:rsid w:val="00C15CF9"/>
    <w:rsid w:val="00C1764E"/>
    <w:rsid w:val="00C20EE6"/>
    <w:rsid w:val="00C2292B"/>
    <w:rsid w:val="00C22F6F"/>
    <w:rsid w:val="00C23E91"/>
    <w:rsid w:val="00C24F89"/>
    <w:rsid w:val="00C258D2"/>
    <w:rsid w:val="00C25B35"/>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E68"/>
    <w:rsid w:val="00C63FF4"/>
    <w:rsid w:val="00C6459C"/>
    <w:rsid w:val="00C70E45"/>
    <w:rsid w:val="00C766F3"/>
    <w:rsid w:val="00C80FFC"/>
    <w:rsid w:val="00C85B9D"/>
    <w:rsid w:val="00C8739A"/>
    <w:rsid w:val="00C87643"/>
    <w:rsid w:val="00C92D26"/>
    <w:rsid w:val="00C930DF"/>
    <w:rsid w:val="00C947BA"/>
    <w:rsid w:val="00C96B57"/>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0ACD"/>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55B14"/>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E3AF8"/>
    <w:rsid w:val="00DF50D5"/>
    <w:rsid w:val="00E00C60"/>
    <w:rsid w:val="00E0593E"/>
    <w:rsid w:val="00E07F89"/>
    <w:rsid w:val="00E1108A"/>
    <w:rsid w:val="00E1312B"/>
    <w:rsid w:val="00E13B15"/>
    <w:rsid w:val="00E1622E"/>
    <w:rsid w:val="00E23B7B"/>
    <w:rsid w:val="00E26CA6"/>
    <w:rsid w:val="00E31C3D"/>
    <w:rsid w:val="00E327A3"/>
    <w:rsid w:val="00E33CC5"/>
    <w:rsid w:val="00E33DBC"/>
    <w:rsid w:val="00E35DB7"/>
    <w:rsid w:val="00E368A6"/>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96772"/>
    <w:rsid w:val="00EA0A4B"/>
    <w:rsid w:val="00EA10DC"/>
    <w:rsid w:val="00EB3C04"/>
    <w:rsid w:val="00EB4E3E"/>
    <w:rsid w:val="00EB63E1"/>
    <w:rsid w:val="00EC637E"/>
    <w:rsid w:val="00ED3A00"/>
    <w:rsid w:val="00ED5E76"/>
    <w:rsid w:val="00EE2E1D"/>
    <w:rsid w:val="00EE42A5"/>
    <w:rsid w:val="00EF0533"/>
    <w:rsid w:val="00EF6131"/>
    <w:rsid w:val="00F02AED"/>
    <w:rsid w:val="00F104A5"/>
    <w:rsid w:val="00F15B2D"/>
    <w:rsid w:val="00F16805"/>
    <w:rsid w:val="00F17E64"/>
    <w:rsid w:val="00F225DA"/>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1B45"/>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3C97"/>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32</cp:revision>
  <cp:lastPrinted>2025-09-25T07:26:00Z</cp:lastPrinted>
  <dcterms:created xsi:type="dcterms:W3CDTF">2025-06-18T08:10:00Z</dcterms:created>
  <dcterms:modified xsi:type="dcterms:W3CDTF">2025-09-25T07:26:00Z</dcterms:modified>
</cp:coreProperties>
</file>