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02CE4E6" w:rsidR="00A93F91" w:rsidRPr="00E53506" w:rsidRDefault="00103478" w:rsidP="00227D40">
      <w:pPr>
        <w:pStyle w:val="SCSATitle1"/>
        <w:rPr>
          <w:rFonts w:ascii="Calibri" w:hAnsi="Calibri"/>
        </w:rPr>
      </w:pPr>
      <w:r w:rsidRPr="00E53506">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86571">
        <w:rPr>
          <w:noProof/>
        </w:rPr>
        <w:t>Materials Design</w:t>
      </w:r>
      <w:r w:rsidR="00AC565C">
        <w:rPr>
          <w:noProof/>
        </w:rPr>
        <w:t xml:space="preserve"> and Technology</w:t>
      </w:r>
    </w:p>
    <w:p w14:paraId="48A9D027" w14:textId="03941D2C" w:rsidR="00AA2B0D" w:rsidRPr="00A93F91" w:rsidRDefault="00EF6FA0" w:rsidP="00227D40">
      <w:pPr>
        <w:pStyle w:val="SCSATitle2"/>
      </w:pPr>
      <w:r>
        <w:t>General</w:t>
      </w:r>
      <w:r w:rsidR="00AC565C">
        <w:t xml:space="preserve"> </w:t>
      </w:r>
      <w:r w:rsidR="00AA2B0D" w:rsidRPr="00A93F91">
        <w:t>course</w:t>
      </w:r>
    </w:p>
    <w:p w14:paraId="48E1D5DD" w14:textId="03BB3FC8" w:rsidR="001F2E53" w:rsidRDefault="00326EAC" w:rsidP="00227D40">
      <w:pPr>
        <w:pStyle w:val="SCSATitle3"/>
      </w:pPr>
      <w:r w:rsidRPr="00B41296">
        <w:t xml:space="preserve">Year </w:t>
      </w:r>
      <w:r w:rsidR="00516F12">
        <w:t>1</w:t>
      </w:r>
      <w:r w:rsidR="0064642F">
        <w:t>2</w:t>
      </w:r>
      <w:r w:rsidR="00F06A09">
        <w:t xml:space="preserve"> </w:t>
      </w:r>
      <w:r w:rsidR="00FC77F4">
        <w:t>s</w:t>
      </w:r>
      <w:r w:rsidRPr="00B41296">
        <w:t xml:space="preserve">yllabus </w:t>
      </w:r>
      <w:r w:rsidR="00FE6119">
        <w:t xml:space="preserve">– What’s changing: General capabilities </w:t>
      </w:r>
    </w:p>
    <w:p w14:paraId="35A356C3" w14:textId="7DAD057C" w:rsidR="002C05E5" w:rsidRPr="00B41296" w:rsidRDefault="001F2E53" w:rsidP="00227D40">
      <w:pPr>
        <w:pStyle w:val="SCSATitle3"/>
      </w:pPr>
      <w:bookmarkStart w:id="0" w:name="_Hlk197502329"/>
      <w:r>
        <w:t xml:space="preserve">For teaching in </w:t>
      </w:r>
      <w:bookmarkEnd w:id="0"/>
      <w:r w:rsidR="00516F12">
        <w:t>202</w:t>
      </w:r>
      <w:r w:rsidR="0064642F">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564A428" w14:textId="77777777" w:rsidR="001C4E44" w:rsidRPr="001C4E44" w:rsidRDefault="001C4E44" w:rsidP="001C4E44">
      <w:pPr>
        <w:spacing w:after="160" w:line="259" w:lineRule="auto"/>
        <w:rPr>
          <w:rFonts w:ascii="Calibri" w:eastAsia="DengXian" w:hAnsi="Calibri" w:cs="Calibri"/>
          <w:b/>
          <w:bCs/>
          <w:lang w:eastAsia="zh-CN"/>
          <w14:ligatures w14:val="standardContextual"/>
        </w:rPr>
      </w:pPr>
      <w:bookmarkStart w:id="1" w:name="_Hlk206576102"/>
      <w:r w:rsidRPr="001C4E44">
        <w:rPr>
          <w:rFonts w:ascii="Calibri" w:eastAsia="DengXian" w:hAnsi="Calibri" w:cs="Calibri"/>
          <w:b/>
          <w:bCs/>
          <w:lang w:eastAsia="zh-CN"/>
          <w14:ligatures w14:val="standardContextual"/>
        </w:rPr>
        <w:t xml:space="preserve">Background </w:t>
      </w:r>
    </w:p>
    <w:p w14:paraId="00FA493C" w14:textId="77777777" w:rsidR="001C4E44" w:rsidRPr="001C4E44" w:rsidRDefault="001C4E44" w:rsidP="001C4E44">
      <w:pPr>
        <w:spacing w:after="160" w:line="259" w:lineRule="auto"/>
        <w:rPr>
          <w:rFonts w:ascii="Calibri" w:eastAsia="DengXian" w:hAnsi="Calibri" w:cs="Calibri"/>
          <w:lang w:eastAsia="zh-CN"/>
          <w14:ligatures w14:val="standardContextual"/>
        </w:rPr>
      </w:pPr>
      <w:r w:rsidRPr="001C4E44">
        <w:rPr>
          <w:rFonts w:ascii="Calibri" w:eastAsia="DengXian" w:hAnsi="Calibri" w:cs="Calibri"/>
          <w:lang w:eastAsia="zh-CN"/>
          <w14:ligatures w14:val="standardContextual"/>
        </w:rPr>
        <w:t xml:space="preserve">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 </w:t>
      </w:r>
    </w:p>
    <w:p w14:paraId="1CD826D7" w14:textId="77777777" w:rsidR="001C4E44" w:rsidRPr="001C4E44" w:rsidRDefault="001C4E44" w:rsidP="001C4E44">
      <w:pPr>
        <w:spacing w:after="1440" w:line="259" w:lineRule="auto"/>
        <w:rPr>
          <w:rFonts w:ascii="Calibri" w:eastAsia="DengXian" w:hAnsi="Calibri" w:cs="Calibri"/>
          <w:lang w:eastAsia="zh-CN"/>
          <w14:ligatures w14:val="standardContextual"/>
        </w:rPr>
      </w:pPr>
      <w:r w:rsidRPr="001C4E44">
        <w:rPr>
          <w:rFonts w:ascii="Calibri" w:eastAsia="DengXian" w:hAnsi="Calibri" w:cs="Calibri"/>
          <w:lang w:eastAsia="zh-CN"/>
          <w14:ligatures w14:val="standardContextual"/>
        </w:rPr>
        <w:t xml:space="preserve">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 </w:t>
      </w:r>
    </w:p>
    <w:p w14:paraId="2B56C7BF" w14:textId="77777777" w:rsidR="001C4E44" w:rsidRPr="001C4E44" w:rsidRDefault="001C4E44" w:rsidP="001C4E44">
      <w:pPr>
        <w:spacing w:after="160" w:line="259" w:lineRule="auto"/>
        <w:rPr>
          <w:rFonts w:ascii="Calibri" w:eastAsia="DengXian" w:hAnsi="Calibri" w:cs="Calibri"/>
          <w:b/>
          <w:bCs/>
          <w:sz w:val="20"/>
          <w:szCs w:val="20"/>
          <w:lang w:eastAsia="zh-CN"/>
          <w14:ligatures w14:val="standardContextual"/>
        </w:rPr>
      </w:pPr>
      <w:r w:rsidRPr="001C4E44">
        <w:rPr>
          <w:rFonts w:ascii="Calibri" w:eastAsia="DengXian" w:hAnsi="Calibri" w:cs="Calibri"/>
          <w:b/>
          <w:bCs/>
          <w:sz w:val="20"/>
          <w:szCs w:val="20"/>
          <w:lang w:eastAsia="zh-CN"/>
          <w14:ligatures w14:val="standardContextual"/>
        </w:rPr>
        <w:t xml:space="preserve">Important information </w:t>
      </w:r>
    </w:p>
    <w:p w14:paraId="3B39ADDC" w14:textId="77777777" w:rsidR="001C4E44" w:rsidRPr="001C4E44" w:rsidRDefault="001C4E44" w:rsidP="001C4E44">
      <w:pPr>
        <w:spacing w:after="160" w:line="259" w:lineRule="auto"/>
        <w:rPr>
          <w:rFonts w:ascii="Calibri" w:eastAsia="DengXian" w:hAnsi="Calibri" w:cs="Calibri"/>
          <w:b/>
          <w:bCs/>
          <w:sz w:val="20"/>
          <w:szCs w:val="20"/>
          <w:lang w:eastAsia="zh-CN"/>
          <w14:ligatures w14:val="standardContextual"/>
        </w:rPr>
      </w:pPr>
      <w:r w:rsidRPr="001C4E44">
        <w:rPr>
          <w:rFonts w:ascii="Calibri" w:eastAsia="DengXian" w:hAnsi="Calibri" w:cs="Calibri"/>
          <w:b/>
          <w:bCs/>
          <w:sz w:val="20"/>
          <w:szCs w:val="20"/>
          <w:lang w:eastAsia="zh-CN"/>
          <w14:ligatures w14:val="standardContextual"/>
        </w:rPr>
        <w:t xml:space="preserve">WACE Refreshment: Investigating the assessment and reporting of the general capabilities on the Western Australian Statement of Student Achievement (WASSA) </w:t>
      </w:r>
    </w:p>
    <w:p w14:paraId="2ECFAD59" w14:textId="77777777" w:rsidR="001C4E44" w:rsidRPr="001C4E44" w:rsidRDefault="001C4E44" w:rsidP="001C4E44">
      <w:pPr>
        <w:spacing w:after="160" w:line="259" w:lineRule="auto"/>
        <w:rPr>
          <w:rFonts w:ascii="Calibri" w:eastAsia="DengXian" w:hAnsi="Calibri" w:cs="Calibri"/>
          <w:sz w:val="20"/>
          <w:szCs w:val="20"/>
          <w:lang w:eastAsia="zh-CN"/>
          <w14:ligatures w14:val="standardContextual"/>
        </w:rPr>
      </w:pPr>
      <w:r w:rsidRPr="001C4E44">
        <w:rPr>
          <w:rFonts w:ascii="Calibri" w:eastAsia="DengXian" w:hAnsi="Calibri" w:cs="Calibri"/>
          <w:sz w:val="20"/>
          <w:szCs w:val="20"/>
          <w:lang w:eastAsia="zh-CN"/>
          <w14:ligatures w14:val="standardContextual"/>
        </w:rPr>
        <w:t xml:space="preserve">This document contains information that will be included in the syllabus effective from 1 January 2027. </w:t>
      </w:r>
    </w:p>
    <w:p w14:paraId="7039F803" w14:textId="77777777" w:rsidR="001C4E44" w:rsidRPr="001C4E44" w:rsidRDefault="001C4E44" w:rsidP="001C4E44">
      <w:pPr>
        <w:spacing w:after="160" w:line="259" w:lineRule="auto"/>
        <w:rPr>
          <w:rFonts w:ascii="Calibri" w:eastAsia="DengXian" w:hAnsi="Calibri" w:cs="Calibri"/>
          <w:sz w:val="20"/>
          <w:szCs w:val="20"/>
          <w:lang w:eastAsia="zh-CN"/>
          <w14:ligatures w14:val="standardContextual"/>
        </w:rPr>
      </w:pPr>
      <w:r w:rsidRPr="001C4E44">
        <w:rPr>
          <w:rFonts w:ascii="Calibri" w:eastAsia="DengXian" w:hAnsi="Calibri" w:cs="Calibri"/>
          <w:sz w:val="20"/>
          <w:szCs w:val="20"/>
          <w:lang w:eastAsia="zh-CN"/>
          <w14:ligatures w14:val="standardContextual"/>
        </w:rPr>
        <w:t xml:space="preserve">Users of the syllabus are responsible for checking its currency. </w:t>
      </w:r>
    </w:p>
    <w:p w14:paraId="7AEC6C45" w14:textId="77777777" w:rsidR="001C4E44" w:rsidRPr="001C4E44" w:rsidRDefault="001C4E44" w:rsidP="001C4E44">
      <w:pPr>
        <w:spacing w:after="160" w:line="259" w:lineRule="auto"/>
        <w:rPr>
          <w:rFonts w:ascii="Calibri" w:eastAsia="DengXian" w:hAnsi="Calibri" w:cs="Calibri"/>
          <w:sz w:val="20"/>
          <w:szCs w:val="20"/>
          <w:lang w:eastAsia="zh-CN"/>
          <w14:ligatures w14:val="standardContextual"/>
        </w:rPr>
      </w:pPr>
      <w:r w:rsidRPr="001C4E44">
        <w:rPr>
          <w:rFonts w:ascii="Calibri" w:eastAsia="DengXian" w:hAnsi="Calibri" w:cs="Calibri"/>
          <w:sz w:val="20"/>
          <w:szCs w:val="20"/>
          <w:lang w:eastAsia="zh-CN"/>
          <w14:ligatures w14:val="standardContextual"/>
        </w:rPr>
        <w:t xml:space="preserve">Syllabuses are formally reviewed by the Authority on a cyclical basis, typically every five years. </w:t>
      </w:r>
    </w:p>
    <w:p w14:paraId="5B028388" w14:textId="77777777" w:rsidR="001C4E44" w:rsidRPr="001C4E44" w:rsidRDefault="001C4E44" w:rsidP="001C4E44">
      <w:pPr>
        <w:spacing w:after="160" w:line="259" w:lineRule="auto"/>
        <w:jc w:val="both"/>
        <w:rPr>
          <w:rFonts w:ascii="Calibri" w:eastAsia="DengXian" w:hAnsi="Calibri" w:cs="Calibri"/>
          <w:b/>
          <w:sz w:val="20"/>
          <w:szCs w:val="20"/>
          <w:lang w:eastAsia="zh-CN"/>
          <w14:ligatures w14:val="standardContextual"/>
        </w:rPr>
      </w:pPr>
      <w:r w:rsidRPr="001C4E44">
        <w:rPr>
          <w:rFonts w:ascii="Calibri" w:eastAsia="DengXian" w:hAnsi="Calibri" w:cs="Calibri"/>
          <w:b/>
          <w:sz w:val="20"/>
          <w:szCs w:val="20"/>
          <w:lang w:eastAsia="zh-CN"/>
          <w14:ligatures w14:val="standardContextual"/>
        </w:rPr>
        <w:t>Copyright</w:t>
      </w:r>
    </w:p>
    <w:p w14:paraId="0A7CEAFA" w14:textId="77777777" w:rsidR="001C4E44" w:rsidRPr="001C4E44" w:rsidRDefault="001C4E44" w:rsidP="001C4E44">
      <w:pPr>
        <w:jc w:val="both"/>
        <w:rPr>
          <w:rFonts w:ascii="Calibri" w:eastAsia="DengXian" w:hAnsi="Calibri" w:cs="Calibri"/>
          <w:sz w:val="20"/>
          <w:szCs w:val="20"/>
          <w:lang w:val="en-GB" w:eastAsia="zh-CN"/>
          <w14:ligatures w14:val="standardContextual"/>
        </w:rPr>
      </w:pPr>
      <w:r w:rsidRPr="001C4E44">
        <w:rPr>
          <w:rFonts w:ascii="Calibri" w:eastAsia="DengXian" w:hAnsi="Calibri" w:cs="Calibri"/>
          <w:sz w:val="20"/>
          <w:szCs w:val="20"/>
          <w:lang w:val="en-GB" w:eastAsia="zh-CN"/>
          <w14:ligatures w14:val="standardContextual"/>
        </w:rPr>
        <w:t>© School Curriculum and Standards Authority, 2025</w:t>
      </w:r>
    </w:p>
    <w:p w14:paraId="754F21E1" w14:textId="77777777" w:rsidR="001C4E44" w:rsidRPr="001C4E44" w:rsidRDefault="001C4E44" w:rsidP="001C4E44">
      <w:pPr>
        <w:rPr>
          <w:rFonts w:ascii="Calibri" w:eastAsia="DengXian" w:hAnsi="Calibri" w:cs="Calibri"/>
          <w:sz w:val="20"/>
          <w:szCs w:val="20"/>
          <w:lang w:eastAsia="zh-CN"/>
          <w14:ligatures w14:val="standardContextual"/>
        </w:rPr>
      </w:pPr>
      <w:r w:rsidRPr="001C4E44">
        <w:rPr>
          <w:rFonts w:ascii="Calibri" w:eastAsia="DengXian" w:hAnsi="Calibri" w:cs="Calibri"/>
          <w:sz w:val="20"/>
          <w:szCs w:val="20"/>
          <w:lang w:eastAsia="zh-CN"/>
          <w14:ligatures w14:val="standardContextual"/>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7D3A341" w14:textId="77777777" w:rsidR="001C4E44" w:rsidRPr="001C4E44" w:rsidRDefault="001C4E44" w:rsidP="001C4E44">
      <w:pPr>
        <w:rPr>
          <w:rFonts w:ascii="Calibri" w:eastAsia="DengXian" w:hAnsi="Calibri" w:cs="Calibri"/>
          <w:sz w:val="20"/>
          <w:szCs w:val="20"/>
          <w:lang w:eastAsia="zh-CN"/>
          <w14:ligatures w14:val="standardContextual"/>
        </w:rPr>
      </w:pPr>
      <w:r w:rsidRPr="001C4E44">
        <w:rPr>
          <w:rFonts w:ascii="Calibri" w:eastAsia="DengXian" w:hAnsi="Calibri" w:cs="Calibri"/>
          <w:sz w:val="20"/>
          <w:szCs w:val="20"/>
          <w:lang w:eastAsia="zh-CN"/>
          <w14:ligatures w14:val="standardContextual"/>
        </w:rPr>
        <w:t>Copying or communication for any other purpose can be done only within the terms of the</w:t>
      </w:r>
      <w:r w:rsidRPr="001C4E44">
        <w:rPr>
          <w:rFonts w:ascii="Calibri" w:eastAsia="DengXian" w:hAnsi="Calibri" w:cs="Calibri"/>
          <w:i/>
          <w:iCs/>
          <w:sz w:val="20"/>
          <w:szCs w:val="20"/>
          <w:lang w:eastAsia="zh-CN"/>
          <w14:ligatures w14:val="standardContextual"/>
        </w:rPr>
        <w:t xml:space="preserve"> Copyright Act 1968</w:t>
      </w:r>
      <w:r w:rsidRPr="001C4E44">
        <w:rPr>
          <w:rFonts w:ascii="Calibri" w:eastAsia="DengXian" w:hAnsi="Calibri" w:cs="Calibri"/>
          <w:sz w:val="20"/>
          <w:szCs w:val="20"/>
          <w:lang w:eastAsia="zh-CN"/>
          <w14:ligatures w14:val="standardContextual"/>
        </w:rPr>
        <w:t xml:space="preserve"> or with prior written permission of the Authority. Copying or communication of any third-party copyright material can be done only within the terms of the </w:t>
      </w:r>
      <w:r w:rsidRPr="001C4E44">
        <w:rPr>
          <w:rFonts w:ascii="Calibri" w:eastAsia="DengXian" w:hAnsi="Calibri" w:cs="Calibri"/>
          <w:i/>
          <w:iCs/>
          <w:sz w:val="20"/>
          <w:szCs w:val="20"/>
          <w:lang w:eastAsia="zh-CN"/>
          <w14:ligatures w14:val="standardContextual"/>
        </w:rPr>
        <w:t>Copyright Act 1968</w:t>
      </w:r>
      <w:r w:rsidRPr="001C4E44">
        <w:rPr>
          <w:rFonts w:ascii="Calibri" w:eastAsia="DengXian" w:hAnsi="Calibri" w:cs="Calibri"/>
          <w:sz w:val="20"/>
          <w:szCs w:val="20"/>
          <w:lang w:eastAsia="zh-CN"/>
          <w14:ligatures w14:val="standardContextual"/>
        </w:rPr>
        <w:t xml:space="preserve"> or with permission of the copyright owners.</w:t>
      </w:r>
    </w:p>
    <w:p w14:paraId="0D2AF1D2" w14:textId="77777777" w:rsidR="001C4E44" w:rsidRPr="001C4E44" w:rsidRDefault="001C4E44" w:rsidP="001C4E44">
      <w:pPr>
        <w:rPr>
          <w:rFonts w:ascii="Calibri" w:eastAsia="DengXian" w:hAnsi="Calibri" w:cs="Calibri"/>
          <w:lang w:eastAsia="zh-CN"/>
          <w14:ligatures w14:val="standardContextual"/>
        </w:rPr>
      </w:pPr>
      <w:r w:rsidRPr="001C4E44">
        <w:rPr>
          <w:rFonts w:ascii="Calibri" w:eastAsia="DengXian" w:hAnsi="Calibri" w:cs="Calibri"/>
          <w:sz w:val="20"/>
          <w:szCs w:val="20"/>
          <w:lang w:eastAsia="zh-CN"/>
          <w14:ligatures w14:val="standardContextual"/>
        </w:rPr>
        <w:t xml:space="preserve">Any content in this document that has been derived from the Australian Curriculum may be used under the terms of the </w:t>
      </w:r>
      <w:hyperlink r:id="rId9" w:tgtFrame="_blank" w:history="1">
        <w:r w:rsidRPr="001C4E44">
          <w:rPr>
            <w:rFonts w:ascii="Calibri" w:eastAsia="DengXian" w:hAnsi="Calibri" w:cs="Calibri"/>
            <w:color w:val="580F8B"/>
            <w:sz w:val="20"/>
            <w:szCs w:val="20"/>
            <w:u w:val="single"/>
            <w:lang w:eastAsia="zh-CN"/>
            <w14:ligatures w14:val="standardContextual"/>
          </w:rPr>
          <w:t>Creative Commons Attribution 4.0 International licence</w:t>
        </w:r>
      </w:hyperlink>
      <w:r w:rsidRPr="001C4E44">
        <w:rPr>
          <w:rFonts w:ascii="Arial" w:eastAsia="DengXian" w:hAnsi="Arial" w:cs="Latha"/>
          <w:lang w:eastAsia="zh-CN"/>
          <w14:ligatures w14:val="standardContextual"/>
        </w:rPr>
        <w:t>.</w:t>
      </w:r>
      <w:bookmarkEnd w:id="1"/>
    </w:p>
    <w:p w14:paraId="56FE8065" w14:textId="77777777" w:rsidR="00AC28E1" w:rsidRPr="00A93F91" w:rsidRDefault="00AC28E1" w:rsidP="006E2558">
      <w:pPr>
        <w:rPr>
          <w:sz w:val="14"/>
        </w:rPr>
        <w:sectPr w:rsidR="00AC28E1" w:rsidRPr="00A93F91" w:rsidSect="000C7DF3">
          <w:footerReference w:type="even" r:id="rId10"/>
          <w:pgSz w:w="11906" w:h="16838"/>
          <w:pgMar w:top="1644" w:right="1418" w:bottom="1276" w:left="1418" w:header="680" w:footer="567" w:gutter="0"/>
          <w:cols w:space="708"/>
          <w:titlePg/>
          <w:docGrid w:linePitch="360"/>
        </w:sectPr>
      </w:pPr>
    </w:p>
    <w:p w14:paraId="5105619C" w14:textId="77777777" w:rsidR="003108D9" w:rsidRPr="006054A2" w:rsidRDefault="003108D9" w:rsidP="003108D9">
      <w:pPr>
        <w:pStyle w:val="SCSAHeading2"/>
      </w:pPr>
      <w:r w:rsidRPr="006054A2">
        <w:lastRenderedPageBreak/>
        <w:t>Representation of the general capabilities</w:t>
      </w:r>
    </w:p>
    <w:p w14:paraId="567E6D18" w14:textId="79DCB161" w:rsidR="003108D9" w:rsidRDefault="00DB0F5D" w:rsidP="00D85F25">
      <w:bookmarkStart w:id="2"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2"/>
      <w:r>
        <w:t xml:space="preserve"> </w:t>
      </w:r>
      <w:r w:rsidR="003108D9" w:rsidRPr="009C3CBD">
        <w:t xml:space="preserve">Teachers should find opportunities to incorporate the following capabilities into the teaching and learning program for the </w:t>
      </w:r>
      <w:bookmarkStart w:id="3" w:name="_Hlk197498480"/>
      <w:r w:rsidR="003108D9">
        <w:t>Materials Design and Technology General</w:t>
      </w:r>
      <w:r w:rsidR="003108D9" w:rsidRPr="009C3CBD">
        <w:t xml:space="preserve"> </w:t>
      </w:r>
      <w:bookmarkEnd w:id="3"/>
      <w:r w:rsidR="003108D9" w:rsidRPr="009C3CBD">
        <w:t>course. The general capabilities are not assessed unless they are identified within the specified unit content.</w:t>
      </w:r>
    </w:p>
    <w:p w14:paraId="2E8D5CFA" w14:textId="77777777" w:rsidR="003108D9" w:rsidRPr="009C3CBD" w:rsidRDefault="003108D9" w:rsidP="003108D9">
      <w:pPr>
        <w:pStyle w:val="SCSAHeading3"/>
      </w:pPr>
      <w:r w:rsidRPr="009C3CBD">
        <w:t>Critical and creative thinking</w:t>
      </w:r>
    </w:p>
    <w:p w14:paraId="75009610" w14:textId="77777777" w:rsidR="009F5B5B" w:rsidRPr="009F5B5B" w:rsidRDefault="009F5B5B" w:rsidP="009F5B5B">
      <w:r w:rsidRPr="009F5B5B">
        <w:t>Through the Materials, Design and Technology course, students are engaged with practical and creative pursuits that encourage innovation, critical thinking and problem-solving skills. These are transferable skills that can support pathways towards further education, vocational studies, apprenticeships or future employment. Through an iterative design thinking process, students learn to investigate and use strategies/tools such as brainstorming, rapid concept development and technical drawings to evaluate and communicate ideas and issues graphically.</w:t>
      </w:r>
    </w:p>
    <w:p w14:paraId="79548256" w14:textId="55E704CF" w:rsidR="009F5B5B" w:rsidRDefault="009F5B5B" w:rsidP="009F5B5B">
      <w:r w:rsidRPr="009F5B5B">
        <w:t>Students use a collaborative design process to generate innovative solutions and assess the feasibility of designs, considering factors like material properties, sustainability and production methods. The application of design thinking, ongoing reflection and problem</w:t>
      </w:r>
      <w:r w:rsidR="00F51107">
        <w:t>-</w:t>
      </w:r>
      <w:r w:rsidRPr="009F5B5B">
        <w:t>solving through an integrated approach prepares students to navigate ethical and social factors, and restrictions, such as cost and resourcing, of complex design with creativity and critical insight</w:t>
      </w:r>
      <w:r>
        <w:t>.</w:t>
      </w:r>
    </w:p>
    <w:p w14:paraId="74583875" w14:textId="77777777" w:rsidR="003108D9" w:rsidRDefault="003108D9" w:rsidP="003108D9">
      <w:pPr>
        <w:pStyle w:val="SCSAHeading3"/>
      </w:pPr>
      <w:r w:rsidRPr="009C3CBD">
        <w:t>Ethical understanding</w:t>
      </w:r>
    </w:p>
    <w:p w14:paraId="14941866" w14:textId="57D0B981" w:rsidR="009F5B5B" w:rsidRPr="009F5B5B" w:rsidRDefault="009F5B5B" w:rsidP="009F5B5B">
      <w:r w:rsidRPr="009F5B5B">
        <w:t>Students develop an understanding of ethics, values and beliefs to inform their design and choices within Materials, Design and Technology. Students apply this understanding, when responding to a brief or design problem. They examine how decisions made regarding materials and technologies affect communities and the environment. Students consider factors</w:t>
      </w:r>
      <w:r w:rsidR="00AE3DB4">
        <w:t>,</w:t>
      </w:r>
      <w:r w:rsidRPr="009F5B5B">
        <w:t xml:space="preserve"> such as resource availability and depletion, sourcing of sustainable materials, recycling, end</w:t>
      </w:r>
      <w:r>
        <w:t>-</w:t>
      </w:r>
      <w:r w:rsidRPr="009F5B5B">
        <w:t>of</w:t>
      </w:r>
      <w:r>
        <w:t>-</w:t>
      </w:r>
      <w:r w:rsidRPr="009F5B5B">
        <w:t xml:space="preserve">life strategies and waste management. </w:t>
      </w:r>
    </w:p>
    <w:p w14:paraId="40504E66" w14:textId="5373A886" w:rsidR="003108D9" w:rsidRDefault="009F5B5B" w:rsidP="00D85F25">
      <w:r w:rsidRPr="009F5B5B">
        <w:t>Through this process, students develop the skills to make informed decisions and reflect on the consequences of their actions. They learn to appreciate how resources, technology and emerging trends have evolved and impact industry, and how materials can be used to achieve design solutions with ethical considerations</w:t>
      </w:r>
      <w:r w:rsidR="003108D9" w:rsidRPr="00B05CAE">
        <w:t>.</w:t>
      </w:r>
    </w:p>
    <w:p w14:paraId="3BECE2B3" w14:textId="77777777" w:rsidR="00B07587" w:rsidRPr="009C3CBD" w:rsidRDefault="00B07587" w:rsidP="00B07587">
      <w:pPr>
        <w:pStyle w:val="SCSAHeading3"/>
      </w:pPr>
      <w:r w:rsidRPr="009C3CBD">
        <w:t>Literacy</w:t>
      </w:r>
    </w:p>
    <w:p w14:paraId="09C1D0D6" w14:textId="18FF3303" w:rsidR="00B07587" w:rsidRPr="00350BFF" w:rsidRDefault="00B07587" w:rsidP="00B07587">
      <w:r w:rsidRPr="00350BFF">
        <w:t xml:space="preserve">The course integrates </w:t>
      </w:r>
      <w:r>
        <w:t>literacy</w:t>
      </w:r>
      <w:r w:rsidRPr="00350BFF">
        <w:t xml:space="preserve"> through engagement in reading, viewing and writing activities. Students access design, materials and technological content through various forms, including texts, images and written technical materials.</w:t>
      </w:r>
      <w:r>
        <w:t xml:space="preserve"> </w:t>
      </w:r>
      <w:r w:rsidRPr="00350BFF">
        <w:t xml:space="preserve">They learn to investigate, interpret and apply design and technology </w:t>
      </w:r>
      <w:r w:rsidR="00B2269E">
        <w:t>principles</w:t>
      </w:r>
      <w:r w:rsidR="00B2269E" w:rsidRPr="00350BFF">
        <w:t xml:space="preserve"> </w:t>
      </w:r>
      <w:r w:rsidRPr="00350BFF">
        <w:t>to devise solutions for tasks. A focus on literacy equips students with the skills to effectively communicate ideas, processes and evaluations in relation to design activities and the development of functional products.</w:t>
      </w:r>
    </w:p>
    <w:p w14:paraId="39102875" w14:textId="77777777" w:rsidR="00B07587" w:rsidRPr="00B05CAE" w:rsidRDefault="00B07587" w:rsidP="00D85F25"/>
    <w:p w14:paraId="63DC694F" w14:textId="77777777" w:rsidR="003108D9" w:rsidRPr="009C3CBD" w:rsidRDefault="003108D9" w:rsidP="003108D9">
      <w:r w:rsidRPr="009C3CBD">
        <w:br w:type="page"/>
      </w:r>
    </w:p>
    <w:p w14:paraId="19C0D5C4" w14:textId="77777777" w:rsidR="003108D9" w:rsidRPr="009C3CBD" w:rsidRDefault="003108D9" w:rsidP="003108D9">
      <w:pPr>
        <w:pStyle w:val="SCSAHeading3"/>
      </w:pPr>
      <w:r w:rsidRPr="009C3CBD">
        <w:lastRenderedPageBreak/>
        <w:t>Addressing the other general capabilities</w:t>
      </w:r>
    </w:p>
    <w:p w14:paraId="15D5806B" w14:textId="6E9CCEDE" w:rsidR="003108D9" w:rsidRPr="00047A3D" w:rsidRDefault="003108D9" w:rsidP="00D85F25">
      <w:r w:rsidRPr="00047A3D">
        <w:t xml:space="preserve">Although the following general capabilities have not been identified as a focus in the Materials Design and Technologies General </w:t>
      </w:r>
      <w:r w:rsidR="00B07587">
        <w:t>Year 12 syllabus</w:t>
      </w:r>
      <w:r w:rsidRPr="00047A3D">
        <w:t>, teachers may find opportunities to incorporate these capabilities into the teaching and learning program.</w:t>
      </w:r>
    </w:p>
    <w:p w14:paraId="1AE09FC3" w14:textId="77777777" w:rsidR="00B07587" w:rsidRPr="00047A3D" w:rsidRDefault="00B07587" w:rsidP="00B07587">
      <w:pPr>
        <w:pStyle w:val="ListParagraph"/>
        <w:numPr>
          <w:ilvl w:val="0"/>
          <w:numId w:val="21"/>
        </w:numPr>
      </w:pPr>
      <w:r w:rsidRPr="00047A3D">
        <w:t xml:space="preserve">Digital literacy </w:t>
      </w:r>
    </w:p>
    <w:p w14:paraId="4310089D" w14:textId="77777777" w:rsidR="00B07587" w:rsidRPr="00047A3D" w:rsidRDefault="00B07587" w:rsidP="00B07587">
      <w:pPr>
        <w:pStyle w:val="ListParagraph"/>
        <w:numPr>
          <w:ilvl w:val="0"/>
          <w:numId w:val="21"/>
        </w:numPr>
      </w:pPr>
      <w:r w:rsidRPr="00047A3D">
        <w:t>Intercultural understanding</w:t>
      </w:r>
    </w:p>
    <w:p w14:paraId="3AAC55E6" w14:textId="0F029AA4" w:rsidR="003108D9" w:rsidRPr="00047A3D" w:rsidRDefault="003108D9" w:rsidP="00D85F25">
      <w:pPr>
        <w:pStyle w:val="ListParagraph"/>
        <w:numPr>
          <w:ilvl w:val="0"/>
          <w:numId w:val="21"/>
        </w:numPr>
      </w:pPr>
      <w:r w:rsidRPr="00047A3D">
        <w:t>Numeracy</w:t>
      </w:r>
    </w:p>
    <w:p w14:paraId="36CFB078" w14:textId="77777777" w:rsidR="003108D9" w:rsidRPr="00047A3D" w:rsidRDefault="003108D9" w:rsidP="00D85F25">
      <w:pPr>
        <w:pStyle w:val="ListParagraph"/>
        <w:numPr>
          <w:ilvl w:val="0"/>
          <w:numId w:val="21"/>
        </w:numPr>
      </w:pPr>
      <w:r w:rsidRPr="00047A3D">
        <w:t>Personal and social capabilities</w:t>
      </w:r>
    </w:p>
    <w:p w14:paraId="37185193" w14:textId="77777777" w:rsidR="003108D9" w:rsidRPr="00047A3D" w:rsidRDefault="003108D9" w:rsidP="00D85F25">
      <w:r w:rsidRPr="00047A3D">
        <w:t xml:space="preserve">Such opportunities may occur through the application of different contexts, pedagogical practices and/or assessment strategies that relate to the syllabus as part of the teaching and learning program. </w:t>
      </w:r>
    </w:p>
    <w:p w14:paraId="3AFE35AA" w14:textId="28E327F6" w:rsidR="003108D9" w:rsidRPr="009C3CBD" w:rsidRDefault="003108D9" w:rsidP="003108D9">
      <w:pPr>
        <w:pStyle w:val="SCSAHeading3"/>
      </w:pPr>
      <w:r w:rsidRPr="00B05CAE">
        <w:t>Summary representation of the General Capabilities in the Materials Design and Technology General course</w:t>
      </w:r>
    </w:p>
    <w:p w14:paraId="455D9C9D" w14:textId="3B96323C" w:rsidR="003108D9" w:rsidRDefault="00C71C59" w:rsidP="003108D9">
      <w:bookmarkStart w:id="4" w:name="_Hlk202948028"/>
      <w:r>
        <w:t>A representation of the general capabilities for the two years is summarised in the table below.</w:t>
      </w:r>
    </w:p>
    <w:tbl>
      <w:tblPr>
        <w:tblStyle w:val="SCSATableclearstyle"/>
        <w:tblW w:w="5024" w:type="pct"/>
        <w:tblLayout w:type="fixed"/>
        <w:tblLook w:val="04A0" w:firstRow="1" w:lastRow="0" w:firstColumn="1" w:lastColumn="0" w:noHBand="0" w:noVBand="1"/>
      </w:tblPr>
      <w:tblGrid>
        <w:gridCol w:w="834"/>
        <w:gridCol w:w="3753"/>
        <w:gridCol w:w="976"/>
        <w:gridCol w:w="504"/>
        <w:gridCol w:w="505"/>
        <w:gridCol w:w="505"/>
        <w:gridCol w:w="505"/>
        <w:gridCol w:w="505"/>
        <w:gridCol w:w="505"/>
        <w:gridCol w:w="505"/>
        <w:gridCol w:w="6"/>
      </w:tblGrid>
      <w:tr w:rsidR="00B07587" w:rsidRPr="006A76EA" w14:paraId="4795E657" w14:textId="77777777" w:rsidTr="00B07587">
        <w:trPr>
          <w:cnfStyle w:val="100000000000" w:firstRow="1" w:lastRow="0" w:firstColumn="0" w:lastColumn="0" w:oddVBand="0" w:evenVBand="0" w:oddHBand="0" w:evenHBand="0" w:firstRowFirstColumn="0" w:firstRowLastColumn="0" w:lastRowFirstColumn="0" w:lastRowLastColumn="0"/>
          <w:trHeight w:val="261"/>
        </w:trPr>
        <w:tc>
          <w:tcPr>
            <w:tcW w:w="834" w:type="dxa"/>
            <w:vMerge w:val="restart"/>
          </w:tcPr>
          <w:p w14:paraId="327D288C" w14:textId="77777777" w:rsidR="00B07587" w:rsidRPr="006A76EA" w:rsidRDefault="00B07587" w:rsidP="009B6D3C">
            <w:pPr>
              <w:spacing w:after="100" w:afterAutospacing="1"/>
              <w:rPr>
                <w:b w:val="0"/>
                <w:bCs/>
              </w:rPr>
            </w:pPr>
            <w:r w:rsidRPr="006A76EA">
              <w:rPr>
                <w:bCs/>
              </w:rPr>
              <w:t>Year</w:t>
            </w:r>
          </w:p>
        </w:tc>
        <w:tc>
          <w:tcPr>
            <w:tcW w:w="3753" w:type="dxa"/>
            <w:vMerge w:val="restart"/>
          </w:tcPr>
          <w:p w14:paraId="06895DE7" w14:textId="77777777" w:rsidR="00B07587" w:rsidRPr="006A76EA" w:rsidRDefault="00B07587" w:rsidP="009B6D3C">
            <w:pPr>
              <w:spacing w:after="100" w:afterAutospacing="1"/>
              <w:rPr>
                <w:b w:val="0"/>
                <w:bCs/>
              </w:rPr>
            </w:pPr>
            <w:r w:rsidRPr="006A76EA">
              <w:rPr>
                <w:bCs/>
              </w:rPr>
              <w:t>Course</w:t>
            </w:r>
          </w:p>
        </w:tc>
        <w:tc>
          <w:tcPr>
            <w:tcW w:w="976" w:type="dxa"/>
            <w:vMerge w:val="restart"/>
          </w:tcPr>
          <w:p w14:paraId="5EE40EA1" w14:textId="77777777" w:rsidR="00B07587" w:rsidRPr="006A76EA" w:rsidRDefault="00B07587" w:rsidP="009B6D3C">
            <w:pPr>
              <w:spacing w:after="100" w:afterAutospacing="1"/>
              <w:rPr>
                <w:b w:val="0"/>
                <w:bCs/>
              </w:rPr>
            </w:pPr>
            <w:r w:rsidRPr="006A76EA">
              <w:rPr>
                <w:bCs/>
              </w:rPr>
              <w:t>Course Type</w:t>
            </w:r>
          </w:p>
        </w:tc>
        <w:tc>
          <w:tcPr>
            <w:tcW w:w="3540" w:type="dxa"/>
            <w:gridSpan w:val="8"/>
          </w:tcPr>
          <w:p w14:paraId="6E121AAA" w14:textId="77777777" w:rsidR="00B07587" w:rsidRPr="006A76EA" w:rsidRDefault="00B07587" w:rsidP="009B6D3C">
            <w:pPr>
              <w:spacing w:after="100" w:afterAutospacing="1"/>
              <w:jc w:val="center"/>
              <w:rPr>
                <w:b w:val="0"/>
                <w:bCs/>
              </w:rPr>
            </w:pPr>
            <w:r w:rsidRPr="006A76EA">
              <w:rPr>
                <w:bCs/>
              </w:rPr>
              <w:t xml:space="preserve">General </w:t>
            </w:r>
            <w:r>
              <w:rPr>
                <w:bCs/>
              </w:rPr>
              <w:t>c</w:t>
            </w:r>
            <w:r w:rsidRPr="006A76EA">
              <w:rPr>
                <w:bCs/>
              </w:rPr>
              <w:t>apabilities</w:t>
            </w:r>
          </w:p>
        </w:tc>
      </w:tr>
      <w:tr w:rsidR="00B07587" w:rsidRPr="006A76EA" w14:paraId="42728004" w14:textId="77777777" w:rsidTr="00AD61BD">
        <w:trPr>
          <w:gridAfter w:val="1"/>
          <w:wAfter w:w="6" w:type="dxa"/>
          <w:trHeight w:val="142"/>
        </w:trPr>
        <w:tc>
          <w:tcPr>
            <w:tcW w:w="834" w:type="dxa"/>
            <w:vMerge/>
          </w:tcPr>
          <w:p w14:paraId="5CB277BD" w14:textId="77777777" w:rsidR="00B07587" w:rsidRPr="006A76EA" w:rsidRDefault="00B07587" w:rsidP="009B6D3C">
            <w:pPr>
              <w:spacing w:after="100" w:afterAutospacing="1"/>
              <w:rPr>
                <w:b/>
                <w:bCs/>
              </w:rPr>
            </w:pPr>
          </w:p>
        </w:tc>
        <w:tc>
          <w:tcPr>
            <w:tcW w:w="3753" w:type="dxa"/>
            <w:vMerge/>
          </w:tcPr>
          <w:p w14:paraId="45A86939" w14:textId="77777777" w:rsidR="00B07587" w:rsidRPr="006A76EA" w:rsidRDefault="00B07587" w:rsidP="009B6D3C">
            <w:pPr>
              <w:spacing w:after="100" w:afterAutospacing="1"/>
              <w:rPr>
                <w:b/>
                <w:bCs/>
              </w:rPr>
            </w:pPr>
          </w:p>
        </w:tc>
        <w:tc>
          <w:tcPr>
            <w:tcW w:w="976" w:type="dxa"/>
            <w:vMerge/>
          </w:tcPr>
          <w:p w14:paraId="68D98832" w14:textId="77777777" w:rsidR="00B07587" w:rsidRPr="006A76EA" w:rsidRDefault="00B07587" w:rsidP="009B6D3C">
            <w:pPr>
              <w:spacing w:after="100" w:afterAutospacing="1"/>
              <w:rPr>
                <w:b/>
                <w:bCs/>
              </w:rPr>
            </w:pPr>
          </w:p>
        </w:tc>
        <w:tc>
          <w:tcPr>
            <w:tcW w:w="504" w:type="dxa"/>
          </w:tcPr>
          <w:p w14:paraId="7C4AD3DB" w14:textId="7CD94186" w:rsidR="00B07587" w:rsidRPr="003F20A1" w:rsidRDefault="00B07587" w:rsidP="009B6D3C">
            <w:pPr>
              <w:spacing w:after="100" w:afterAutospacing="1"/>
              <w:jc w:val="center"/>
              <w:rPr>
                <w:b/>
                <w:bCs/>
                <w:sz w:val="18"/>
                <w:szCs w:val="18"/>
              </w:rPr>
            </w:pPr>
            <w:r>
              <w:rPr>
                <w:b/>
                <w:bCs/>
                <w:sz w:val="18"/>
                <w:szCs w:val="18"/>
              </w:rPr>
              <w:t>CCT</w:t>
            </w:r>
          </w:p>
        </w:tc>
        <w:tc>
          <w:tcPr>
            <w:tcW w:w="505" w:type="dxa"/>
          </w:tcPr>
          <w:p w14:paraId="5DAE75C3" w14:textId="2AB3E03A" w:rsidR="00B07587" w:rsidRPr="003F20A1" w:rsidRDefault="00B07587" w:rsidP="009B6D3C">
            <w:pPr>
              <w:spacing w:after="100" w:afterAutospacing="1"/>
              <w:jc w:val="center"/>
              <w:rPr>
                <w:b/>
                <w:bCs/>
                <w:sz w:val="18"/>
                <w:szCs w:val="18"/>
              </w:rPr>
            </w:pPr>
            <w:r>
              <w:rPr>
                <w:b/>
                <w:bCs/>
                <w:sz w:val="18"/>
                <w:szCs w:val="18"/>
              </w:rPr>
              <w:t>DL</w:t>
            </w:r>
          </w:p>
        </w:tc>
        <w:tc>
          <w:tcPr>
            <w:tcW w:w="505" w:type="dxa"/>
          </w:tcPr>
          <w:p w14:paraId="08E8A7C3" w14:textId="7B8041A8" w:rsidR="00B07587" w:rsidRPr="003F20A1" w:rsidRDefault="00B07587" w:rsidP="009B6D3C">
            <w:pPr>
              <w:spacing w:after="100" w:afterAutospacing="1"/>
              <w:jc w:val="center"/>
              <w:rPr>
                <w:b/>
                <w:bCs/>
                <w:sz w:val="18"/>
                <w:szCs w:val="18"/>
              </w:rPr>
            </w:pPr>
            <w:r>
              <w:rPr>
                <w:b/>
                <w:bCs/>
                <w:sz w:val="18"/>
                <w:szCs w:val="18"/>
              </w:rPr>
              <w:t>EU</w:t>
            </w:r>
          </w:p>
        </w:tc>
        <w:tc>
          <w:tcPr>
            <w:tcW w:w="505" w:type="dxa"/>
          </w:tcPr>
          <w:p w14:paraId="6078A939" w14:textId="2CE27EE4" w:rsidR="00B07587" w:rsidRPr="003F20A1" w:rsidRDefault="00B07587" w:rsidP="009B6D3C">
            <w:pPr>
              <w:spacing w:after="100" w:afterAutospacing="1"/>
              <w:jc w:val="center"/>
              <w:rPr>
                <w:b/>
                <w:bCs/>
                <w:sz w:val="18"/>
                <w:szCs w:val="18"/>
              </w:rPr>
            </w:pPr>
            <w:r>
              <w:rPr>
                <w:b/>
                <w:bCs/>
                <w:sz w:val="18"/>
                <w:szCs w:val="18"/>
              </w:rPr>
              <w:t>IU</w:t>
            </w:r>
          </w:p>
        </w:tc>
        <w:tc>
          <w:tcPr>
            <w:tcW w:w="505" w:type="dxa"/>
          </w:tcPr>
          <w:p w14:paraId="1000D131" w14:textId="68A5E238" w:rsidR="00B07587" w:rsidRPr="003F20A1" w:rsidRDefault="00B07587" w:rsidP="009B6D3C">
            <w:pPr>
              <w:spacing w:after="100" w:afterAutospacing="1"/>
              <w:jc w:val="center"/>
              <w:rPr>
                <w:b/>
                <w:bCs/>
                <w:sz w:val="18"/>
                <w:szCs w:val="18"/>
              </w:rPr>
            </w:pPr>
            <w:r>
              <w:rPr>
                <w:b/>
                <w:bCs/>
                <w:sz w:val="18"/>
                <w:szCs w:val="18"/>
              </w:rPr>
              <w:t>L</w:t>
            </w:r>
          </w:p>
        </w:tc>
        <w:tc>
          <w:tcPr>
            <w:tcW w:w="505" w:type="dxa"/>
          </w:tcPr>
          <w:p w14:paraId="0A660458" w14:textId="3284D30B" w:rsidR="00B07587" w:rsidRPr="003F20A1" w:rsidRDefault="00B07587" w:rsidP="009B6D3C">
            <w:pPr>
              <w:spacing w:after="100" w:afterAutospacing="1"/>
              <w:jc w:val="center"/>
              <w:rPr>
                <w:b/>
                <w:bCs/>
                <w:sz w:val="18"/>
                <w:szCs w:val="18"/>
              </w:rPr>
            </w:pPr>
            <w:r>
              <w:rPr>
                <w:b/>
                <w:bCs/>
                <w:sz w:val="18"/>
                <w:szCs w:val="18"/>
              </w:rPr>
              <w:t>N</w:t>
            </w:r>
          </w:p>
        </w:tc>
        <w:tc>
          <w:tcPr>
            <w:tcW w:w="505" w:type="dxa"/>
          </w:tcPr>
          <w:p w14:paraId="06C158A6" w14:textId="11A214A9" w:rsidR="00B07587" w:rsidRPr="003F20A1" w:rsidRDefault="00B07587" w:rsidP="009B6D3C">
            <w:pPr>
              <w:spacing w:after="100" w:afterAutospacing="1"/>
              <w:jc w:val="center"/>
              <w:rPr>
                <w:b/>
                <w:bCs/>
                <w:sz w:val="18"/>
                <w:szCs w:val="18"/>
              </w:rPr>
            </w:pPr>
            <w:r>
              <w:rPr>
                <w:b/>
                <w:bCs/>
                <w:sz w:val="18"/>
                <w:szCs w:val="18"/>
              </w:rPr>
              <w:t>PSC</w:t>
            </w:r>
          </w:p>
        </w:tc>
      </w:tr>
      <w:tr w:rsidR="007B4492" w14:paraId="28E03FF7" w14:textId="77777777" w:rsidTr="00AD61BD">
        <w:trPr>
          <w:gridAfter w:val="1"/>
          <w:wAfter w:w="6" w:type="dxa"/>
          <w:trHeight w:val="261"/>
        </w:trPr>
        <w:tc>
          <w:tcPr>
            <w:tcW w:w="834" w:type="dxa"/>
          </w:tcPr>
          <w:p w14:paraId="3DA5FDA2" w14:textId="77777777" w:rsidR="007B4492" w:rsidRDefault="007B4492" w:rsidP="007B4492">
            <w:pPr>
              <w:spacing w:after="100" w:afterAutospacing="1"/>
            </w:pPr>
            <w:r>
              <w:t>Year 11</w:t>
            </w:r>
          </w:p>
        </w:tc>
        <w:tc>
          <w:tcPr>
            <w:tcW w:w="3753" w:type="dxa"/>
          </w:tcPr>
          <w:p w14:paraId="24000413" w14:textId="77777777" w:rsidR="007B4492" w:rsidRDefault="007B4492" w:rsidP="007B4492">
            <w:pPr>
              <w:pStyle w:val="Default"/>
              <w:rPr>
                <w:sz w:val="20"/>
                <w:szCs w:val="20"/>
              </w:rPr>
            </w:pPr>
            <w:r>
              <w:rPr>
                <w:sz w:val="20"/>
                <w:szCs w:val="20"/>
              </w:rPr>
              <w:t xml:space="preserve">Materials Design and Technology (Metals) </w:t>
            </w:r>
          </w:p>
          <w:p w14:paraId="2FA906AC" w14:textId="77777777" w:rsidR="007B4492" w:rsidRDefault="007B4492" w:rsidP="007B4492">
            <w:pPr>
              <w:pStyle w:val="Default"/>
              <w:rPr>
                <w:sz w:val="20"/>
                <w:szCs w:val="20"/>
              </w:rPr>
            </w:pPr>
            <w:r>
              <w:rPr>
                <w:sz w:val="20"/>
                <w:szCs w:val="20"/>
              </w:rPr>
              <w:t>GEMDTM, G1MDTM, G2MDTM</w:t>
            </w:r>
          </w:p>
          <w:p w14:paraId="0271D00D" w14:textId="77777777" w:rsidR="007B4492" w:rsidRDefault="007B4492" w:rsidP="007B4492">
            <w:pPr>
              <w:pStyle w:val="Default"/>
              <w:rPr>
                <w:sz w:val="20"/>
                <w:szCs w:val="20"/>
              </w:rPr>
            </w:pPr>
            <w:r>
              <w:rPr>
                <w:sz w:val="20"/>
                <w:szCs w:val="20"/>
              </w:rPr>
              <w:t>Materials Design and Technology (Textiles)</w:t>
            </w:r>
          </w:p>
          <w:p w14:paraId="634734D9" w14:textId="77777777" w:rsidR="007B4492" w:rsidRDefault="007B4492" w:rsidP="007B4492">
            <w:pPr>
              <w:pStyle w:val="Default"/>
              <w:rPr>
                <w:sz w:val="20"/>
                <w:szCs w:val="20"/>
              </w:rPr>
            </w:pPr>
            <w:r>
              <w:rPr>
                <w:sz w:val="20"/>
                <w:szCs w:val="20"/>
              </w:rPr>
              <w:t>GEMDTT, G1MDTT, G2MDTT</w:t>
            </w:r>
          </w:p>
          <w:p w14:paraId="3DC35688" w14:textId="77777777" w:rsidR="007B4492" w:rsidRDefault="007B4492" w:rsidP="007B4492">
            <w:pPr>
              <w:pStyle w:val="Default"/>
              <w:rPr>
                <w:sz w:val="20"/>
                <w:szCs w:val="20"/>
              </w:rPr>
            </w:pPr>
            <w:r>
              <w:rPr>
                <w:sz w:val="20"/>
                <w:szCs w:val="20"/>
              </w:rPr>
              <w:t>Materials Design and Technology (Wood)</w:t>
            </w:r>
          </w:p>
          <w:p w14:paraId="09DB66E4" w14:textId="77777777" w:rsidR="007B4492" w:rsidRPr="00C62D6C" w:rsidRDefault="007B4492" w:rsidP="007B4492">
            <w:pPr>
              <w:pStyle w:val="Default"/>
              <w:rPr>
                <w:sz w:val="20"/>
                <w:szCs w:val="20"/>
              </w:rPr>
            </w:pPr>
            <w:r>
              <w:rPr>
                <w:sz w:val="20"/>
                <w:szCs w:val="20"/>
              </w:rPr>
              <w:t>GEMDTW, G1MDTW, G2MDTW</w:t>
            </w:r>
          </w:p>
        </w:tc>
        <w:tc>
          <w:tcPr>
            <w:tcW w:w="976" w:type="dxa"/>
          </w:tcPr>
          <w:p w14:paraId="4106F73E" w14:textId="77777777" w:rsidR="007B4492" w:rsidRDefault="007B4492" w:rsidP="007B4492">
            <w:pPr>
              <w:spacing w:after="100" w:afterAutospacing="1"/>
            </w:pPr>
            <w:r>
              <w:t>General</w:t>
            </w:r>
          </w:p>
        </w:tc>
        <w:tc>
          <w:tcPr>
            <w:tcW w:w="504" w:type="dxa"/>
          </w:tcPr>
          <w:p w14:paraId="4347EB20" w14:textId="77777777" w:rsidR="007B4492" w:rsidRPr="00B05CAE" w:rsidRDefault="007B4492" w:rsidP="007B4492">
            <w:pPr>
              <w:spacing w:after="100" w:afterAutospacing="1"/>
              <w:jc w:val="center"/>
            </w:pPr>
            <w:r w:rsidRPr="00B05CAE">
              <w:sym w:font="Wingdings" w:char="F0FC"/>
            </w:r>
          </w:p>
        </w:tc>
        <w:tc>
          <w:tcPr>
            <w:tcW w:w="505" w:type="dxa"/>
            <w:shd w:val="clear" w:color="auto" w:fill="DECFE8" w:themeFill="accent5"/>
          </w:tcPr>
          <w:p w14:paraId="39141027" w14:textId="77777777" w:rsidR="007B4492" w:rsidRPr="00B05CAE" w:rsidRDefault="007B4492" w:rsidP="007B4492">
            <w:pPr>
              <w:spacing w:after="100" w:afterAutospacing="1"/>
              <w:jc w:val="center"/>
            </w:pPr>
          </w:p>
        </w:tc>
        <w:tc>
          <w:tcPr>
            <w:tcW w:w="505" w:type="dxa"/>
          </w:tcPr>
          <w:p w14:paraId="51BC86BA" w14:textId="07F249C6" w:rsidR="007B4492" w:rsidRPr="00B05CAE" w:rsidRDefault="007B4492" w:rsidP="007B4492">
            <w:pPr>
              <w:spacing w:after="100" w:afterAutospacing="1"/>
              <w:jc w:val="center"/>
            </w:pPr>
            <w:r w:rsidRPr="00B05CAE">
              <w:sym w:font="Wingdings" w:char="F0FC"/>
            </w:r>
          </w:p>
        </w:tc>
        <w:tc>
          <w:tcPr>
            <w:tcW w:w="505" w:type="dxa"/>
            <w:shd w:val="clear" w:color="auto" w:fill="DECFE8" w:themeFill="accent5"/>
          </w:tcPr>
          <w:p w14:paraId="48897040" w14:textId="6BA3F2CA" w:rsidR="007B4492" w:rsidRPr="00B05CAE" w:rsidRDefault="007B4492" w:rsidP="007B4492">
            <w:pPr>
              <w:spacing w:after="100" w:afterAutospacing="1"/>
              <w:jc w:val="center"/>
            </w:pPr>
            <w:r>
              <w:t xml:space="preserve"> </w:t>
            </w:r>
          </w:p>
        </w:tc>
        <w:tc>
          <w:tcPr>
            <w:tcW w:w="505" w:type="dxa"/>
          </w:tcPr>
          <w:p w14:paraId="5BA4298E" w14:textId="6015F3D0" w:rsidR="007B4492" w:rsidRPr="00B05CAE" w:rsidRDefault="007B4492" w:rsidP="007B4492">
            <w:pPr>
              <w:spacing w:after="100" w:afterAutospacing="1"/>
              <w:jc w:val="center"/>
            </w:pPr>
            <w:r w:rsidRPr="00B05CAE">
              <w:sym w:font="Wingdings" w:char="F0FC"/>
            </w:r>
          </w:p>
        </w:tc>
        <w:tc>
          <w:tcPr>
            <w:tcW w:w="505" w:type="dxa"/>
            <w:shd w:val="clear" w:color="auto" w:fill="DECFE8" w:themeFill="accent5"/>
          </w:tcPr>
          <w:p w14:paraId="43DB126A" w14:textId="0599E281" w:rsidR="007B4492" w:rsidRPr="00B05CAE" w:rsidRDefault="007B4492" w:rsidP="007B4492">
            <w:pPr>
              <w:spacing w:after="100" w:afterAutospacing="1"/>
              <w:jc w:val="center"/>
            </w:pPr>
            <w:r>
              <w:t xml:space="preserve"> </w:t>
            </w:r>
          </w:p>
        </w:tc>
        <w:tc>
          <w:tcPr>
            <w:tcW w:w="505" w:type="dxa"/>
            <w:shd w:val="clear" w:color="auto" w:fill="DECFE8" w:themeFill="accent5"/>
          </w:tcPr>
          <w:p w14:paraId="465E4094" w14:textId="77777777" w:rsidR="007B4492" w:rsidRPr="00B05CAE" w:rsidRDefault="007B4492" w:rsidP="007B4492">
            <w:pPr>
              <w:spacing w:after="100" w:afterAutospacing="1"/>
              <w:jc w:val="center"/>
            </w:pPr>
          </w:p>
        </w:tc>
      </w:tr>
      <w:tr w:rsidR="007B4492" w14:paraId="54F57B3F" w14:textId="77777777" w:rsidTr="00AD61BD">
        <w:trPr>
          <w:gridAfter w:val="1"/>
          <w:wAfter w:w="6" w:type="dxa"/>
          <w:trHeight w:val="261"/>
        </w:trPr>
        <w:tc>
          <w:tcPr>
            <w:tcW w:w="834" w:type="dxa"/>
          </w:tcPr>
          <w:p w14:paraId="3E02A42C" w14:textId="77777777" w:rsidR="007B4492" w:rsidRDefault="007B4492" w:rsidP="007B4492">
            <w:pPr>
              <w:spacing w:after="100" w:afterAutospacing="1"/>
            </w:pPr>
            <w:r>
              <w:t>Year 12</w:t>
            </w:r>
          </w:p>
        </w:tc>
        <w:tc>
          <w:tcPr>
            <w:tcW w:w="3753" w:type="dxa"/>
          </w:tcPr>
          <w:p w14:paraId="066103BB" w14:textId="77777777" w:rsidR="007B4492" w:rsidRDefault="007B4492" w:rsidP="007B4492">
            <w:pPr>
              <w:pStyle w:val="Default"/>
              <w:rPr>
                <w:sz w:val="20"/>
                <w:szCs w:val="20"/>
              </w:rPr>
            </w:pPr>
            <w:r>
              <w:rPr>
                <w:sz w:val="20"/>
                <w:szCs w:val="20"/>
              </w:rPr>
              <w:t xml:space="preserve">Materials Design and Technology (Metals) </w:t>
            </w:r>
          </w:p>
          <w:p w14:paraId="52D8C4F2" w14:textId="77777777" w:rsidR="007B4492" w:rsidRDefault="007B4492" w:rsidP="007B4492">
            <w:pPr>
              <w:pStyle w:val="Default"/>
              <w:rPr>
                <w:sz w:val="20"/>
                <w:szCs w:val="20"/>
              </w:rPr>
            </w:pPr>
            <w:r>
              <w:rPr>
                <w:sz w:val="20"/>
                <w:szCs w:val="20"/>
              </w:rPr>
              <w:t xml:space="preserve">GTMDTM </w:t>
            </w:r>
          </w:p>
          <w:p w14:paraId="6108519A" w14:textId="77777777" w:rsidR="007B4492" w:rsidRDefault="007B4492" w:rsidP="007B4492">
            <w:pPr>
              <w:pStyle w:val="Default"/>
              <w:rPr>
                <w:sz w:val="20"/>
                <w:szCs w:val="20"/>
              </w:rPr>
            </w:pPr>
            <w:r>
              <w:rPr>
                <w:sz w:val="20"/>
                <w:szCs w:val="20"/>
              </w:rPr>
              <w:t>Materials Design and Technology (Textiles)</w:t>
            </w:r>
          </w:p>
          <w:p w14:paraId="172F6B0C" w14:textId="77777777" w:rsidR="007B4492" w:rsidRDefault="007B4492" w:rsidP="007B4492">
            <w:pPr>
              <w:pStyle w:val="Default"/>
              <w:rPr>
                <w:sz w:val="20"/>
                <w:szCs w:val="20"/>
              </w:rPr>
            </w:pPr>
            <w:r>
              <w:rPr>
                <w:sz w:val="20"/>
                <w:szCs w:val="20"/>
              </w:rPr>
              <w:t xml:space="preserve">GTMDTT </w:t>
            </w:r>
          </w:p>
          <w:p w14:paraId="112A66A1" w14:textId="77777777" w:rsidR="007B4492" w:rsidRDefault="007B4492" w:rsidP="007B4492">
            <w:pPr>
              <w:pStyle w:val="Default"/>
              <w:rPr>
                <w:sz w:val="20"/>
                <w:szCs w:val="20"/>
              </w:rPr>
            </w:pPr>
            <w:r>
              <w:rPr>
                <w:sz w:val="20"/>
                <w:szCs w:val="20"/>
              </w:rPr>
              <w:t>Materials Design and Technology (Wood)</w:t>
            </w:r>
          </w:p>
          <w:p w14:paraId="22AFFBF7" w14:textId="77777777" w:rsidR="007B4492" w:rsidRPr="00B05CAE" w:rsidRDefault="007B4492" w:rsidP="007B4492">
            <w:pPr>
              <w:pStyle w:val="Default"/>
              <w:rPr>
                <w:sz w:val="20"/>
                <w:szCs w:val="20"/>
              </w:rPr>
            </w:pPr>
            <w:r>
              <w:rPr>
                <w:sz w:val="20"/>
                <w:szCs w:val="20"/>
              </w:rPr>
              <w:t xml:space="preserve">GTMDTW </w:t>
            </w:r>
          </w:p>
        </w:tc>
        <w:tc>
          <w:tcPr>
            <w:tcW w:w="976" w:type="dxa"/>
          </w:tcPr>
          <w:p w14:paraId="54620586" w14:textId="77777777" w:rsidR="007B4492" w:rsidRDefault="007B4492" w:rsidP="007B4492">
            <w:pPr>
              <w:spacing w:after="100" w:afterAutospacing="1"/>
            </w:pPr>
            <w:r>
              <w:t>General</w:t>
            </w:r>
          </w:p>
        </w:tc>
        <w:tc>
          <w:tcPr>
            <w:tcW w:w="504" w:type="dxa"/>
          </w:tcPr>
          <w:p w14:paraId="4F7ADADE" w14:textId="77777777" w:rsidR="007B4492" w:rsidRPr="00B05CAE" w:rsidRDefault="007B4492" w:rsidP="007B4492">
            <w:pPr>
              <w:spacing w:after="100" w:afterAutospacing="1"/>
              <w:jc w:val="center"/>
            </w:pPr>
            <w:r w:rsidRPr="00B05CAE">
              <w:sym w:font="Wingdings" w:char="F0FC"/>
            </w:r>
          </w:p>
        </w:tc>
        <w:tc>
          <w:tcPr>
            <w:tcW w:w="505" w:type="dxa"/>
            <w:shd w:val="clear" w:color="auto" w:fill="DECFE8" w:themeFill="accent5"/>
          </w:tcPr>
          <w:p w14:paraId="372B53C9" w14:textId="77777777" w:rsidR="007B4492" w:rsidRPr="00B05CAE" w:rsidRDefault="007B4492" w:rsidP="007B4492">
            <w:pPr>
              <w:spacing w:after="100" w:afterAutospacing="1"/>
              <w:jc w:val="center"/>
            </w:pPr>
          </w:p>
        </w:tc>
        <w:tc>
          <w:tcPr>
            <w:tcW w:w="505" w:type="dxa"/>
          </w:tcPr>
          <w:p w14:paraId="143A1765" w14:textId="7504EF7E" w:rsidR="007B4492" w:rsidRPr="00B05CAE" w:rsidRDefault="007B4492" w:rsidP="007B4492">
            <w:pPr>
              <w:spacing w:after="100" w:afterAutospacing="1"/>
              <w:jc w:val="center"/>
            </w:pPr>
            <w:r w:rsidRPr="00B05CAE">
              <w:sym w:font="Wingdings" w:char="F0FC"/>
            </w:r>
          </w:p>
        </w:tc>
        <w:tc>
          <w:tcPr>
            <w:tcW w:w="505" w:type="dxa"/>
            <w:shd w:val="clear" w:color="auto" w:fill="DECFE8" w:themeFill="accent5"/>
          </w:tcPr>
          <w:p w14:paraId="13A03B36" w14:textId="23817C88" w:rsidR="007B4492" w:rsidRPr="00B05CAE" w:rsidRDefault="007B4492" w:rsidP="007B4492">
            <w:pPr>
              <w:spacing w:after="100" w:afterAutospacing="1"/>
              <w:jc w:val="center"/>
            </w:pPr>
            <w:r>
              <w:t xml:space="preserve"> </w:t>
            </w:r>
          </w:p>
        </w:tc>
        <w:tc>
          <w:tcPr>
            <w:tcW w:w="505" w:type="dxa"/>
          </w:tcPr>
          <w:p w14:paraId="050C3EF8" w14:textId="45374DE6" w:rsidR="007B4492" w:rsidRPr="00B05CAE" w:rsidRDefault="007B4492" w:rsidP="007B4492">
            <w:pPr>
              <w:spacing w:after="100" w:afterAutospacing="1"/>
              <w:jc w:val="center"/>
            </w:pPr>
            <w:r w:rsidRPr="00B05CAE">
              <w:sym w:font="Wingdings" w:char="F0FC"/>
            </w:r>
          </w:p>
        </w:tc>
        <w:tc>
          <w:tcPr>
            <w:tcW w:w="505" w:type="dxa"/>
            <w:shd w:val="clear" w:color="auto" w:fill="DECFE8" w:themeFill="accent5"/>
          </w:tcPr>
          <w:p w14:paraId="41D853FC" w14:textId="39933C28" w:rsidR="007B4492" w:rsidRPr="00B05CAE" w:rsidRDefault="007B4492" w:rsidP="007B4492">
            <w:pPr>
              <w:spacing w:after="100" w:afterAutospacing="1"/>
              <w:jc w:val="center"/>
            </w:pPr>
          </w:p>
        </w:tc>
        <w:tc>
          <w:tcPr>
            <w:tcW w:w="505" w:type="dxa"/>
            <w:shd w:val="clear" w:color="auto" w:fill="DECFE8" w:themeFill="accent5"/>
          </w:tcPr>
          <w:p w14:paraId="231AC49D" w14:textId="77777777" w:rsidR="007B4492" w:rsidRPr="00B05CAE" w:rsidRDefault="007B4492" w:rsidP="007B4492">
            <w:pPr>
              <w:spacing w:after="100" w:afterAutospacing="1"/>
              <w:jc w:val="center"/>
            </w:pPr>
          </w:p>
        </w:tc>
      </w:tr>
    </w:tbl>
    <w:bookmarkEnd w:id="4"/>
    <w:p w14:paraId="53CFF118" w14:textId="77777777" w:rsidR="003108D9" w:rsidRPr="009C3CBD" w:rsidRDefault="003108D9" w:rsidP="003108D9">
      <w:pPr>
        <w:spacing w:before="120" w:after="0"/>
        <w:rPr>
          <w:b/>
          <w:bCs/>
        </w:rPr>
      </w:pPr>
      <w:r w:rsidRPr="009C3CBD">
        <w:rPr>
          <w:b/>
          <w:bCs/>
        </w:rPr>
        <w:t>Key</w:t>
      </w:r>
    </w:p>
    <w:p w14:paraId="0D4C71F9" w14:textId="45820F59" w:rsidR="009F5CD5" w:rsidRPr="009C3CBD" w:rsidRDefault="00B07587" w:rsidP="00B07587">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0C7DF3">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DEAF" w14:textId="77777777" w:rsidR="003961FC" w:rsidRDefault="003961FC" w:rsidP="00742128">
      <w:pPr>
        <w:spacing w:after="0" w:line="240" w:lineRule="auto"/>
      </w:pPr>
      <w:r>
        <w:separator/>
      </w:r>
    </w:p>
  </w:endnote>
  <w:endnote w:type="continuationSeparator" w:id="0">
    <w:p w14:paraId="17B33C1F" w14:textId="77777777" w:rsidR="003961FC" w:rsidRDefault="003961F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DA9A29C" w:rsidR="00F86F26" w:rsidRPr="008324A6" w:rsidRDefault="00F86F26" w:rsidP="00227D40">
    <w:pPr>
      <w:pStyle w:val="SCSAFootereven"/>
    </w:pPr>
    <w:r>
      <w:rPr>
        <w:noProof/>
      </w:rPr>
      <w:t>20</w:t>
    </w:r>
    <w:r w:rsidR="00C63FF4">
      <w:rPr>
        <w:noProof/>
      </w:rPr>
      <w:t>25</w:t>
    </w:r>
    <w:r>
      <w:rPr>
        <w:noProof/>
      </w:rPr>
      <w:t>/</w:t>
    </w:r>
    <w:r w:rsidR="00516F12">
      <w:rPr>
        <w:noProof/>
      </w:rPr>
      <w:t>3</w:t>
    </w:r>
    <w:r w:rsidR="00AC565C">
      <w:rPr>
        <w:noProof/>
      </w:rPr>
      <w:t>3</w:t>
    </w:r>
    <w:r w:rsidR="00086571">
      <w:rPr>
        <w:noProof/>
      </w:rPr>
      <w:t>5</w:t>
    </w:r>
    <w:r w:rsidR="00D5356D">
      <w:rPr>
        <w:noProof/>
      </w:rPr>
      <w:t>1</w:t>
    </w:r>
    <w:r w:rsidR="0064642F">
      <w:rPr>
        <w:noProof/>
      </w:rPr>
      <w:t>7</w:t>
    </w:r>
    <w:r w:rsidR="00C71C59">
      <w:rPr>
        <w:noProof/>
      </w:rPr>
      <w:t>[</w:t>
    </w:r>
    <w:r w:rsidR="002B2038">
      <w:rPr>
        <w:noProof/>
      </w:rPr>
      <w:t>v</w:t>
    </w:r>
    <w:r w:rsidR="00C3036A">
      <w:rPr>
        <w:noProof/>
      </w:rPr>
      <w:t>4</w:t>
    </w:r>
    <w:r w:rsidR="00C71C5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373EA8F" w:rsidR="00F86F26" w:rsidRPr="00777AF3" w:rsidRDefault="00086571" w:rsidP="00227D40">
    <w:pPr>
      <w:pStyle w:val="SCSAFootereven"/>
    </w:pPr>
    <w:r>
      <w:rPr>
        <w:noProof/>
      </w:rPr>
      <w:t>Materials Design</w:t>
    </w:r>
    <w:r w:rsidR="00AC565C">
      <w:rPr>
        <w:noProof/>
      </w:rPr>
      <w:t xml:space="preserve"> and Technology </w:t>
    </w:r>
    <w:r w:rsidR="00777AF3">
      <w:rPr>
        <w:noProof/>
      </w:rPr>
      <w:t xml:space="preserve">| </w:t>
    </w:r>
    <w:r w:rsidR="00EF6FA0">
      <w:rPr>
        <w:noProof/>
      </w:rPr>
      <w:t>General</w:t>
    </w:r>
    <w:r w:rsidR="00257232">
      <w:rPr>
        <w:noProof/>
      </w:rPr>
      <w:t xml:space="preserve"> </w:t>
    </w:r>
    <w:r w:rsidR="00777AF3">
      <w:rPr>
        <w:noProof/>
      </w:rPr>
      <w:t xml:space="preserve">| Year </w:t>
    </w:r>
    <w:r w:rsidR="00516F12">
      <w:rPr>
        <w:noProof/>
      </w:rPr>
      <w:t>1</w:t>
    </w:r>
    <w:r w:rsidR="0064642F">
      <w:rPr>
        <w:noProof/>
      </w:rPr>
      <w:t>2</w:t>
    </w:r>
    <w:r w:rsidR="00A82050">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904D190" w:rsidR="00F86F26" w:rsidRPr="00AA2B0D" w:rsidRDefault="00086571" w:rsidP="00227D40">
    <w:pPr>
      <w:pStyle w:val="SCSAFooterodd"/>
    </w:pPr>
    <w:r>
      <w:rPr>
        <w:noProof/>
      </w:rPr>
      <w:t xml:space="preserve">Materials Design </w:t>
    </w:r>
    <w:r w:rsidR="00AC565C">
      <w:rPr>
        <w:noProof/>
      </w:rPr>
      <w:t xml:space="preserve">and Technology </w:t>
    </w:r>
    <w:r w:rsidR="00F86F26">
      <w:rPr>
        <w:noProof/>
      </w:rPr>
      <w:t xml:space="preserve">| </w:t>
    </w:r>
    <w:r w:rsidR="00EF6FA0">
      <w:rPr>
        <w:noProof/>
      </w:rPr>
      <w:t>General</w:t>
    </w:r>
    <w:r w:rsidR="00AC565C">
      <w:rPr>
        <w:noProof/>
      </w:rPr>
      <w:t xml:space="preserve"> </w:t>
    </w:r>
    <w:r w:rsidR="00F86F26">
      <w:rPr>
        <w:noProof/>
      </w:rPr>
      <w:t xml:space="preserve">| Year </w:t>
    </w:r>
    <w:r w:rsidR="00516F12">
      <w:rPr>
        <w:noProof/>
      </w:rPr>
      <w:t>1</w:t>
    </w:r>
    <w:r w:rsidR="0064642F">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04B3" w14:textId="77777777" w:rsidR="003961FC" w:rsidRDefault="003961FC" w:rsidP="00742128">
      <w:pPr>
        <w:spacing w:after="0" w:line="240" w:lineRule="auto"/>
      </w:pPr>
      <w:r>
        <w:separator/>
      </w:r>
    </w:p>
  </w:footnote>
  <w:footnote w:type="continuationSeparator" w:id="0">
    <w:p w14:paraId="72E30424" w14:textId="77777777" w:rsidR="003961FC" w:rsidRDefault="003961F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156B927A"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D1AC" w14:textId="74824822" w:rsidR="00F86F26" w:rsidRPr="00AD2EBD" w:rsidRDefault="00EF3BD4" w:rsidP="00227D40">
    <w:pPr>
      <w:pStyle w:val="SCSAHeaderodd"/>
      <w:rPr>
        <w:noProof/>
      </w:rPr>
    </w:pPr>
    <w:sdt>
      <w:sdtPr>
        <w:rPr>
          <w:noProof/>
        </w:rPr>
        <w:id w:val="1440406839"/>
        <w:docPartObj>
          <w:docPartGallery w:val="Page Numbers (Top of Page)"/>
          <w:docPartUnique/>
        </w:docPartObj>
      </w:sdtPr>
      <w:sdtEndPr/>
      <w:sdtContent>
        <w:r w:rsidR="00AD2EBD" w:rsidRPr="00AD2EBD">
          <w:rPr>
            <w:noProof/>
          </w:rPr>
          <w:fldChar w:fldCharType="begin"/>
        </w:r>
        <w:r w:rsidR="00AD2EBD" w:rsidRPr="00AD2EBD">
          <w:rPr>
            <w:noProof/>
          </w:rPr>
          <w:instrText xml:space="preserve"> PAGE   \* MERGEFORMAT </w:instrText>
        </w:r>
        <w:r w:rsidR="00AD2EBD" w:rsidRPr="00AD2EBD">
          <w:rPr>
            <w:noProof/>
          </w:rPr>
          <w:fldChar w:fldCharType="separate"/>
        </w:r>
        <w:r w:rsidR="00AD2EBD" w:rsidRPr="00AD2EBD">
          <w:rPr>
            <w:noProof/>
          </w:rPr>
          <w:t>2</w:t>
        </w:r>
        <w:r w:rsidR="00AD2EBD" w:rsidRPr="00AD2EBD">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7C335689"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0D1D4C5F"/>
    <w:multiLevelType w:val="hybridMultilevel"/>
    <w:tmpl w:val="E6584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54C6F98"/>
    <w:multiLevelType w:val="multilevel"/>
    <w:tmpl w:val="762853C8"/>
    <w:numStyleLink w:val="SCSABulletList"/>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10"/>
  </w:num>
  <w:num w:numId="2" w16cid:durableId="512889061">
    <w:abstractNumId w:val="20"/>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1"/>
  </w:num>
  <w:num w:numId="8" w16cid:durableId="810444534">
    <w:abstractNumId w:val="16"/>
  </w:num>
  <w:num w:numId="9" w16cid:durableId="1972594163">
    <w:abstractNumId w:val="17"/>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9"/>
  </w:num>
  <w:num w:numId="17" w16cid:durableId="394860004">
    <w:abstractNumId w:val="18"/>
  </w:num>
  <w:num w:numId="18" w16cid:durableId="1540387779">
    <w:abstractNumId w:val="6"/>
  </w:num>
  <w:num w:numId="19" w16cid:durableId="2026057853">
    <w:abstractNumId w:val="12"/>
  </w:num>
  <w:num w:numId="20" w16cid:durableId="86006823">
    <w:abstractNumId w:val="3"/>
  </w:num>
  <w:num w:numId="21" w16cid:durableId="124167244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3751"/>
    <w:rsid w:val="000358C4"/>
    <w:rsid w:val="00036500"/>
    <w:rsid w:val="00041218"/>
    <w:rsid w:val="00041B44"/>
    <w:rsid w:val="00044FDD"/>
    <w:rsid w:val="00047063"/>
    <w:rsid w:val="00047BA3"/>
    <w:rsid w:val="00053A6C"/>
    <w:rsid w:val="000555D3"/>
    <w:rsid w:val="000577DF"/>
    <w:rsid w:val="00066145"/>
    <w:rsid w:val="00086571"/>
    <w:rsid w:val="0009024C"/>
    <w:rsid w:val="00090558"/>
    <w:rsid w:val="0009076A"/>
    <w:rsid w:val="000926C3"/>
    <w:rsid w:val="00094E92"/>
    <w:rsid w:val="000A3D77"/>
    <w:rsid w:val="000A441D"/>
    <w:rsid w:val="000A6ABE"/>
    <w:rsid w:val="000A7B41"/>
    <w:rsid w:val="000B1346"/>
    <w:rsid w:val="000B135B"/>
    <w:rsid w:val="000B4506"/>
    <w:rsid w:val="000C1E2C"/>
    <w:rsid w:val="000C69C8"/>
    <w:rsid w:val="000C6E0F"/>
    <w:rsid w:val="000C6F75"/>
    <w:rsid w:val="000C7DF3"/>
    <w:rsid w:val="000D22E2"/>
    <w:rsid w:val="000D35A8"/>
    <w:rsid w:val="000D5DBB"/>
    <w:rsid w:val="000E7350"/>
    <w:rsid w:val="000E7B34"/>
    <w:rsid w:val="000F404F"/>
    <w:rsid w:val="00103478"/>
    <w:rsid w:val="0010532A"/>
    <w:rsid w:val="00105D81"/>
    <w:rsid w:val="001072D5"/>
    <w:rsid w:val="00111DB8"/>
    <w:rsid w:val="001176E8"/>
    <w:rsid w:val="00120D7F"/>
    <w:rsid w:val="001216AA"/>
    <w:rsid w:val="0012754D"/>
    <w:rsid w:val="0013465E"/>
    <w:rsid w:val="001352A1"/>
    <w:rsid w:val="001408CD"/>
    <w:rsid w:val="001451B9"/>
    <w:rsid w:val="00151AEA"/>
    <w:rsid w:val="001567D0"/>
    <w:rsid w:val="0015752A"/>
    <w:rsid w:val="00157E06"/>
    <w:rsid w:val="00163C64"/>
    <w:rsid w:val="00164D2E"/>
    <w:rsid w:val="001702DE"/>
    <w:rsid w:val="00181B95"/>
    <w:rsid w:val="00192A18"/>
    <w:rsid w:val="0019340B"/>
    <w:rsid w:val="00194F1D"/>
    <w:rsid w:val="001953C6"/>
    <w:rsid w:val="00195B60"/>
    <w:rsid w:val="001A39D0"/>
    <w:rsid w:val="001A7DBB"/>
    <w:rsid w:val="001C0FCC"/>
    <w:rsid w:val="001C4E44"/>
    <w:rsid w:val="001D25BA"/>
    <w:rsid w:val="001D5394"/>
    <w:rsid w:val="001D56E3"/>
    <w:rsid w:val="001D717F"/>
    <w:rsid w:val="001D76C5"/>
    <w:rsid w:val="001E0FD9"/>
    <w:rsid w:val="001E186E"/>
    <w:rsid w:val="001E3CB5"/>
    <w:rsid w:val="001E5904"/>
    <w:rsid w:val="001E6612"/>
    <w:rsid w:val="001F279B"/>
    <w:rsid w:val="001F2E53"/>
    <w:rsid w:val="001F34CB"/>
    <w:rsid w:val="001F5D5D"/>
    <w:rsid w:val="001F6411"/>
    <w:rsid w:val="001F6CF6"/>
    <w:rsid w:val="0020225A"/>
    <w:rsid w:val="00204F73"/>
    <w:rsid w:val="00206787"/>
    <w:rsid w:val="002071E7"/>
    <w:rsid w:val="00212894"/>
    <w:rsid w:val="002145EE"/>
    <w:rsid w:val="0021493D"/>
    <w:rsid w:val="00217901"/>
    <w:rsid w:val="00223D1B"/>
    <w:rsid w:val="00226C3D"/>
    <w:rsid w:val="00227D40"/>
    <w:rsid w:val="00232E88"/>
    <w:rsid w:val="00236BF3"/>
    <w:rsid w:val="0024125D"/>
    <w:rsid w:val="0024439F"/>
    <w:rsid w:val="002451B5"/>
    <w:rsid w:val="00257232"/>
    <w:rsid w:val="002603A6"/>
    <w:rsid w:val="00264DBE"/>
    <w:rsid w:val="00270163"/>
    <w:rsid w:val="0027335A"/>
    <w:rsid w:val="00274804"/>
    <w:rsid w:val="0027540C"/>
    <w:rsid w:val="002773EE"/>
    <w:rsid w:val="00281E6B"/>
    <w:rsid w:val="00285893"/>
    <w:rsid w:val="0028622D"/>
    <w:rsid w:val="00290C4A"/>
    <w:rsid w:val="00292819"/>
    <w:rsid w:val="002A2970"/>
    <w:rsid w:val="002A2D2B"/>
    <w:rsid w:val="002A471E"/>
    <w:rsid w:val="002A4A58"/>
    <w:rsid w:val="002A5092"/>
    <w:rsid w:val="002B2038"/>
    <w:rsid w:val="002B57DA"/>
    <w:rsid w:val="002B6CB3"/>
    <w:rsid w:val="002B6FEE"/>
    <w:rsid w:val="002C05E5"/>
    <w:rsid w:val="002C254C"/>
    <w:rsid w:val="002C28FB"/>
    <w:rsid w:val="002C4CDB"/>
    <w:rsid w:val="002C61E6"/>
    <w:rsid w:val="002C6BB2"/>
    <w:rsid w:val="002D01AF"/>
    <w:rsid w:val="002D5E93"/>
    <w:rsid w:val="002D5F35"/>
    <w:rsid w:val="002E00C0"/>
    <w:rsid w:val="002E06EC"/>
    <w:rsid w:val="002E0746"/>
    <w:rsid w:val="002E08D2"/>
    <w:rsid w:val="002E35C2"/>
    <w:rsid w:val="002E78F4"/>
    <w:rsid w:val="002F133A"/>
    <w:rsid w:val="00300116"/>
    <w:rsid w:val="00304E41"/>
    <w:rsid w:val="003069C1"/>
    <w:rsid w:val="00306C56"/>
    <w:rsid w:val="00306EC0"/>
    <w:rsid w:val="00307696"/>
    <w:rsid w:val="003108D9"/>
    <w:rsid w:val="003128DE"/>
    <w:rsid w:val="003149FE"/>
    <w:rsid w:val="00315ED7"/>
    <w:rsid w:val="0031683E"/>
    <w:rsid w:val="00317C7F"/>
    <w:rsid w:val="003215A4"/>
    <w:rsid w:val="00322A89"/>
    <w:rsid w:val="00326EAC"/>
    <w:rsid w:val="003303E5"/>
    <w:rsid w:val="00332D24"/>
    <w:rsid w:val="00334C7C"/>
    <w:rsid w:val="0033552B"/>
    <w:rsid w:val="00337356"/>
    <w:rsid w:val="00343469"/>
    <w:rsid w:val="00343B25"/>
    <w:rsid w:val="00344BF2"/>
    <w:rsid w:val="003502BC"/>
    <w:rsid w:val="00350F52"/>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1FC"/>
    <w:rsid w:val="00396693"/>
    <w:rsid w:val="003A00B3"/>
    <w:rsid w:val="003A2EB4"/>
    <w:rsid w:val="003A30C5"/>
    <w:rsid w:val="003A6194"/>
    <w:rsid w:val="003A69C8"/>
    <w:rsid w:val="003A7EF4"/>
    <w:rsid w:val="003C0879"/>
    <w:rsid w:val="003D3CBD"/>
    <w:rsid w:val="003D3E71"/>
    <w:rsid w:val="003D5277"/>
    <w:rsid w:val="003D667A"/>
    <w:rsid w:val="003E056E"/>
    <w:rsid w:val="003E0BBB"/>
    <w:rsid w:val="003E5B0B"/>
    <w:rsid w:val="003F1C41"/>
    <w:rsid w:val="003F4318"/>
    <w:rsid w:val="00400B9D"/>
    <w:rsid w:val="00406A1C"/>
    <w:rsid w:val="004120B0"/>
    <w:rsid w:val="004120DA"/>
    <w:rsid w:val="00413A7F"/>
    <w:rsid w:val="00413C8C"/>
    <w:rsid w:val="00415FFA"/>
    <w:rsid w:val="00416C3D"/>
    <w:rsid w:val="00425E00"/>
    <w:rsid w:val="00426B9A"/>
    <w:rsid w:val="00433624"/>
    <w:rsid w:val="0043620D"/>
    <w:rsid w:val="004376B0"/>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A73AA"/>
    <w:rsid w:val="004B09CF"/>
    <w:rsid w:val="004B256A"/>
    <w:rsid w:val="004B3B93"/>
    <w:rsid w:val="004B401A"/>
    <w:rsid w:val="004B7DB5"/>
    <w:rsid w:val="004C098D"/>
    <w:rsid w:val="004C64D3"/>
    <w:rsid w:val="004D0002"/>
    <w:rsid w:val="004D09DD"/>
    <w:rsid w:val="004D26A7"/>
    <w:rsid w:val="004D3542"/>
    <w:rsid w:val="004D682E"/>
    <w:rsid w:val="004E0AD6"/>
    <w:rsid w:val="004E429A"/>
    <w:rsid w:val="004E517B"/>
    <w:rsid w:val="004F3012"/>
    <w:rsid w:val="004F3801"/>
    <w:rsid w:val="004F51EA"/>
    <w:rsid w:val="00500E51"/>
    <w:rsid w:val="00504046"/>
    <w:rsid w:val="0050411E"/>
    <w:rsid w:val="0050721D"/>
    <w:rsid w:val="00516487"/>
    <w:rsid w:val="00516F12"/>
    <w:rsid w:val="00521808"/>
    <w:rsid w:val="005240D9"/>
    <w:rsid w:val="00525B58"/>
    <w:rsid w:val="005309A4"/>
    <w:rsid w:val="005309EA"/>
    <w:rsid w:val="0053382D"/>
    <w:rsid w:val="00537F6A"/>
    <w:rsid w:val="00540775"/>
    <w:rsid w:val="00542E80"/>
    <w:rsid w:val="00551C21"/>
    <w:rsid w:val="00554AC8"/>
    <w:rsid w:val="00557D1B"/>
    <w:rsid w:val="005627B9"/>
    <w:rsid w:val="00564B14"/>
    <w:rsid w:val="005700C6"/>
    <w:rsid w:val="00571B49"/>
    <w:rsid w:val="00573C05"/>
    <w:rsid w:val="00575863"/>
    <w:rsid w:val="0058749E"/>
    <w:rsid w:val="00590B71"/>
    <w:rsid w:val="00591074"/>
    <w:rsid w:val="005A3395"/>
    <w:rsid w:val="005A501F"/>
    <w:rsid w:val="005A6E68"/>
    <w:rsid w:val="005B2FC1"/>
    <w:rsid w:val="005B4E42"/>
    <w:rsid w:val="005C18A7"/>
    <w:rsid w:val="005C2446"/>
    <w:rsid w:val="005D0214"/>
    <w:rsid w:val="005D023D"/>
    <w:rsid w:val="005D1726"/>
    <w:rsid w:val="005E18DA"/>
    <w:rsid w:val="005E1F65"/>
    <w:rsid w:val="005E22E6"/>
    <w:rsid w:val="005E26A0"/>
    <w:rsid w:val="005E475E"/>
    <w:rsid w:val="005E4B8A"/>
    <w:rsid w:val="005E6287"/>
    <w:rsid w:val="005E6FBE"/>
    <w:rsid w:val="005F038C"/>
    <w:rsid w:val="005F1AEA"/>
    <w:rsid w:val="005F342C"/>
    <w:rsid w:val="00603E51"/>
    <w:rsid w:val="00604DE7"/>
    <w:rsid w:val="006054A2"/>
    <w:rsid w:val="006077A5"/>
    <w:rsid w:val="00620733"/>
    <w:rsid w:val="00623F3C"/>
    <w:rsid w:val="00626978"/>
    <w:rsid w:val="00630538"/>
    <w:rsid w:val="00630C3D"/>
    <w:rsid w:val="006316FC"/>
    <w:rsid w:val="00633E30"/>
    <w:rsid w:val="0063592D"/>
    <w:rsid w:val="00637F0D"/>
    <w:rsid w:val="00643DA9"/>
    <w:rsid w:val="0064642F"/>
    <w:rsid w:val="00651B27"/>
    <w:rsid w:val="00652508"/>
    <w:rsid w:val="00652BC5"/>
    <w:rsid w:val="006538D8"/>
    <w:rsid w:val="00655969"/>
    <w:rsid w:val="006560C8"/>
    <w:rsid w:val="006561AD"/>
    <w:rsid w:val="00666FEB"/>
    <w:rsid w:val="006722DF"/>
    <w:rsid w:val="006748E6"/>
    <w:rsid w:val="006817C5"/>
    <w:rsid w:val="006835FB"/>
    <w:rsid w:val="00691A72"/>
    <w:rsid w:val="00693261"/>
    <w:rsid w:val="00694129"/>
    <w:rsid w:val="0069421A"/>
    <w:rsid w:val="006968DA"/>
    <w:rsid w:val="006C230A"/>
    <w:rsid w:val="006C633A"/>
    <w:rsid w:val="006C6F42"/>
    <w:rsid w:val="006D045B"/>
    <w:rsid w:val="006D0C8A"/>
    <w:rsid w:val="006D6474"/>
    <w:rsid w:val="006E122E"/>
    <w:rsid w:val="006E1D80"/>
    <w:rsid w:val="006E2558"/>
    <w:rsid w:val="006E2B8F"/>
    <w:rsid w:val="006F0237"/>
    <w:rsid w:val="006F544F"/>
    <w:rsid w:val="007013C9"/>
    <w:rsid w:val="0071572C"/>
    <w:rsid w:val="0071660C"/>
    <w:rsid w:val="00716616"/>
    <w:rsid w:val="007167A4"/>
    <w:rsid w:val="007171E7"/>
    <w:rsid w:val="00717735"/>
    <w:rsid w:val="0072351C"/>
    <w:rsid w:val="0073096D"/>
    <w:rsid w:val="00731AAB"/>
    <w:rsid w:val="00732A89"/>
    <w:rsid w:val="007342C4"/>
    <w:rsid w:val="00737E63"/>
    <w:rsid w:val="007410DD"/>
    <w:rsid w:val="00741565"/>
    <w:rsid w:val="00741822"/>
    <w:rsid w:val="00742128"/>
    <w:rsid w:val="00750094"/>
    <w:rsid w:val="0075009C"/>
    <w:rsid w:val="00750407"/>
    <w:rsid w:val="00752C47"/>
    <w:rsid w:val="007669E8"/>
    <w:rsid w:val="00766AC1"/>
    <w:rsid w:val="007741AF"/>
    <w:rsid w:val="007766C5"/>
    <w:rsid w:val="00776DD8"/>
    <w:rsid w:val="00777AF3"/>
    <w:rsid w:val="00780D69"/>
    <w:rsid w:val="00784D1C"/>
    <w:rsid w:val="00786DAD"/>
    <w:rsid w:val="007913B7"/>
    <w:rsid w:val="00793207"/>
    <w:rsid w:val="00793BA5"/>
    <w:rsid w:val="007A39A5"/>
    <w:rsid w:val="007A4144"/>
    <w:rsid w:val="007A5272"/>
    <w:rsid w:val="007A6CB0"/>
    <w:rsid w:val="007B19D2"/>
    <w:rsid w:val="007B19E8"/>
    <w:rsid w:val="007B4492"/>
    <w:rsid w:val="007B7AA0"/>
    <w:rsid w:val="007C3C9C"/>
    <w:rsid w:val="007C609E"/>
    <w:rsid w:val="007D1AA6"/>
    <w:rsid w:val="007D4452"/>
    <w:rsid w:val="007D4CB3"/>
    <w:rsid w:val="007D6DF6"/>
    <w:rsid w:val="007E1AFD"/>
    <w:rsid w:val="007E4139"/>
    <w:rsid w:val="007E55F4"/>
    <w:rsid w:val="007E6C9B"/>
    <w:rsid w:val="007E78C9"/>
    <w:rsid w:val="007E7AA9"/>
    <w:rsid w:val="007F0A11"/>
    <w:rsid w:val="007F140D"/>
    <w:rsid w:val="007F15E2"/>
    <w:rsid w:val="007F47C4"/>
    <w:rsid w:val="007F493F"/>
    <w:rsid w:val="007F694F"/>
    <w:rsid w:val="007F7A7F"/>
    <w:rsid w:val="00801F1C"/>
    <w:rsid w:val="00803803"/>
    <w:rsid w:val="00806012"/>
    <w:rsid w:val="008079E9"/>
    <w:rsid w:val="00810CAB"/>
    <w:rsid w:val="00814C35"/>
    <w:rsid w:val="00825D81"/>
    <w:rsid w:val="0082766F"/>
    <w:rsid w:val="00830063"/>
    <w:rsid w:val="008324A6"/>
    <w:rsid w:val="00840F51"/>
    <w:rsid w:val="00842A1A"/>
    <w:rsid w:val="00842F4B"/>
    <w:rsid w:val="00843D36"/>
    <w:rsid w:val="00846AF5"/>
    <w:rsid w:val="008471EC"/>
    <w:rsid w:val="00851B61"/>
    <w:rsid w:val="008562C6"/>
    <w:rsid w:val="00861855"/>
    <w:rsid w:val="00873C7B"/>
    <w:rsid w:val="008761FA"/>
    <w:rsid w:val="0088053A"/>
    <w:rsid w:val="00882099"/>
    <w:rsid w:val="008822B5"/>
    <w:rsid w:val="008832AF"/>
    <w:rsid w:val="00884DDC"/>
    <w:rsid w:val="0088649B"/>
    <w:rsid w:val="00892DD2"/>
    <w:rsid w:val="00895530"/>
    <w:rsid w:val="008958FE"/>
    <w:rsid w:val="00895FF4"/>
    <w:rsid w:val="008A02F7"/>
    <w:rsid w:val="008A2014"/>
    <w:rsid w:val="008A4D60"/>
    <w:rsid w:val="008A59A8"/>
    <w:rsid w:val="008A6E49"/>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9037E3"/>
    <w:rsid w:val="0090475B"/>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305F"/>
    <w:rsid w:val="009645AE"/>
    <w:rsid w:val="00964696"/>
    <w:rsid w:val="00964FFB"/>
    <w:rsid w:val="009671C8"/>
    <w:rsid w:val="009712BF"/>
    <w:rsid w:val="009732C7"/>
    <w:rsid w:val="00976CB4"/>
    <w:rsid w:val="00977698"/>
    <w:rsid w:val="009803BE"/>
    <w:rsid w:val="00981A93"/>
    <w:rsid w:val="009833D4"/>
    <w:rsid w:val="009900A1"/>
    <w:rsid w:val="0099499A"/>
    <w:rsid w:val="00995294"/>
    <w:rsid w:val="009A242B"/>
    <w:rsid w:val="009A2D5C"/>
    <w:rsid w:val="009A64DF"/>
    <w:rsid w:val="009A78D6"/>
    <w:rsid w:val="009B4799"/>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4E64"/>
    <w:rsid w:val="009F5B5B"/>
    <w:rsid w:val="009F5CD5"/>
    <w:rsid w:val="00A01B33"/>
    <w:rsid w:val="00A02C9C"/>
    <w:rsid w:val="00A0425A"/>
    <w:rsid w:val="00A076CF"/>
    <w:rsid w:val="00A15358"/>
    <w:rsid w:val="00A15FE7"/>
    <w:rsid w:val="00A2126F"/>
    <w:rsid w:val="00A218D7"/>
    <w:rsid w:val="00A243E1"/>
    <w:rsid w:val="00A24944"/>
    <w:rsid w:val="00A27208"/>
    <w:rsid w:val="00A3298F"/>
    <w:rsid w:val="00A33ED4"/>
    <w:rsid w:val="00A42E97"/>
    <w:rsid w:val="00A43A54"/>
    <w:rsid w:val="00A548E7"/>
    <w:rsid w:val="00A57BE7"/>
    <w:rsid w:val="00A620A7"/>
    <w:rsid w:val="00A63099"/>
    <w:rsid w:val="00A645F2"/>
    <w:rsid w:val="00A64B11"/>
    <w:rsid w:val="00A65DDB"/>
    <w:rsid w:val="00A70344"/>
    <w:rsid w:val="00A72264"/>
    <w:rsid w:val="00A7392D"/>
    <w:rsid w:val="00A77D1C"/>
    <w:rsid w:val="00A82050"/>
    <w:rsid w:val="00A8257B"/>
    <w:rsid w:val="00A833A1"/>
    <w:rsid w:val="00A85FD4"/>
    <w:rsid w:val="00A87827"/>
    <w:rsid w:val="00A93F91"/>
    <w:rsid w:val="00A9622A"/>
    <w:rsid w:val="00AA2B0D"/>
    <w:rsid w:val="00AA5985"/>
    <w:rsid w:val="00AA650B"/>
    <w:rsid w:val="00AB00F3"/>
    <w:rsid w:val="00AB158A"/>
    <w:rsid w:val="00AB5CC5"/>
    <w:rsid w:val="00AC1492"/>
    <w:rsid w:val="00AC28E1"/>
    <w:rsid w:val="00AC565C"/>
    <w:rsid w:val="00AD00B8"/>
    <w:rsid w:val="00AD2EBD"/>
    <w:rsid w:val="00AD61BD"/>
    <w:rsid w:val="00AE0106"/>
    <w:rsid w:val="00AE0CDE"/>
    <w:rsid w:val="00AE3DB4"/>
    <w:rsid w:val="00AE57D9"/>
    <w:rsid w:val="00AF067F"/>
    <w:rsid w:val="00AF3D3A"/>
    <w:rsid w:val="00B01420"/>
    <w:rsid w:val="00B04173"/>
    <w:rsid w:val="00B07587"/>
    <w:rsid w:val="00B112AF"/>
    <w:rsid w:val="00B11963"/>
    <w:rsid w:val="00B11EDE"/>
    <w:rsid w:val="00B12BF0"/>
    <w:rsid w:val="00B13C8F"/>
    <w:rsid w:val="00B15444"/>
    <w:rsid w:val="00B1607E"/>
    <w:rsid w:val="00B21FD7"/>
    <w:rsid w:val="00B2269E"/>
    <w:rsid w:val="00B22C3C"/>
    <w:rsid w:val="00B22F69"/>
    <w:rsid w:val="00B248D5"/>
    <w:rsid w:val="00B25036"/>
    <w:rsid w:val="00B26CBB"/>
    <w:rsid w:val="00B33F11"/>
    <w:rsid w:val="00B35123"/>
    <w:rsid w:val="00B36745"/>
    <w:rsid w:val="00B41296"/>
    <w:rsid w:val="00B4193F"/>
    <w:rsid w:val="00B44C60"/>
    <w:rsid w:val="00B460CA"/>
    <w:rsid w:val="00B46973"/>
    <w:rsid w:val="00B5058D"/>
    <w:rsid w:val="00B52F79"/>
    <w:rsid w:val="00B60ACE"/>
    <w:rsid w:val="00B6583C"/>
    <w:rsid w:val="00B65976"/>
    <w:rsid w:val="00B65D3D"/>
    <w:rsid w:val="00B7002A"/>
    <w:rsid w:val="00B71BF3"/>
    <w:rsid w:val="00B71C2D"/>
    <w:rsid w:val="00B8058F"/>
    <w:rsid w:val="00B8117E"/>
    <w:rsid w:val="00B85DAE"/>
    <w:rsid w:val="00B86B49"/>
    <w:rsid w:val="00B935B0"/>
    <w:rsid w:val="00B937EB"/>
    <w:rsid w:val="00B949B9"/>
    <w:rsid w:val="00B97F16"/>
    <w:rsid w:val="00BB0A97"/>
    <w:rsid w:val="00BB0E87"/>
    <w:rsid w:val="00BB4454"/>
    <w:rsid w:val="00BB77D6"/>
    <w:rsid w:val="00BC1F96"/>
    <w:rsid w:val="00BC6F34"/>
    <w:rsid w:val="00BC77B8"/>
    <w:rsid w:val="00BD0125"/>
    <w:rsid w:val="00BD037E"/>
    <w:rsid w:val="00BE277F"/>
    <w:rsid w:val="00BF0672"/>
    <w:rsid w:val="00BF52DB"/>
    <w:rsid w:val="00BF7D5E"/>
    <w:rsid w:val="00C001A9"/>
    <w:rsid w:val="00C02D53"/>
    <w:rsid w:val="00C04DF1"/>
    <w:rsid w:val="00C1017E"/>
    <w:rsid w:val="00C14767"/>
    <w:rsid w:val="00C1764E"/>
    <w:rsid w:val="00C20EE6"/>
    <w:rsid w:val="00C2292B"/>
    <w:rsid w:val="00C22F6F"/>
    <w:rsid w:val="00C23C88"/>
    <w:rsid w:val="00C23E91"/>
    <w:rsid w:val="00C24F89"/>
    <w:rsid w:val="00C258D2"/>
    <w:rsid w:val="00C25C97"/>
    <w:rsid w:val="00C26945"/>
    <w:rsid w:val="00C3036A"/>
    <w:rsid w:val="00C33978"/>
    <w:rsid w:val="00C363F7"/>
    <w:rsid w:val="00C371C7"/>
    <w:rsid w:val="00C40915"/>
    <w:rsid w:val="00C41F53"/>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1C59"/>
    <w:rsid w:val="00C766F3"/>
    <w:rsid w:val="00C80FFC"/>
    <w:rsid w:val="00C85B9D"/>
    <w:rsid w:val="00C8739A"/>
    <w:rsid w:val="00C87643"/>
    <w:rsid w:val="00C914CD"/>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2505E"/>
    <w:rsid w:val="00D26F00"/>
    <w:rsid w:val="00D27775"/>
    <w:rsid w:val="00D3015F"/>
    <w:rsid w:val="00D3186C"/>
    <w:rsid w:val="00D472E1"/>
    <w:rsid w:val="00D479BD"/>
    <w:rsid w:val="00D5217D"/>
    <w:rsid w:val="00D52CBD"/>
    <w:rsid w:val="00D5325D"/>
    <w:rsid w:val="00D5356D"/>
    <w:rsid w:val="00D610D9"/>
    <w:rsid w:val="00D62E94"/>
    <w:rsid w:val="00D63B27"/>
    <w:rsid w:val="00D65C5C"/>
    <w:rsid w:val="00D66A4A"/>
    <w:rsid w:val="00D73F3E"/>
    <w:rsid w:val="00D83942"/>
    <w:rsid w:val="00D85F25"/>
    <w:rsid w:val="00D90DBA"/>
    <w:rsid w:val="00D92D10"/>
    <w:rsid w:val="00D96C8B"/>
    <w:rsid w:val="00DA0E77"/>
    <w:rsid w:val="00DA34F0"/>
    <w:rsid w:val="00DB0F5D"/>
    <w:rsid w:val="00DB41B4"/>
    <w:rsid w:val="00DB4B3C"/>
    <w:rsid w:val="00DB6D74"/>
    <w:rsid w:val="00DC2E31"/>
    <w:rsid w:val="00DC3A58"/>
    <w:rsid w:val="00DD0EDA"/>
    <w:rsid w:val="00DD1D21"/>
    <w:rsid w:val="00DD2C49"/>
    <w:rsid w:val="00DD51A8"/>
    <w:rsid w:val="00DD584B"/>
    <w:rsid w:val="00DE1ABE"/>
    <w:rsid w:val="00DF1A03"/>
    <w:rsid w:val="00E00C60"/>
    <w:rsid w:val="00E0593E"/>
    <w:rsid w:val="00E05CE6"/>
    <w:rsid w:val="00E1108A"/>
    <w:rsid w:val="00E13B15"/>
    <w:rsid w:val="00E23B7B"/>
    <w:rsid w:val="00E31C3D"/>
    <w:rsid w:val="00E327A3"/>
    <w:rsid w:val="00E33CC5"/>
    <w:rsid w:val="00E33DBC"/>
    <w:rsid w:val="00E35DB7"/>
    <w:rsid w:val="00E36726"/>
    <w:rsid w:val="00E41C0A"/>
    <w:rsid w:val="00E465E9"/>
    <w:rsid w:val="00E53506"/>
    <w:rsid w:val="00E53FA6"/>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36D7"/>
    <w:rsid w:val="00EB3416"/>
    <w:rsid w:val="00EB3C04"/>
    <w:rsid w:val="00EB4E3E"/>
    <w:rsid w:val="00EC637E"/>
    <w:rsid w:val="00EC65E0"/>
    <w:rsid w:val="00ED3A00"/>
    <w:rsid w:val="00ED5E76"/>
    <w:rsid w:val="00EE2E1D"/>
    <w:rsid w:val="00EE42A5"/>
    <w:rsid w:val="00EE45F2"/>
    <w:rsid w:val="00EF0533"/>
    <w:rsid w:val="00EF3BD4"/>
    <w:rsid w:val="00EF6131"/>
    <w:rsid w:val="00EF6FA0"/>
    <w:rsid w:val="00F02AED"/>
    <w:rsid w:val="00F06A09"/>
    <w:rsid w:val="00F13BBE"/>
    <w:rsid w:val="00F16805"/>
    <w:rsid w:val="00F17E64"/>
    <w:rsid w:val="00F232C6"/>
    <w:rsid w:val="00F265D6"/>
    <w:rsid w:val="00F306D5"/>
    <w:rsid w:val="00F326E7"/>
    <w:rsid w:val="00F35D7C"/>
    <w:rsid w:val="00F43270"/>
    <w:rsid w:val="00F46135"/>
    <w:rsid w:val="00F51107"/>
    <w:rsid w:val="00F52ED1"/>
    <w:rsid w:val="00F6185D"/>
    <w:rsid w:val="00F62879"/>
    <w:rsid w:val="00F63D11"/>
    <w:rsid w:val="00F6558B"/>
    <w:rsid w:val="00F81088"/>
    <w:rsid w:val="00F8129B"/>
    <w:rsid w:val="00F81569"/>
    <w:rsid w:val="00F83152"/>
    <w:rsid w:val="00F836EF"/>
    <w:rsid w:val="00F8436C"/>
    <w:rsid w:val="00F86530"/>
    <w:rsid w:val="00F86F26"/>
    <w:rsid w:val="00F95038"/>
    <w:rsid w:val="00FA0805"/>
    <w:rsid w:val="00FA1694"/>
    <w:rsid w:val="00FA17D9"/>
    <w:rsid w:val="00FA5498"/>
    <w:rsid w:val="00FC09E7"/>
    <w:rsid w:val="00FC2705"/>
    <w:rsid w:val="00FC5DA1"/>
    <w:rsid w:val="00FC77F4"/>
    <w:rsid w:val="00FD167A"/>
    <w:rsid w:val="00FD1803"/>
    <w:rsid w:val="00FD692D"/>
    <w:rsid w:val="00FD73A8"/>
    <w:rsid w:val="00FE054A"/>
    <w:rsid w:val="00FE1EB2"/>
    <w:rsid w:val="00FE2FC5"/>
    <w:rsid w:val="00FE6119"/>
    <w:rsid w:val="00FE68FC"/>
    <w:rsid w:val="00FF13F3"/>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Default">
    <w:name w:val="Default"/>
    <w:rsid w:val="00047BA3"/>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969</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11</cp:revision>
  <cp:lastPrinted>2025-09-25T05:06:00Z</cp:lastPrinted>
  <dcterms:created xsi:type="dcterms:W3CDTF">2025-08-06T07:27:00Z</dcterms:created>
  <dcterms:modified xsi:type="dcterms:W3CDTF">2025-09-25T05:07:00Z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dba4533c-6dca-4784-a1b9-3e5b54a50cfb</vt:lpwstr>
  </property>
</Properties>
</file>