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3157B0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941F7">
        <w:rPr>
          <w:noProof/>
        </w:rPr>
        <w:t>D</w:t>
      </w:r>
      <w:r w:rsidR="000B750A">
        <w:rPr>
          <w:noProof/>
        </w:rPr>
        <w:t>ance</w:t>
      </w:r>
    </w:p>
    <w:p w14:paraId="48A9D027" w14:textId="4C1CDADE" w:rsidR="00AA2B0D" w:rsidRPr="00A93F91" w:rsidRDefault="00D525E9" w:rsidP="00227D40">
      <w:pPr>
        <w:pStyle w:val="SCSATitle2"/>
      </w:pPr>
      <w:r>
        <w:t>ATAR</w:t>
      </w:r>
      <w:r w:rsidR="00AA2B0D" w:rsidRPr="00A93F91">
        <w:t xml:space="preserve"> course</w:t>
      </w:r>
    </w:p>
    <w:p w14:paraId="48E1D5DD" w14:textId="0013F0F1" w:rsidR="001F2E53" w:rsidRDefault="00326EAC" w:rsidP="00227D40">
      <w:pPr>
        <w:pStyle w:val="SCSATitle3"/>
      </w:pPr>
      <w:r w:rsidRPr="00B41296">
        <w:t xml:space="preserve">Year </w:t>
      </w:r>
      <w:r w:rsidR="00D525E9">
        <w:t>12</w:t>
      </w:r>
      <w:r w:rsidRPr="00B41296">
        <w:t xml:space="preserve"> </w:t>
      </w:r>
      <w:r w:rsidR="00FC77F4">
        <w:t>s</w:t>
      </w:r>
      <w:r w:rsidRPr="00B41296">
        <w:t xml:space="preserve">yllabus </w:t>
      </w:r>
      <w:r w:rsidR="00FE6119">
        <w:t>– What’s changing: General capabilities</w:t>
      </w:r>
    </w:p>
    <w:p w14:paraId="35A356C3" w14:textId="2A3CA2D6" w:rsidR="002C05E5" w:rsidRPr="00B41296" w:rsidRDefault="001F2E53" w:rsidP="00227D40">
      <w:pPr>
        <w:pStyle w:val="SCSATitle3"/>
      </w:pPr>
      <w:bookmarkStart w:id="0" w:name="_Hlk197502329"/>
      <w:r>
        <w:t xml:space="preserve">For teaching in </w:t>
      </w:r>
      <w:bookmarkEnd w:id="0"/>
      <w:r w:rsidR="00D525E9">
        <w:t>2027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891349C" w14:textId="77777777" w:rsidR="00B20045" w:rsidRPr="00B46658" w:rsidRDefault="00B20045" w:rsidP="00B20045">
      <w:pPr>
        <w:rPr>
          <w:rFonts w:cstheme="minorHAnsi"/>
          <w:b/>
          <w:bCs/>
        </w:rPr>
      </w:pPr>
      <w:r w:rsidRPr="00B46658">
        <w:rPr>
          <w:rFonts w:cstheme="minorHAnsi"/>
          <w:b/>
          <w:bCs/>
        </w:rPr>
        <w:t>Background</w:t>
      </w:r>
    </w:p>
    <w:p w14:paraId="259C27E1" w14:textId="77777777" w:rsidR="00B20045" w:rsidRPr="00B46658" w:rsidRDefault="00B20045" w:rsidP="00B20045">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2B2A918" w14:textId="77777777" w:rsidR="00B20045" w:rsidRPr="00B46658" w:rsidRDefault="00B20045" w:rsidP="00B20045">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B0DED10" w14:textId="77777777" w:rsidR="00B20045" w:rsidRPr="00B46658" w:rsidRDefault="00B20045" w:rsidP="00B20045">
      <w:pPr>
        <w:rPr>
          <w:rFonts w:cstheme="minorHAnsi"/>
          <w:b/>
          <w:bCs/>
          <w:sz w:val="20"/>
          <w:szCs w:val="20"/>
        </w:rPr>
      </w:pPr>
      <w:r w:rsidRPr="00B46658">
        <w:rPr>
          <w:rFonts w:cstheme="minorHAnsi"/>
          <w:b/>
          <w:bCs/>
          <w:sz w:val="20"/>
          <w:szCs w:val="20"/>
        </w:rPr>
        <w:t>Important information</w:t>
      </w:r>
    </w:p>
    <w:p w14:paraId="704C55A7" w14:textId="77777777" w:rsidR="00B20045" w:rsidRPr="00B46658" w:rsidRDefault="00B20045" w:rsidP="00B20045">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B7ED583" w14:textId="77777777" w:rsidR="00B20045" w:rsidRPr="00B46658" w:rsidRDefault="00B20045" w:rsidP="00B20045">
      <w:pPr>
        <w:rPr>
          <w:rFonts w:cstheme="minorHAnsi"/>
          <w:sz w:val="20"/>
          <w:szCs w:val="20"/>
        </w:rPr>
      </w:pPr>
      <w:r w:rsidRPr="00B46658">
        <w:rPr>
          <w:rFonts w:cstheme="minorHAnsi"/>
          <w:sz w:val="20"/>
          <w:szCs w:val="20"/>
        </w:rPr>
        <w:t>This document contains information that will be included in the syllabus effective from 1 January 2027.</w:t>
      </w:r>
    </w:p>
    <w:p w14:paraId="0BD1E786" w14:textId="77777777" w:rsidR="00B20045" w:rsidRPr="00B46658" w:rsidRDefault="00B20045" w:rsidP="00B20045">
      <w:pPr>
        <w:rPr>
          <w:rFonts w:cstheme="minorHAnsi"/>
          <w:sz w:val="20"/>
          <w:szCs w:val="20"/>
        </w:rPr>
      </w:pPr>
      <w:r w:rsidRPr="00B46658">
        <w:rPr>
          <w:rFonts w:cstheme="minorHAnsi"/>
          <w:sz w:val="20"/>
          <w:szCs w:val="20"/>
        </w:rPr>
        <w:t>Users of the syllabus are responsible for checking its currency.</w:t>
      </w:r>
    </w:p>
    <w:p w14:paraId="0EABA67F" w14:textId="77777777" w:rsidR="00B20045" w:rsidRPr="00B46658" w:rsidRDefault="00B20045" w:rsidP="00B20045">
      <w:pPr>
        <w:rPr>
          <w:rFonts w:cstheme="minorHAnsi"/>
          <w:sz w:val="20"/>
          <w:szCs w:val="20"/>
        </w:rPr>
      </w:pPr>
      <w:r w:rsidRPr="00B46658">
        <w:rPr>
          <w:rFonts w:cstheme="minorHAnsi"/>
          <w:sz w:val="20"/>
          <w:szCs w:val="20"/>
        </w:rPr>
        <w:t>Syllabuses are formally reviewed by the Authority on a cyclical basis, typically every five years.</w:t>
      </w:r>
    </w:p>
    <w:p w14:paraId="6A1F0D0F" w14:textId="77777777" w:rsidR="00B20045" w:rsidRPr="00B46658" w:rsidRDefault="00B20045" w:rsidP="00B20045">
      <w:pPr>
        <w:jc w:val="both"/>
        <w:rPr>
          <w:rFonts w:cstheme="minorHAnsi"/>
          <w:b/>
          <w:sz w:val="20"/>
          <w:szCs w:val="20"/>
        </w:rPr>
      </w:pPr>
      <w:r w:rsidRPr="00B46658">
        <w:rPr>
          <w:rFonts w:cstheme="minorHAnsi"/>
          <w:b/>
          <w:sz w:val="20"/>
          <w:szCs w:val="20"/>
        </w:rPr>
        <w:t>Copyright</w:t>
      </w:r>
    </w:p>
    <w:p w14:paraId="4444D7C2" w14:textId="77777777" w:rsidR="00B20045" w:rsidRPr="00B46658" w:rsidRDefault="00B20045" w:rsidP="00B20045">
      <w:pPr>
        <w:jc w:val="both"/>
        <w:rPr>
          <w:rFonts w:cstheme="minorHAnsi"/>
          <w:sz w:val="20"/>
          <w:szCs w:val="20"/>
          <w:lang w:val="en-GB"/>
        </w:rPr>
      </w:pPr>
      <w:r w:rsidRPr="00B46658">
        <w:rPr>
          <w:rFonts w:cstheme="minorHAnsi"/>
          <w:sz w:val="20"/>
          <w:szCs w:val="20"/>
          <w:lang w:val="en-GB"/>
        </w:rPr>
        <w:t>© School Curriculum and Standards Authority, 2025</w:t>
      </w:r>
    </w:p>
    <w:p w14:paraId="2016091E" w14:textId="77777777" w:rsidR="00B20045" w:rsidRPr="00B46658" w:rsidRDefault="00B20045" w:rsidP="00B20045">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8687CFF" w14:textId="77777777" w:rsidR="00B20045" w:rsidRPr="00B46658" w:rsidRDefault="00B20045" w:rsidP="00B20045">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12C47CC0" w:rsidR="007E1AFD" w:rsidRPr="005D1726" w:rsidRDefault="00B20045"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DE6D1F">
          <w:footerReference w:type="even" r:id="rId10"/>
          <w:pgSz w:w="11906" w:h="16838"/>
          <w:pgMar w:top="1644" w:right="1418" w:bottom="1276" w:left="1418" w:header="680" w:footer="567" w:gutter="0"/>
          <w:cols w:space="708"/>
          <w:titlePg/>
          <w:docGrid w:linePitch="360"/>
        </w:sectPr>
      </w:pPr>
    </w:p>
    <w:p w14:paraId="1404858C" w14:textId="3C028BFC" w:rsidR="00CB0B33" w:rsidRPr="006054A2" w:rsidRDefault="00CB0B33" w:rsidP="00DE6D1F">
      <w:pPr>
        <w:pStyle w:val="SCSAHeading2"/>
        <w:spacing w:after="100" w:line="271" w:lineRule="auto"/>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573C05" w:rsidRPr="00777AF3">
        <w:rPr>
          <w:rFonts w:eastAsia="Times New Roman"/>
          <w:highlight w:val="yellow"/>
        </w:rPr>
        <w:t xml:space="preserve"> </w:t>
      </w:r>
    </w:p>
    <w:p w14:paraId="2524049B" w14:textId="739E9A9D" w:rsidR="006054A2" w:rsidRDefault="006054A2" w:rsidP="00DE6D1F">
      <w:pPr>
        <w:spacing w:after="100" w:line="271" w:lineRule="auto"/>
      </w:pPr>
      <w:r w:rsidRPr="009C3CBD">
        <w:t xml:space="preserve">The general capabilities encompass the knowledge, skills, behaviours and dispositions that will </w:t>
      </w:r>
      <w:r w:rsidR="009A6200">
        <w:t>support</w:t>
      </w:r>
      <w:r w:rsidRPr="009C3CBD">
        <w:t xml:space="preserve"> students to live and work successfully </w:t>
      </w:r>
      <w:r w:rsidR="009A6200">
        <w:t>now and into the future</w:t>
      </w:r>
      <w:r w:rsidRPr="009C3CBD">
        <w:t>. Teachers should find opportunities to incorporate the following capabilities into the teaching and learning program for the</w:t>
      </w:r>
      <w:r w:rsidR="00A60E03">
        <w:t xml:space="preserve"> Dance ATAR </w:t>
      </w:r>
      <w:r w:rsidR="000B750A">
        <w:t>c</w:t>
      </w:r>
      <w:r w:rsidR="00A60E03">
        <w:t>ourse</w:t>
      </w:r>
      <w:r w:rsidRPr="009C3CBD">
        <w:t>. The general capabilities are not assessed unless they are identified within the specified unit content.</w:t>
      </w:r>
    </w:p>
    <w:p w14:paraId="111BBBD8" w14:textId="77777777" w:rsidR="00EF3559" w:rsidRPr="009C3CBD" w:rsidRDefault="00EF3559" w:rsidP="00EF3559">
      <w:pPr>
        <w:pStyle w:val="SCSAHeading3"/>
        <w:spacing w:after="100" w:line="271" w:lineRule="auto"/>
      </w:pPr>
      <w:r w:rsidRPr="009C3CBD">
        <w:t>Critical and creative thinking</w:t>
      </w:r>
    </w:p>
    <w:p w14:paraId="70020690" w14:textId="77777777" w:rsidR="00EF3559" w:rsidRPr="009C3CBD" w:rsidRDefault="00EF3559" w:rsidP="00EF3559">
      <w:pPr>
        <w:spacing w:after="100" w:line="271" w:lineRule="auto"/>
      </w:pPr>
      <w:r w:rsidRPr="001C533B">
        <w:rPr>
          <w:rFonts w:ascii="Calibri" w:hAnsi="Calibri" w:cs="Calibri"/>
        </w:rPr>
        <w:t>Dance fosters creativity and problem-solving as students explore and manipulate movement ideas. In Choreography, students experiment with the elements of dance (</w:t>
      </w:r>
      <w:r>
        <w:rPr>
          <w:rFonts w:ascii="Calibri" w:hAnsi="Calibri" w:cs="Calibri"/>
        </w:rPr>
        <w:t>b</w:t>
      </w:r>
      <w:r w:rsidRPr="001C533B">
        <w:rPr>
          <w:rFonts w:ascii="Calibri" w:hAnsi="Calibri" w:cs="Calibri"/>
        </w:rPr>
        <w:t xml:space="preserve">ody, </w:t>
      </w:r>
      <w:r>
        <w:rPr>
          <w:rFonts w:ascii="Calibri" w:hAnsi="Calibri" w:cs="Calibri"/>
        </w:rPr>
        <w:t>d</w:t>
      </w:r>
      <w:r w:rsidRPr="001C533B">
        <w:rPr>
          <w:rFonts w:ascii="Calibri" w:hAnsi="Calibri" w:cs="Calibri"/>
        </w:rPr>
        <w:t xml:space="preserve">ynamics, </w:t>
      </w:r>
      <w:r>
        <w:rPr>
          <w:rFonts w:ascii="Calibri" w:hAnsi="Calibri" w:cs="Calibri"/>
        </w:rPr>
        <w:t>s</w:t>
      </w:r>
      <w:r w:rsidRPr="001C533B">
        <w:rPr>
          <w:rFonts w:ascii="Calibri" w:hAnsi="Calibri" w:cs="Calibri"/>
        </w:rPr>
        <w:t xml:space="preserve">pace and </w:t>
      </w:r>
      <w:r>
        <w:rPr>
          <w:rFonts w:ascii="Calibri" w:hAnsi="Calibri" w:cs="Calibri"/>
        </w:rPr>
        <w:t>t</w:t>
      </w:r>
      <w:r w:rsidRPr="001C533B">
        <w:rPr>
          <w:rFonts w:ascii="Calibri" w:hAnsi="Calibri" w:cs="Calibri"/>
        </w:rPr>
        <w:t xml:space="preserve">ime </w:t>
      </w:r>
      <w:r>
        <w:rPr>
          <w:rFonts w:ascii="Calibri" w:hAnsi="Calibri" w:cs="Calibri"/>
        </w:rPr>
        <w:t>–</w:t>
      </w:r>
      <w:r w:rsidRPr="001C533B">
        <w:rPr>
          <w:rFonts w:ascii="Calibri" w:hAnsi="Calibri" w:cs="Calibri"/>
        </w:rPr>
        <w:t xml:space="preserve"> BDST) to generate and refine original works. They evaluate choreographic choices through peer feedback and rehearsal processes. </w:t>
      </w:r>
      <w:r>
        <w:rPr>
          <w:rFonts w:ascii="Calibri" w:hAnsi="Calibri" w:cs="Calibri"/>
        </w:rPr>
        <w:t>S</w:t>
      </w:r>
      <w:r w:rsidRPr="001C533B">
        <w:rPr>
          <w:rFonts w:ascii="Calibri" w:hAnsi="Calibri" w:cs="Calibri"/>
        </w:rPr>
        <w:t xml:space="preserve">tudents analyse the evolution of dance genres and critique the artistic and technical aspects of professional performances, developing their </w:t>
      </w:r>
      <w:r>
        <w:rPr>
          <w:rFonts w:ascii="Calibri" w:hAnsi="Calibri" w:cs="Calibri"/>
        </w:rPr>
        <w:t xml:space="preserve">critical thinking through their </w:t>
      </w:r>
      <w:r w:rsidRPr="001C533B">
        <w:rPr>
          <w:rFonts w:ascii="Calibri" w:hAnsi="Calibri" w:cs="Calibri"/>
        </w:rPr>
        <w:t>ability to interpret and reflect on complex movement ideas</w:t>
      </w:r>
      <w:r>
        <w:rPr>
          <w:rFonts w:ascii="Calibri" w:hAnsi="Calibri" w:cs="Calibri"/>
        </w:rPr>
        <w:t>.</w:t>
      </w:r>
    </w:p>
    <w:p w14:paraId="2DC8AF68" w14:textId="77777777" w:rsidR="00EF3559" w:rsidRPr="009C3CBD" w:rsidRDefault="00EF3559" w:rsidP="00EF3559">
      <w:pPr>
        <w:pStyle w:val="SCSAHeading3"/>
        <w:spacing w:after="100" w:line="271" w:lineRule="auto"/>
      </w:pPr>
      <w:r w:rsidRPr="009C3CBD">
        <w:t>Ethical understanding</w:t>
      </w:r>
    </w:p>
    <w:p w14:paraId="06FDF4D6" w14:textId="77777777" w:rsidR="00EF3559" w:rsidRPr="008F07E8" w:rsidRDefault="00EF3559" w:rsidP="00EF3559">
      <w:pPr>
        <w:spacing w:after="100" w:line="271" w:lineRule="auto"/>
        <w:rPr>
          <w:rFonts w:ascii="Calibri" w:hAnsi="Calibri" w:cs="Calibri"/>
          <w:strike/>
        </w:rPr>
      </w:pPr>
      <w:r w:rsidRPr="00E273D0">
        <w:rPr>
          <w:rFonts w:ascii="Calibri" w:hAnsi="Calibri" w:cs="Calibri"/>
        </w:rPr>
        <w:t xml:space="preserve">Ethical understanding is integral to dance practice, particularly in the exploration of culturally significant movement forms and sensitive themes. </w:t>
      </w:r>
      <w:r>
        <w:rPr>
          <w:rFonts w:ascii="Calibri" w:hAnsi="Calibri" w:cs="Calibri"/>
        </w:rPr>
        <w:t>S</w:t>
      </w:r>
      <w:r w:rsidRPr="00E273D0">
        <w:rPr>
          <w:rFonts w:ascii="Calibri" w:hAnsi="Calibri" w:cs="Calibri"/>
        </w:rPr>
        <w:t xml:space="preserve">tudents examine ethical considerations surrounding representation and appropriation in dance, particularly when engaging with Aboriginal and Torres Strait Islander </w:t>
      </w:r>
      <w:r>
        <w:rPr>
          <w:rFonts w:ascii="Calibri" w:hAnsi="Calibri" w:cs="Calibri"/>
        </w:rPr>
        <w:t xml:space="preserve">Peoples </w:t>
      </w:r>
      <w:r w:rsidRPr="00E273D0">
        <w:rPr>
          <w:rFonts w:ascii="Calibri" w:hAnsi="Calibri" w:cs="Calibri"/>
        </w:rPr>
        <w:t>and international dance traditions. They also explore issues of artistic integrity and copyright when creating and presenting original choreography.</w:t>
      </w:r>
    </w:p>
    <w:p w14:paraId="2962DB66" w14:textId="77777777" w:rsidR="00EF3559" w:rsidRPr="009C3CBD" w:rsidRDefault="00EF3559" w:rsidP="00EF3559">
      <w:pPr>
        <w:pStyle w:val="SCSAHeading3"/>
      </w:pPr>
      <w:r w:rsidRPr="009C3CBD">
        <w:t>Intercultural understanding</w:t>
      </w:r>
    </w:p>
    <w:p w14:paraId="50879F9C" w14:textId="77777777" w:rsidR="00EF3559" w:rsidRDefault="00EF3559" w:rsidP="00EF3559">
      <w:pPr>
        <w:rPr>
          <w:rFonts w:ascii="Calibri" w:hAnsi="Calibri" w:cs="Calibri"/>
        </w:rPr>
      </w:pPr>
      <w:r w:rsidRPr="00AE1F50">
        <w:rPr>
          <w:rFonts w:ascii="Calibri" w:hAnsi="Calibri" w:cs="Calibri"/>
        </w:rPr>
        <w:t xml:space="preserve">Dance is a global art form that enables students to engage with diverse cultural expressions. In Prescribed </w:t>
      </w:r>
      <w:r>
        <w:rPr>
          <w:rFonts w:ascii="Calibri" w:hAnsi="Calibri" w:cs="Calibri"/>
        </w:rPr>
        <w:t>g</w:t>
      </w:r>
      <w:r w:rsidRPr="00AE1F50">
        <w:rPr>
          <w:rFonts w:ascii="Calibri" w:hAnsi="Calibri" w:cs="Calibri"/>
        </w:rPr>
        <w:t xml:space="preserve">enres, students study dance forms from various traditions, gaining an appreciation for their historical and social contexts. Through </w:t>
      </w:r>
      <w:r>
        <w:rPr>
          <w:rFonts w:ascii="Calibri" w:hAnsi="Calibri" w:cs="Calibri"/>
        </w:rPr>
        <w:t>c</w:t>
      </w:r>
      <w:r w:rsidRPr="00AE1F50">
        <w:rPr>
          <w:rFonts w:ascii="Calibri" w:hAnsi="Calibri" w:cs="Calibri"/>
        </w:rPr>
        <w:t xml:space="preserve">ase </w:t>
      </w:r>
      <w:r>
        <w:rPr>
          <w:rFonts w:ascii="Calibri" w:hAnsi="Calibri" w:cs="Calibri"/>
        </w:rPr>
        <w:t>s</w:t>
      </w:r>
      <w:r w:rsidRPr="00AE1F50">
        <w:rPr>
          <w:rFonts w:ascii="Calibri" w:hAnsi="Calibri" w:cs="Calibri"/>
        </w:rPr>
        <w:t>tudies, students investigate choreographers who integrate intercultural influences, fostering respect and open-mindedness towards different artistic and cultural perspectives. Additionally, the study of dance in context highlights how movement reflects and shapes cultural identities and narratives</w:t>
      </w:r>
      <w:r>
        <w:rPr>
          <w:rFonts w:ascii="Calibri" w:hAnsi="Calibri" w:cs="Calibri"/>
        </w:rPr>
        <w:t>.</w:t>
      </w:r>
    </w:p>
    <w:p w14:paraId="3F8850AC" w14:textId="75ED2151" w:rsidR="00426B9A" w:rsidRPr="009C3CBD" w:rsidRDefault="00426B9A" w:rsidP="00DE6D1F">
      <w:pPr>
        <w:pStyle w:val="SCSAHeading3"/>
        <w:spacing w:after="100" w:line="271" w:lineRule="auto"/>
      </w:pPr>
      <w:r w:rsidRPr="009C3CBD">
        <w:t>Literacy</w:t>
      </w:r>
    </w:p>
    <w:p w14:paraId="4662F5BE" w14:textId="296D41B3" w:rsidR="003526F6" w:rsidRPr="009C3CBD" w:rsidRDefault="00A60E03" w:rsidP="00DE6D1F">
      <w:pPr>
        <w:spacing w:after="100" w:line="271" w:lineRule="auto"/>
      </w:pPr>
      <w:r w:rsidRPr="00D120E3">
        <w:rPr>
          <w:rFonts w:ascii="Calibri" w:hAnsi="Calibri" w:cs="Calibri"/>
        </w:rPr>
        <w:t>Dance relies on multiple literacies</w:t>
      </w:r>
      <w:r w:rsidR="00094A48">
        <w:rPr>
          <w:rFonts w:ascii="Calibri" w:hAnsi="Calibri" w:cs="Calibri"/>
        </w:rPr>
        <w:t xml:space="preserve"> –</w:t>
      </w:r>
      <w:r w:rsidRPr="00D120E3">
        <w:rPr>
          <w:rFonts w:ascii="Calibri" w:hAnsi="Calibri" w:cs="Calibri"/>
        </w:rPr>
        <w:t xml:space="preserve"> oral, visual, kinetic</w:t>
      </w:r>
      <w:r>
        <w:rPr>
          <w:rFonts w:ascii="Calibri" w:hAnsi="Calibri" w:cs="Calibri"/>
        </w:rPr>
        <w:t xml:space="preserve"> and </w:t>
      </w:r>
      <w:r w:rsidRPr="00D120E3">
        <w:rPr>
          <w:rFonts w:ascii="Calibri" w:hAnsi="Calibri" w:cs="Calibri"/>
        </w:rPr>
        <w:t>text-based</w:t>
      </w:r>
      <w:r w:rsidR="00094A48">
        <w:rPr>
          <w:rFonts w:ascii="Calibri" w:hAnsi="Calibri" w:cs="Calibri"/>
        </w:rPr>
        <w:t xml:space="preserve"> –</w:t>
      </w:r>
      <w:r w:rsidRPr="00D120E3">
        <w:rPr>
          <w:rFonts w:ascii="Calibri" w:hAnsi="Calibri" w:cs="Calibri"/>
        </w:rPr>
        <w:t xml:space="preserve"> which are fundamental to learning, communicating, creating and responding. Students develop literacy skills </w:t>
      </w:r>
      <w:r w:rsidR="00094A48">
        <w:rPr>
          <w:rFonts w:ascii="Calibri" w:hAnsi="Calibri" w:cs="Calibri"/>
        </w:rPr>
        <w:t xml:space="preserve">in the course </w:t>
      </w:r>
      <w:r w:rsidRPr="00D120E3">
        <w:rPr>
          <w:rFonts w:ascii="Calibri" w:hAnsi="Calibri" w:cs="Calibri"/>
        </w:rPr>
        <w:t xml:space="preserve">as they describe, analyse and document their dance practice and that of others. </w:t>
      </w:r>
      <w:r w:rsidR="006416C2">
        <w:rPr>
          <w:rFonts w:ascii="Calibri" w:hAnsi="Calibri" w:cs="Calibri"/>
        </w:rPr>
        <w:t>S</w:t>
      </w:r>
      <w:r w:rsidRPr="00D120E3">
        <w:rPr>
          <w:rFonts w:ascii="Calibri" w:hAnsi="Calibri" w:cs="Calibri"/>
        </w:rPr>
        <w:t xml:space="preserve">tudents critically examine a choreographer or company, using appropriate dance terminology to describe movement choices, choreographic intent and design concepts. </w:t>
      </w:r>
      <w:r w:rsidR="00094A48">
        <w:rPr>
          <w:rFonts w:ascii="Calibri" w:hAnsi="Calibri" w:cs="Calibri"/>
        </w:rPr>
        <w:t>They also</w:t>
      </w:r>
      <w:r w:rsidRPr="00D120E3">
        <w:rPr>
          <w:rFonts w:ascii="Calibri" w:hAnsi="Calibri" w:cs="Calibri"/>
        </w:rPr>
        <w:t xml:space="preserve"> develop structured analyses of dance works</w:t>
      </w:r>
      <w:r w:rsidR="00094A48">
        <w:rPr>
          <w:rFonts w:ascii="Calibri" w:hAnsi="Calibri" w:cs="Calibri"/>
        </w:rPr>
        <w:t>,</w:t>
      </w:r>
      <w:r w:rsidRPr="00D120E3">
        <w:rPr>
          <w:rFonts w:ascii="Calibri" w:hAnsi="Calibri" w:cs="Calibri"/>
        </w:rPr>
        <w:t xml:space="preserve"> using precise language and technical vocabulary</w:t>
      </w:r>
      <w:r w:rsidR="006416C2">
        <w:rPr>
          <w:rFonts w:ascii="Calibri" w:hAnsi="Calibri" w:cs="Calibri"/>
        </w:rPr>
        <w:t>.</w:t>
      </w:r>
    </w:p>
    <w:p w14:paraId="68CFF3A2" w14:textId="149914A1" w:rsidR="00426B9A" w:rsidRPr="009C3CBD" w:rsidRDefault="00426B9A" w:rsidP="00DE6D1F">
      <w:pPr>
        <w:pStyle w:val="SCSAHeading3"/>
        <w:spacing w:after="100" w:line="271" w:lineRule="auto"/>
      </w:pPr>
      <w:r w:rsidRPr="009C3CBD">
        <w:t>Numeracy</w:t>
      </w:r>
    </w:p>
    <w:p w14:paraId="0214E46B" w14:textId="6073C58B" w:rsidR="00406A1C" w:rsidRPr="009C3CBD" w:rsidRDefault="00A60E03" w:rsidP="00DE6D1F">
      <w:pPr>
        <w:spacing w:after="100" w:line="271" w:lineRule="auto"/>
      </w:pPr>
      <w:r w:rsidRPr="00A9247D">
        <w:rPr>
          <w:rFonts w:ascii="Calibri" w:hAnsi="Calibri" w:cs="Calibri"/>
        </w:rPr>
        <w:t xml:space="preserve">Creating dance works requires an understanding of spatial and temporal measurement to manipulate space, time and form effectively. Students develop an appreciation for numerical concepts such as size, scale, proportion, depth and pattern. </w:t>
      </w:r>
      <w:r w:rsidR="00094A48">
        <w:rPr>
          <w:rFonts w:ascii="Calibri" w:hAnsi="Calibri" w:cs="Calibri"/>
        </w:rPr>
        <w:t>They</w:t>
      </w:r>
      <w:r w:rsidRPr="00A9247D">
        <w:rPr>
          <w:rFonts w:ascii="Calibri" w:hAnsi="Calibri" w:cs="Calibri"/>
        </w:rPr>
        <w:t xml:space="preserve"> structure movement sequences using mathematical patterns, such as canon and repetition. Additionally, students apply rhythmic analysis when measuring dance phrases across different metres and tempos</w:t>
      </w:r>
      <w:r w:rsidR="00F87CC8">
        <w:rPr>
          <w:rFonts w:ascii="Calibri" w:hAnsi="Calibri" w:cs="Calibri"/>
        </w:rPr>
        <w:t>, enha</w:t>
      </w:r>
      <w:r w:rsidR="00F87CC8" w:rsidRPr="00E92587">
        <w:rPr>
          <w:rFonts w:ascii="Calibri" w:hAnsi="Calibri" w:cs="Calibri"/>
        </w:rPr>
        <w:t>ncing their spatial awareness during</w:t>
      </w:r>
      <w:r w:rsidR="00F87CC8">
        <w:rPr>
          <w:rFonts w:ascii="Calibri" w:hAnsi="Calibri" w:cs="Calibri"/>
        </w:rPr>
        <w:t xml:space="preserve"> </w:t>
      </w:r>
      <w:r w:rsidRPr="00A9247D">
        <w:rPr>
          <w:rFonts w:ascii="Calibri" w:hAnsi="Calibri" w:cs="Calibri"/>
        </w:rPr>
        <w:t>performance</w:t>
      </w:r>
      <w:r w:rsidR="006416C2">
        <w:rPr>
          <w:rFonts w:ascii="Calibri" w:hAnsi="Calibri" w:cs="Calibri"/>
        </w:rPr>
        <w:t>.</w:t>
      </w:r>
    </w:p>
    <w:p w14:paraId="208A0F58" w14:textId="30D6BF96" w:rsidR="00777AF3" w:rsidRPr="009C3CBD" w:rsidRDefault="00777AF3" w:rsidP="00DE6D1F">
      <w:pPr>
        <w:pStyle w:val="SCSAHeading3"/>
        <w:spacing w:after="100" w:line="271" w:lineRule="auto"/>
      </w:pPr>
      <w:r w:rsidRPr="009C3CBD">
        <w:lastRenderedPageBreak/>
        <w:t>Personal and social capability</w:t>
      </w:r>
    </w:p>
    <w:p w14:paraId="0D0B2640" w14:textId="3F971319" w:rsidR="00406A1C" w:rsidRPr="009C3CBD" w:rsidRDefault="00A60E03" w:rsidP="00DE6D1F">
      <w:pPr>
        <w:spacing w:after="100" w:line="271" w:lineRule="auto"/>
      </w:pPr>
      <w:r w:rsidRPr="009D4039">
        <w:rPr>
          <w:rFonts w:ascii="Calibri" w:hAnsi="Calibri" w:cs="Calibri"/>
        </w:rPr>
        <w:t xml:space="preserve">Students develop confidence, resilience and interpersonal skills through individual and collaborative dance experiences. The Performance component requires students to work effectively in ensembles, demonstrating leadership, communication, and respect for diverse perspectives. The </w:t>
      </w:r>
      <w:r w:rsidR="00F87CC8">
        <w:rPr>
          <w:rFonts w:ascii="Calibri" w:hAnsi="Calibri" w:cs="Calibri"/>
        </w:rPr>
        <w:t>r</w:t>
      </w:r>
      <w:r w:rsidRPr="009D4039">
        <w:rPr>
          <w:rFonts w:ascii="Calibri" w:hAnsi="Calibri" w:cs="Calibri"/>
        </w:rPr>
        <w:t xml:space="preserve">ehearsal </w:t>
      </w:r>
      <w:r w:rsidR="00F87CC8">
        <w:rPr>
          <w:rFonts w:ascii="Calibri" w:hAnsi="Calibri" w:cs="Calibri"/>
        </w:rPr>
        <w:t>p</w:t>
      </w:r>
      <w:r w:rsidRPr="009D4039">
        <w:rPr>
          <w:rFonts w:ascii="Calibri" w:hAnsi="Calibri" w:cs="Calibri"/>
        </w:rPr>
        <w:t xml:space="preserve">rocess promotes self-discipline, adaptability and </w:t>
      </w:r>
      <w:proofErr w:type="gramStart"/>
      <w:r w:rsidRPr="009D4039">
        <w:rPr>
          <w:rFonts w:ascii="Calibri" w:hAnsi="Calibri" w:cs="Calibri"/>
        </w:rPr>
        <w:t>goal</w:t>
      </w:r>
      <w:r w:rsidR="00F87CC8">
        <w:rPr>
          <w:rFonts w:ascii="Calibri" w:hAnsi="Calibri" w:cs="Calibri"/>
        </w:rPr>
        <w:t>-</w:t>
      </w:r>
      <w:r w:rsidRPr="009D4039">
        <w:rPr>
          <w:rFonts w:ascii="Calibri" w:hAnsi="Calibri" w:cs="Calibri"/>
        </w:rPr>
        <w:t>setting</w:t>
      </w:r>
      <w:proofErr w:type="gramEnd"/>
      <w:r w:rsidRPr="009D4039">
        <w:rPr>
          <w:rFonts w:ascii="Calibri" w:hAnsi="Calibri" w:cs="Calibri"/>
        </w:rPr>
        <w:t xml:space="preserve"> as </w:t>
      </w:r>
      <w:r w:rsidR="00F87CC8">
        <w:rPr>
          <w:rFonts w:ascii="Calibri" w:hAnsi="Calibri" w:cs="Calibri"/>
        </w:rPr>
        <w:t>they</w:t>
      </w:r>
      <w:r w:rsidR="00F87CC8" w:rsidRPr="009D4039">
        <w:rPr>
          <w:rFonts w:ascii="Calibri" w:hAnsi="Calibri" w:cs="Calibri"/>
        </w:rPr>
        <w:t xml:space="preserve"> </w:t>
      </w:r>
      <w:r w:rsidRPr="009D4039">
        <w:rPr>
          <w:rFonts w:ascii="Calibri" w:hAnsi="Calibri" w:cs="Calibri"/>
        </w:rPr>
        <w:t xml:space="preserve">refine their technique and performance qualities. </w:t>
      </w:r>
      <w:r w:rsidR="00F87CC8">
        <w:rPr>
          <w:rFonts w:ascii="Calibri" w:hAnsi="Calibri" w:cs="Calibri"/>
        </w:rPr>
        <w:t>S</w:t>
      </w:r>
      <w:r w:rsidRPr="009D4039">
        <w:rPr>
          <w:rFonts w:ascii="Calibri" w:hAnsi="Calibri" w:cs="Calibri"/>
        </w:rPr>
        <w:t>tudents</w:t>
      </w:r>
      <w:r w:rsidR="00F87CC8">
        <w:rPr>
          <w:rFonts w:ascii="Calibri" w:hAnsi="Calibri" w:cs="Calibri"/>
        </w:rPr>
        <w:t xml:space="preserve"> also</w:t>
      </w:r>
      <w:r w:rsidRPr="009D4039">
        <w:rPr>
          <w:rFonts w:ascii="Calibri" w:hAnsi="Calibri" w:cs="Calibri"/>
        </w:rPr>
        <w:t xml:space="preserve"> develop </w:t>
      </w:r>
      <w:r w:rsidR="00F87CC8">
        <w:rPr>
          <w:rFonts w:ascii="Calibri" w:hAnsi="Calibri" w:cs="Calibri"/>
        </w:rPr>
        <w:t>skills in</w:t>
      </w:r>
      <w:r w:rsidRPr="009D4039">
        <w:rPr>
          <w:rFonts w:ascii="Calibri" w:hAnsi="Calibri" w:cs="Calibri"/>
        </w:rPr>
        <w:t xml:space="preserve"> teamwork and negotiation </w:t>
      </w:r>
      <w:r w:rsidR="00F87CC8">
        <w:rPr>
          <w:rFonts w:ascii="Calibri" w:hAnsi="Calibri" w:cs="Calibri"/>
        </w:rPr>
        <w:t>through</w:t>
      </w:r>
      <w:r w:rsidR="00F87CC8" w:rsidRPr="009D4039">
        <w:rPr>
          <w:rFonts w:ascii="Calibri" w:hAnsi="Calibri" w:cs="Calibri"/>
        </w:rPr>
        <w:t xml:space="preserve"> </w:t>
      </w:r>
      <w:r w:rsidRPr="009D4039">
        <w:rPr>
          <w:rFonts w:ascii="Calibri" w:hAnsi="Calibri" w:cs="Calibri"/>
        </w:rPr>
        <w:t>choreographic projects</w:t>
      </w:r>
      <w:r>
        <w:rPr>
          <w:rFonts w:ascii="Calibri" w:hAnsi="Calibri" w:cs="Calibri"/>
        </w:rPr>
        <w:t>.</w:t>
      </w:r>
    </w:p>
    <w:p w14:paraId="71F42A24" w14:textId="36FE0CA4" w:rsidR="006416C2" w:rsidRPr="009C3CBD" w:rsidRDefault="006416C2" w:rsidP="006416C2">
      <w:pPr>
        <w:pStyle w:val="SCSAHeading3"/>
      </w:pPr>
      <w:r>
        <w:t>Addressing the other general capabilities</w:t>
      </w:r>
    </w:p>
    <w:bookmarkEnd w:id="2"/>
    <w:p w14:paraId="20DD5EA9" w14:textId="7E909443" w:rsidR="006054A2" w:rsidRPr="009C3CBD" w:rsidRDefault="006054A2" w:rsidP="009C3CBD">
      <w:r w:rsidRPr="009C3CBD">
        <w:t xml:space="preserve">Although the following general capabilities have not been identified as a focus in the </w:t>
      </w:r>
      <w:r w:rsidR="00A60E03">
        <w:t>Dance A</w:t>
      </w:r>
      <w:r w:rsidR="00460423">
        <w:t>TAR</w:t>
      </w:r>
      <w:r w:rsidR="00A60E03">
        <w:t xml:space="preserve"> </w:t>
      </w:r>
      <w:r w:rsidR="00460423" w:rsidRPr="009C3CBD">
        <w:t>Year</w:t>
      </w:r>
      <w:r w:rsidR="000232A6">
        <w:t> </w:t>
      </w:r>
      <w:r w:rsidR="00460423">
        <w:t xml:space="preserve">12 </w:t>
      </w:r>
      <w:r w:rsidR="00B20045" w:rsidRPr="000C7FFB">
        <w:t>syllabus</w:t>
      </w:r>
      <w:r w:rsidRPr="009C3CBD">
        <w:t>, teachers may find opportunities to incorporate these capabilities into the teaching and learning program.</w:t>
      </w:r>
    </w:p>
    <w:p w14:paraId="224DDB22" w14:textId="6011320E" w:rsidR="00A60E03" w:rsidRPr="00A60E03" w:rsidRDefault="00A60E03" w:rsidP="00DE6D1F">
      <w:pPr>
        <w:pStyle w:val="ListParagraph"/>
        <w:numPr>
          <w:ilvl w:val="0"/>
          <w:numId w:val="21"/>
        </w:numPr>
      </w:pPr>
      <w:r w:rsidRPr="00A60E03">
        <w:rPr>
          <w:rFonts w:ascii="Calibri" w:hAnsi="Calibri" w:cs="Calibri"/>
        </w:rPr>
        <w:t xml:space="preserve">Digital </w:t>
      </w:r>
      <w:r w:rsidR="00460423">
        <w:rPr>
          <w:rFonts w:ascii="Calibri" w:hAnsi="Calibri" w:cs="Calibri"/>
        </w:rPr>
        <w:t>l</w:t>
      </w:r>
      <w:r w:rsidRPr="00A60E03">
        <w:rPr>
          <w:rFonts w:ascii="Calibri" w:hAnsi="Calibri" w:cs="Calibri"/>
        </w:rPr>
        <w:t>iteracy</w:t>
      </w:r>
    </w:p>
    <w:p w14:paraId="0351B485" w14:textId="3E8C2AAC" w:rsidR="006054A2" w:rsidRPr="009C3CBD" w:rsidRDefault="006054A2" w:rsidP="00A60E03">
      <w:r w:rsidRPr="009C3CBD">
        <w:t>Such opportunities may occur through the application of different contexts, pedagogical practices and/or assessment strategies that relate to the syllabus as part of the teaching and learning program.</w:t>
      </w:r>
    </w:p>
    <w:p w14:paraId="49AA4128" w14:textId="4E643ABD" w:rsidR="009F5CD5" w:rsidRPr="009C3CBD" w:rsidRDefault="009F5CD5" w:rsidP="002C6BB2">
      <w:pPr>
        <w:pStyle w:val="SCSAHeading3"/>
      </w:pPr>
      <w:r w:rsidRPr="009C3CBD">
        <w:t xml:space="preserve">Summary representation of the </w:t>
      </w:r>
      <w:r w:rsidR="00DB2C5C">
        <w:t>g</w:t>
      </w:r>
      <w:r w:rsidRPr="009C3CBD">
        <w:t xml:space="preserve">eneral </w:t>
      </w:r>
      <w:r w:rsidR="00DB2C5C">
        <w:t>c</w:t>
      </w:r>
      <w:r w:rsidRPr="009C3CBD">
        <w:t xml:space="preserve">apabilities in the </w:t>
      </w:r>
      <w:r w:rsidR="00A60E03">
        <w:t xml:space="preserve">Dance ATAR </w:t>
      </w:r>
      <w:r w:rsidRPr="009C3CBD">
        <w:t>course</w:t>
      </w:r>
    </w:p>
    <w:p w14:paraId="2CE4E311" w14:textId="552A2DE9" w:rsidR="00D801F9" w:rsidRDefault="00284BA4" w:rsidP="009C3CBD">
      <w:r w:rsidRPr="00284BA4">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1"/>
        <w:gridCol w:w="3055"/>
        <w:gridCol w:w="852"/>
        <w:gridCol w:w="596"/>
        <w:gridCol w:w="596"/>
        <w:gridCol w:w="596"/>
        <w:gridCol w:w="596"/>
        <w:gridCol w:w="596"/>
        <w:gridCol w:w="596"/>
        <w:gridCol w:w="596"/>
      </w:tblGrid>
      <w:tr w:rsidR="00D801F9" w:rsidRPr="006A76EA" w14:paraId="7DE32206" w14:textId="77777777" w:rsidTr="00A6176B">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72CC5910" w14:textId="77777777" w:rsidR="00D801F9" w:rsidRPr="006A76EA" w:rsidRDefault="00D801F9" w:rsidP="005A0CE0">
            <w:pPr>
              <w:spacing w:after="100" w:afterAutospacing="1"/>
              <w:rPr>
                <w:b w:val="0"/>
                <w:bCs/>
              </w:rPr>
            </w:pPr>
            <w:r w:rsidRPr="006A76EA">
              <w:rPr>
                <w:bCs/>
              </w:rPr>
              <w:t>Year</w:t>
            </w:r>
          </w:p>
        </w:tc>
        <w:tc>
          <w:tcPr>
            <w:tcW w:w="3055" w:type="dxa"/>
            <w:vMerge w:val="restart"/>
          </w:tcPr>
          <w:p w14:paraId="2481B71F" w14:textId="77777777" w:rsidR="00D801F9" w:rsidRPr="006A76EA" w:rsidRDefault="00D801F9" w:rsidP="005A0CE0">
            <w:pPr>
              <w:spacing w:after="100" w:afterAutospacing="1"/>
              <w:rPr>
                <w:b w:val="0"/>
                <w:bCs/>
              </w:rPr>
            </w:pPr>
            <w:r w:rsidRPr="006A76EA">
              <w:rPr>
                <w:bCs/>
              </w:rPr>
              <w:t>Course</w:t>
            </w:r>
          </w:p>
        </w:tc>
        <w:tc>
          <w:tcPr>
            <w:tcW w:w="852" w:type="dxa"/>
            <w:vMerge w:val="restart"/>
          </w:tcPr>
          <w:p w14:paraId="1F5AE0ED" w14:textId="613E1A54" w:rsidR="00D801F9" w:rsidRPr="006A76EA" w:rsidRDefault="00D801F9" w:rsidP="005A0CE0">
            <w:pPr>
              <w:spacing w:after="100" w:afterAutospacing="1"/>
              <w:rPr>
                <w:b w:val="0"/>
                <w:bCs/>
              </w:rPr>
            </w:pPr>
            <w:r w:rsidRPr="006A76EA">
              <w:rPr>
                <w:bCs/>
              </w:rPr>
              <w:t xml:space="preserve">Course </w:t>
            </w:r>
            <w:r w:rsidR="00DB2C5C">
              <w:rPr>
                <w:bCs/>
              </w:rPr>
              <w:t>t</w:t>
            </w:r>
            <w:r w:rsidRPr="006A76EA">
              <w:rPr>
                <w:bCs/>
              </w:rPr>
              <w:t>ype</w:t>
            </w:r>
          </w:p>
        </w:tc>
        <w:tc>
          <w:tcPr>
            <w:tcW w:w="4172" w:type="dxa"/>
            <w:gridSpan w:val="7"/>
          </w:tcPr>
          <w:p w14:paraId="7C73B491" w14:textId="2684FA7C" w:rsidR="00D801F9" w:rsidRPr="006A76EA" w:rsidRDefault="00D801F9" w:rsidP="005A0CE0">
            <w:pPr>
              <w:spacing w:after="100" w:afterAutospacing="1"/>
              <w:jc w:val="center"/>
              <w:rPr>
                <w:b w:val="0"/>
                <w:bCs/>
              </w:rPr>
            </w:pPr>
            <w:r w:rsidRPr="006A76EA">
              <w:rPr>
                <w:bCs/>
              </w:rPr>
              <w:t xml:space="preserve">General </w:t>
            </w:r>
            <w:r w:rsidR="00DB2C5C">
              <w:rPr>
                <w:bCs/>
              </w:rPr>
              <w:t>c</w:t>
            </w:r>
            <w:r w:rsidRPr="006A76EA">
              <w:rPr>
                <w:bCs/>
              </w:rPr>
              <w:t>apabilities</w:t>
            </w:r>
          </w:p>
        </w:tc>
      </w:tr>
      <w:tr w:rsidR="00A6176B" w:rsidRPr="006A76EA" w14:paraId="008BA96C" w14:textId="77777777" w:rsidTr="00A6176B">
        <w:trPr>
          <w:trHeight w:val="142"/>
        </w:trPr>
        <w:tc>
          <w:tcPr>
            <w:tcW w:w="981" w:type="dxa"/>
            <w:vMerge/>
          </w:tcPr>
          <w:p w14:paraId="0D9D2A0F" w14:textId="77777777" w:rsidR="00A6176B" w:rsidRPr="006A76EA" w:rsidRDefault="00A6176B" w:rsidP="00A6176B">
            <w:pPr>
              <w:spacing w:after="100" w:afterAutospacing="1"/>
              <w:rPr>
                <w:b/>
                <w:bCs/>
              </w:rPr>
            </w:pPr>
          </w:p>
        </w:tc>
        <w:tc>
          <w:tcPr>
            <w:tcW w:w="3055" w:type="dxa"/>
            <w:vMerge/>
          </w:tcPr>
          <w:p w14:paraId="616327E3" w14:textId="77777777" w:rsidR="00A6176B" w:rsidRPr="006A76EA" w:rsidRDefault="00A6176B" w:rsidP="00A6176B">
            <w:pPr>
              <w:spacing w:after="100" w:afterAutospacing="1"/>
              <w:rPr>
                <w:b/>
                <w:bCs/>
              </w:rPr>
            </w:pPr>
          </w:p>
        </w:tc>
        <w:tc>
          <w:tcPr>
            <w:tcW w:w="852" w:type="dxa"/>
            <w:vMerge/>
          </w:tcPr>
          <w:p w14:paraId="33FE1046" w14:textId="77777777" w:rsidR="00A6176B" w:rsidRPr="006A76EA" w:rsidRDefault="00A6176B" w:rsidP="00A6176B">
            <w:pPr>
              <w:spacing w:after="100" w:afterAutospacing="1"/>
              <w:rPr>
                <w:b/>
                <w:bCs/>
              </w:rPr>
            </w:pPr>
          </w:p>
        </w:tc>
        <w:tc>
          <w:tcPr>
            <w:tcW w:w="596" w:type="dxa"/>
          </w:tcPr>
          <w:p w14:paraId="34C31AFB" w14:textId="0367E43B" w:rsidR="00A6176B" w:rsidRPr="006A76EA" w:rsidRDefault="00A6176B" w:rsidP="00A6176B">
            <w:pPr>
              <w:spacing w:after="100" w:afterAutospacing="1"/>
              <w:jc w:val="center"/>
              <w:rPr>
                <w:b/>
                <w:bCs/>
              </w:rPr>
            </w:pPr>
            <w:r>
              <w:rPr>
                <w:b/>
                <w:bCs/>
              </w:rPr>
              <w:t>CCT</w:t>
            </w:r>
          </w:p>
        </w:tc>
        <w:tc>
          <w:tcPr>
            <w:tcW w:w="596" w:type="dxa"/>
          </w:tcPr>
          <w:p w14:paraId="3BEEE8F3" w14:textId="206D81EE" w:rsidR="00A6176B" w:rsidRPr="006A76EA" w:rsidRDefault="00A6176B" w:rsidP="00A6176B">
            <w:pPr>
              <w:spacing w:after="100" w:afterAutospacing="1"/>
              <w:jc w:val="center"/>
              <w:rPr>
                <w:b/>
                <w:bCs/>
              </w:rPr>
            </w:pPr>
            <w:r>
              <w:rPr>
                <w:b/>
                <w:bCs/>
              </w:rPr>
              <w:t>DL</w:t>
            </w:r>
          </w:p>
        </w:tc>
        <w:tc>
          <w:tcPr>
            <w:tcW w:w="596" w:type="dxa"/>
          </w:tcPr>
          <w:p w14:paraId="576B7CFB" w14:textId="3A9C0EC3" w:rsidR="00A6176B" w:rsidRPr="006A76EA" w:rsidRDefault="00A6176B" w:rsidP="00A6176B">
            <w:pPr>
              <w:spacing w:after="100" w:afterAutospacing="1"/>
              <w:jc w:val="center"/>
              <w:rPr>
                <w:b/>
                <w:bCs/>
              </w:rPr>
            </w:pPr>
            <w:r>
              <w:rPr>
                <w:b/>
                <w:bCs/>
              </w:rPr>
              <w:t>EU</w:t>
            </w:r>
          </w:p>
        </w:tc>
        <w:tc>
          <w:tcPr>
            <w:tcW w:w="596" w:type="dxa"/>
          </w:tcPr>
          <w:p w14:paraId="51A686B1" w14:textId="6146B76E" w:rsidR="00A6176B" w:rsidRPr="006A76EA" w:rsidRDefault="00A6176B" w:rsidP="00A6176B">
            <w:pPr>
              <w:spacing w:after="100" w:afterAutospacing="1"/>
              <w:jc w:val="center"/>
              <w:rPr>
                <w:b/>
                <w:bCs/>
              </w:rPr>
            </w:pPr>
            <w:r>
              <w:rPr>
                <w:b/>
                <w:bCs/>
              </w:rPr>
              <w:t>IU</w:t>
            </w:r>
          </w:p>
        </w:tc>
        <w:tc>
          <w:tcPr>
            <w:tcW w:w="596" w:type="dxa"/>
          </w:tcPr>
          <w:p w14:paraId="7C8A2883" w14:textId="6FF7E449" w:rsidR="00A6176B" w:rsidRPr="006A76EA" w:rsidRDefault="00A6176B" w:rsidP="00A6176B">
            <w:pPr>
              <w:spacing w:after="100" w:afterAutospacing="1"/>
              <w:jc w:val="center"/>
              <w:rPr>
                <w:b/>
                <w:bCs/>
              </w:rPr>
            </w:pPr>
            <w:r>
              <w:rPr>
                <w:b/>
                <w:bCs/>
              </w:rPr>
              <w:t>L</w:t>
            </w:r>
          </w:p>
        </w:tc>
        <w:tc>
          <w:tcPr>
            <w:tcW w:w="596" w:type="dxa"/>
          </w:tcPr>
          <w:p w14:paraId="5B411F3A" w14:textId="087F49D2" w:rsidR="00A6176B" w:rsidRPr="006A76EA" w:rsidRDefault="00A6176B" w:rsidP="00A6176B">
            <w:pPr>
              <w:spacing w:after="100" w:afterAutospacing="1"/>
              <w:jc w:val="center"/>
              <w:rPr>
                <w:b/>
                <w:bCs/>
              </w:rPr>
            </w:pPr>
            <w:r>
              <w:rPr>
                <w:b/>
                <w:bCs/>
              </w:rPr>
              <w:t>N</w:t>
            </w:r>
          </w:p>
        </w:tc>
        <w:tc>
          <w:tcPr>
            <w:tcW w:w="596" w:type="dxa"/>
          </w:tcPr>
          <w:p w14:paraId="6C57D4CD" w14:textId="2589B413" w:rsidR="00A6176B" w:rsidRPr="006A76EA" w:rsidRDefault="00A6176B" w:rsidP="00A6176B">
            <w:pPr>
              <w:spacing w:after="100" w:afterAutospacing="1"/>
              <w:jc w:val="center"/>
              <w:rPr>
                <w:b/>
                <w:bCs/>
              </w:rPr>
            </w:pPr>
            <w:r>
              <w:rPr>
                <w:b/>
                <w:bCs/>
              </w:rPr>
              <w:t>PSC</w:t>
            </w:r>
          </w:p>
        </w:tc>
      </w:tr>
      <w:tr w:rsidR="00A6176B" w:rsidRPr="0072163C" w14:paraId="6A608F41" w14:textId="77777777" w:rsidTr="00A6176B">
        <w:trPr>
          <w:trHeight w:val="261"/>
        </w:trPr>
        <w:tc>
          <w:tcPr>
            <w:tcW w:w="981" w:type="dxa"/>
          </w:tcPr>
          <w:p w14:paraId="08EF4BE9" w14:textId="77777777" w:rsidR="00A6176B" w:rsidRDefault="00A6176B" w:rsidP="00A6176B">
            <w:pPr>
              <w:spacing w:after="100" w:afterAutospacing="1"/>
            </w:pPr>
            <w:r>
              <w:t>Year 11</w:t>
            </w:r>
          </w:p>
        </w:tc>
        <w:tc>
          <w:tcPr>
            <w:tcW w:w="3055" w:type="dxa"/>
          </w:tcPr>
          <w:p w14:paraId="5F3FDB8C" w14:textId="12E363E4" w:rsidR="00A6176B" w:rsidRPr="0072163C" w:rsidRDefault="00A6176B" w:rsidP="00A6176B">
            <w:pPr>
              <w:spacing w:after="100" w:afterAutospacing="1"/>
            </w:pPr>
            <w:r>
              <w:rPr>
                <w:rFonts w:cs="Calibri"/>
              </w:rPr>
              <w:t>Dance</w:t>
            </w:r>
            <w:r w:rsidRPr="0072163C">
              <w:rPr>
                <w:rFonts w:cs="Calibri"/>
              </w:rPr>
              <w:t xml:space="preserve"> </w:t>
            </w:r>
            <w:r>
              <w:rPr>
                <w:rFonts w:cs="Calibri"/>
              </w:rPr>
              <w:t>(AE</w:t>
            </w:r>
            <w:r>
              <w:t>DAN</w:t>
            </w:r>
            <w:r w:rsidRPr="0072163C">
              <w:t>)</w:t>
            </w:r>
          </w:p>
        </w:tc>
        <w:tc>
          <w:tcPr>
            <w:tcW w:w="852" w:type="dxa"/>
          </w:tcPr>
          <w:p w14:paraId="2FD66E27" w14:textId="77777777" w:rsidR="00A6176B" w:rsidRPr="0072163C" w:rsidRDefault="00A6176B" w:rsidP="00A6176B">
            <w:pPr>
              <w:spacing w:after="100" w:afterAutospacing="1"/>
            </w:pPr>
            <w:r w:rsidRPr="0072163C">
              <w:t>ATAR</w:t>
            </w:r>
          </w:p>
        </w:tc>
        <w:tc>
          <w:tcPr>
            <w:tcW w:w="596" w:type="dxa"/>
          </w:tcPr>
          <w:p w14:paraId="504C99B2" w14:textId="77777777" w:rsidR="00A6176B" w:rsidRPr="0072163C" w:rsidRDefault="00A6176B" w:rsidP="00A6176B">
            <w:pPr>
              <w:spacing w:after="100" w:afterAutospacing="1"/>
              <w:jc w:val="center"/>
            </w:pPr>
            <w:r w:rsidRPr="0072163C">
              <w:sym w:font="Wingdings" w:char="F0FC"/>
            </w:r>
          </w:p>
        </w:tc>
        <w:tc>
          <w:tcPr>
            <w:tcW w:w="596" w:type="dxa"/>
            <w:shd w:val="clear" w:color="auto" w:fill="DECFE8" w:themeFill="accent5"/>
          </w:tcPr>
          <w:p w14:paraId="25B11F1A" w14:textId="2ECDFDF1" w:rsidR="00A6176B" w:rsidRPr="0072163C" w:rsidRDefault="00A6176B" w:rsidP="00A6176B">
            <w:pPr>
              <w:spacing w:after="100" w:afterAutospacing="1"/>
              <w:jc w:val="center"/>
            </w:pPr>
          </w:p>
        </w:tc>
        <w:tc>
          <w:tcPr>
            <w:tcW w:w="596" w:type="dxa"/>
          </w:tcPr>
          <w:p w14:paraId="1702EF55" w14:textId="35BA0432" w:rsidR="00A6176B" w:rsidRPr="0072163C" w:rsidRDefault="00A6176B" w:rsidP="00A6176B">
            <w:pPr>
              <w:spacing w:after="100" w:afterAutospacing="1"/>
              <w:jc w:val="center"/>
            </w:pPr>
            <w:r w:rsidRPr="0072163C">
              <w:sym w:font="Wingdings" w:char="F0FC"/>
            </w:r>
          </w:p>
        </w:tc>
        <w:tc>
          <w:tcPr>
            <w:tcW w:w="596" w:type="dxa"/>
          </w:tcPr>
          <w:p w14:paraId="66A43CE9" w14:textId="77777777" w:rsidR="00A6176B" w:rsidRPr="0072163C" w:rsidRDefault="00A6176B" w:rsidP="00A6176B">
            <w:pPr>
              <w:spacing w:after="100" w:afterAutospacing="1"/>
              <w:jc w:val="center"/>
            </w:pPr>
            <w:r w:rsidRPr="0072163C">
              <w:sym w:font="Wingdings" w:char="F0FC"/>
            </w:r>
          </w:p>
        </w:tc>
        <w:tc>
          <w:tcPr>
            <w:tcW w:w="596" w:type="dxa"/>
            <w:shd w:val="clear" w:color="auto" w:fill="FFFFFF" w:themeFill="background1"/>
          </w:tcPr>
          <w:p w14:paraId="45C196DA" w14:textId="77777777" w:rsidR="00A6176B" w:rsidRPr="0072163C" w:rsidRDefault="00A6176B" w:rsidP="00A6176B">
            <w:pPr>
              <w:spacing w:after="100" w:afterAutospacing="1"/>
              <w:jc w:val="center"/>
            </w:pPr>
            <w:r w:rsidRPr="0072163C">
              <w:sym w:font="Wingdings" w:char="F0FC"/>
            </w:r>
          </w:p>
        </w:tc>
        <w:tc>
          <w:tcPr>
            <w:tcW w:w="596" w:type="dxa"/>
            <w:shd w:val="clear" w:color="auto" w:fill="FFFFFF" w:themeFill="background1"/>
          </w:tcPr>
          <w:p w14:paraId="2EC50BBA" w14:textId="77777777" w:rsidR="00A6176B" w:rsidRPr="0072163C" w:rsidRDefault="00A6176B" w:rsidP="00A6176B">
            <w:pPr>
              <w:spacing w:after="100" w:afterAutospacing="1"/>
              <w:jc w:val="center"/>
            </w:pPr>
            <w:r w:rsidRPr="0072163C">
              <w:sym w:font="Wingdings" w:char="F0FC"/>
            </w:r>
          </w:p>
        </w:tc>
        <w:tc>
          <w:tcPr>
            <w:tcW w:w="596" w:type="dxa"/>
            <w:shd w:val="clear" w:color="auto" w:fill="FFFFFF" w:themeFill="background1"/>
          </w:tcPr>
          <w:p w14:paraId="585FB2F0" w14:textId="77777777" w:rsidR="00A6176B" w:rsidRPr="0072163C" w:rsidRDefault="00A6176B" w:rsidP="00A6176B">
            <w:pPr>
              <w:spacing w:after="100" w:afterAutospacing="1"/>
              <w:jc w:val="center"/>
            </w:pPr>
            <w:r w:rsidRPr="0072163C">
              <w:sym w:font="Wingdings" w:char="F0FC"/>
            </w:r>
          </w:p>
        </w:tc>
      </w:tr>
      <w:tr w:rsidR="00A6176B" w:rsidRPr="0072163C" w14:paraId="427FB42E" w14:textId="77777777" w:rsidTr="00A6176B">
        <w:trPr>
          <w:trHeight w:val="261"/>
        </w:trPr>
        <w:tc>
          <w:tcPr>
            <w:tcW w:w="981" w:type="dxa"/>
          </w:tcPr>
          <w:p w14:paraId="1564AA4D" w14:textId="77777777" w:rsidR="00A6176B" w:rsidRDefault="00A6176B" w:rsidP="00A6176B">
            <w:pPr>
              <w:spacing w:after="100" w:afterAutospacing="1"/>
            </w:pPr>
            <w:r>
              <w:t>Year 12</w:t>
            </w:r>
          </w:p>
        </w:tc>
        <w:tc>
          <w:tcPr>
            <w:tcW w:w="3055" w:type="dxa"/>
          </w:tcPr>
          <w:p w14:paraId="51E5FED9" w14:textId="28D1BE28" w:rsidR="00A6176B" w:rsidRPr="0072163C" w:rsidRDefault="00A6176B" w:rsidP="00A6176B">
            <w:pPr>
              <w:spacing w:after="100" w:afterAutospacing="1"/>
            </w:pPr>
            <w:r>
              <w:rPr>
                <w:rFonts w:cs="Calibri"/>
              </w:rPr>
              <w:t>Dance</w:t>
            </w:r>
            <w:r w:rsidRPr="0072163C">
              <w:rPr>
                <w:rFonts w:cs="Calibri"/>
              </w:rPr>
              <w:t xml:space="preserve"> </w:t>
            </w:r>
            <w:r>
              <w:rPr>
                <w:rFonts w:cs="Calibri"/>
              </w:rPr>
              <w:t>(ATDAN</w:t>
            </w:r>
            <w:r w:rsidRPr="0072163C">
              <w:t>)</w:t>
            </w:r>
          </w:p>
        </w:tc>
        <w:tc>
          <w:tcPr>
            <w:tcW w:w="852" w:type="dxa"/>
          </w:tcPr>
          <w:p w14:paraId="7F6EB17B" w14:textId="77777777" w:rsidR="00A6176B" w:rsidRPr="0072163C" w:rsidRDefault="00A6176B" w:rsidP="00A6176B">
            <w:pPr>
              <w:spacing w:after="100" w:afterAutospacing="1"/>
            </w:pPr>
            <w:r w:rsidRPr="0072163C">
              <w:t>ATAR</w:t>
            </w:r>
          </w:p>
        </w:tc>
        <w:tc>
          <w:tcPr>
            <w:tcW w:w="596" w:type="dxa"/>
          </w:tcPr>
          <w:p w14:paraId="549BB60A" w14:textId="77777777" w:rsidR="00A6176B" w:rsidRPr="0072163C" w:rsidRDefault="00A6176B" w:rsidP="00A6176B">
            <w:pPr>
              <w:spacing w:after="100" w:afterAutospacing="1"/>
              <w:jc w:val="center"/>
            </w:pPr>
            <w:r w:rsidRPr="0072163C">
              <w:sym w:font="Wingdings" w:char="F0FC"/>
            </w:r>
          </w:p>
        </w:tc>
        <w:tc>
          <w:tcPr>
            <w:tcW w:w="596" w:type="dxa"/>
            <w:shd w:val="clear" w:color="auto" w:fill="DECFE8" w:themeFill="accent5"/>
          </w:tcPr>
          <w:p w14:paraId="74A38F4C" w14:textId="2F93D381" w:rsidR="00A6176B" w:rsidRPr="0072163C" w:rsidRDefault="00A6176B" w:rsidP="00A6176B">
            <w:pPr>
              <w:spacing w:after="100" w:afterAutospacing="1"/>
              <w:jc w:val="center"/>
            </w:pPr>
          </w:p>
        </w:tc>
        <w:tc>
          <w:tcPr>
            <w:tcW w:w="596" w:type="dxa"/>
          </w:tcPr>
          <w:p w14:paraId="41BD4581" w14:textId="3C3FC45C" w:rsidR="00A6176B" w:rsidRPr="0072163C" w:rsidRDefault="00A6176B" w:rsidP="00A6176B">
            <w:pPr>
              <w:spacing w:after="100" w:afterAutospacing="1"/>
              <w:jc w:val="center"/>
            </w:pPr>
            <w:r w:rsidRPr="0072163C">
              <w:sym w:font="Wingdings" w:char="F0FC"/>
            </w:r>
          </w:p>
        </w:tc>
        <w:tc>
          <w:tcPr>
            <w:tcW w:w="596" w:type="dxa"/>
          </w:tcPr>
          <w:p w14:paraId="1520391D" w14:textId="77777777" w:rsidR="00A6176B" w:rsidRPr="0072163C" w:rsidRDefault="00A6176B" w:rsidP="00A6176B">
            <w:pPr>
              <w:spacing w:after="100" w:afterAutospacing="1"/>
              <w:jc w:val="center"/>
            </w:pPr>
            <w:r w:rsidRPr="0072163C">
              <w:sym w:font="Wingdings" w:char="F0FC"/>
            </w:r>
          </w:p>
        </w:tc>
        <w:tc>
          <w:tcPr>
            <w:tcW w:w="596" w:type="dxa"/>
            <w:shd w:val="clear" w:color="auto" w:fill="FFFFFF" w:themeFill="background1"/>
          </w:tcPr>
          <w:p w14:paraId="103BB972" w14:textId="77777777" w:rsidR="00A6176B" w:rsidRPr="0072163C" w:rsidRDefault="00A6176B" w:rsidP="00A6176B">
            <w:pPr>
              <w:spacing w:after="100" w:afterAutospacing="1"/>
              <w:jc w:val="center"/>
            </w:pPr>
            <w:r w:rsidRPr="0072163C">
              <w:sym w:font="Wingdings" w:char="F0FC"/>
            </w:r>
          </w:p>
        </w:tc>
        <w:tc>
          <w:tcPr>
            <w:tcW w:w="596" w:type="dxa"/>
            <w:shd w:val="clear" w:color="auto" w:fill="FFFFFF" w:themeFill="background1"/>
          </w:tcPr>
          <w:p w14:paraId="5E460ED2" w14:textId="77777777" w:rsidR="00A6176B" w:rsidRPr="0072163C" w:rsidRDefault="00A6176B" w:rsidP="00A6176B">
            <w:pPr>
              <w:spacing w:after="100" w:afterAutospacing="1"/>
              <w:jc w:val="center"/>
            </w:pPr>
            <w:r w:rsidRPr="0072163C">
              <w:sym w:font="Wingdings" w:char="F0FC"/>
            </w:r>
          </w:p>
        </w:tc>
        <w:tc>
          <w:tcPr>
            <w:tcW w:w="596" w:type="dxa"/>
            <w:shd w:val="clear" w:color="auto" w:fill="FFFFFF" w:themeFill="background1"/>
          </w:tcPr>
          <w:p w14:paraId="40B38846" w14:textId="77777777" w:rsidR="00A6176B" w:rsidRPr="0072163C" w:rsidRDefault="00A6176B" w:rsidP="00A6176B">
            <w:pPr>
              <w:spacing w:after="100" w:afterAutospacing="1"/>
              <w:jc w:val="center"/>
            </w:pPr>
            <w:r w:rsidRPr="0072163C">
              <w:sym w:font="Wingdings" w:char="F0FC"/>
            </w:r>
          </w:p>
        </w:tc>
      </w:tr>
    </w:tbl>
    <w:p w14:paraId="23D714FA" w14:textId="77777777" w:rsidR="009F5CD5" w:rsidRPr="009C3CBD" w:rsidRDefault="009F5CD5" w:rsidP="008A7111">
      <w:pPr>
        <w:spacing w:before="120" w:after="0"/>
        <w:rPr>
          <w:b/>
          <w:bCs/>
        </w:rPr>
      </w:pPr>
      <w:r w:rsidRPr="009C3CBD">
        <w:rPr>
          <w:b/>
          <w:bCs/>
        </w:rPr>
        <w:t>Key</w:t>
      </w:r>
    </w:p>
    <w:p w14:paraId="0D4C71F9" w14:textId="0742F99E" w:rsidR="009F5CD5" w:rsidRDefault="00A6176B" w:rsidP="00A6176B">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Sect="00DE6D1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C794" w14:textId="77777777" w:rsidR="007E55DA" w:rsidRDefault="007E55DA" w:rsidP="00742128">
      <w:pPr>
        <w:spacing w:after="0" w:line="240" w:lineRule="auto"/>
      </w:pPr>
      <w:r>
        <w:separator/>
      </w:r>
    </w:p>
  </w:endnote>
  <w:endnote w:type="continuationSeparator" w:id="0">
    <w:p w14:paraId="4B881738" w14:textId="77777777" w:rsidR="007E55DA" w:rsidRDefault="007E55D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7D79D6E" w:rsidR="00F86F26" w:rsidRPr="008324A6" w:rsidRDefault="00B6315E" w:rsidP="00227D40">
    <w:pPr>
      <w:pStyle w:val="SCSAFootereven"/>
    </w:pPr>
    <w:r w:rsidRPr="00B6315E">
      <w:t>2025/41388</w:t>
    </w:r>
    <w:r w:rsidR="00DE6D1F">
      <w:t>[v</w:t>
    </w:r>
    <w:r w:rsidR="00B20045">
      <w:t>3</w:t>
    </w:r>
    <w:r w:rsidR="00DE6D1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984DC3C" w:rsidR="00F86F26" w:rsidRPr="009226E4" w:rsidRDefault="00E73CF2" w:rsidP="009226E4">
    <w:pPr>
      <w:pStyle w:val="SCSAFootereven"/>
    </w:pPr>
    <w:r w:rsidRPr="009226E4">
      <w:t>Dance</w:t>
    </w:r>
    <w:r w:rsidR="0035625E">
      <w:t xml:space="preserve"> </w:t>
    </w:r>
    <w:r w:rsidR="00777AF3" w:rsidRPr="009226E4">
      <w:t xml:space="preserve">| </w:t>
    </w:r>
    <w:r w:rsidR="00D525E9" w:rsidRPr="009226E4">
      <w:t>ATAR</w:t>
    </w:r>
    <w:r w:rsidR="00777AF3" w:rsidRPr="009226E4">
      <w:t xml:space="preserve"> | Year</w:t>
    </w:r>
    <w:r w:rsidR="00D525E9" w:rsidRPr="009226E4">
      <w:t xml:space="preserve"> 12</w:t>
    </w:r>
    <w:r w:rsidR="00777AF3" w:rsidRPr="009226E4">
      <w:t xml:space="preserve"> </w:t>
    </w:r>
    <w:r w:rsidR="00C22F6F" w:rsidRPr="009226E4">
      <w:t>s</w:t>
    </w:r>
    <w:r w:rsidR="00777AF3" w:rsidRPr="009226E4">
      <w:t xml:space="preserve">yllabus </w:t>
    </w:r>
    <w:r w:rsidR="00C22F6F" w:rsidRPr="009226E4">
      <w:t>–</w:t>
    </w:r>
    <w:r w:rsidR="00777AF3" w:rsidRPr="009226E4">
      <w:t xml:space="preserve"> What’s changing: General </w:t>
    </w:r>
    <w:r w:rsidR="00C22F6F" w:rsidRPr="009226E4">
      <w:t>c</w:t>
    </w:r>
    <w:r w:rsidR="00777AF3" w:rsidRPr="009226E4">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166BBB4" w:rsidR="00F86F26" w:rsidRPr="00AA2B0D" w:rsidRDefault="00E73CF2" w:rsidP="00227D40">
    <w:pPr>
      <w:pStyle w:val="SCSAFooterodd"/>
    </w:pPr>
    <w:r>
      <w:rPr>
        <w:noProof/>
      </w:rPr>
      <w:t>Dance</w:t>
    </w:r>
    <w:r w:rsidR="009025F2">
      <w:rPr>
        <w:noProof/>
      </w:rPr>
      <w:t xml:space="preserve"> </w:t>
    </w:r>
    <w:r w:rsidR="00F86F26">
      <w:rPr>
        <w:noProof/>
      </w:rPr>
      <w:t xml:space="preserve">| </w:t>
    </w:r>
    <w:r w:rsidR="00D525E9">
      <w:rPr>
        <w:noProof/>
      </w:rPr>
      <w:t>ATAR</w:t>
    </w:r>
    <w:r w:rsidR="000C6F75">
      <w:rPr>
        <w:noProof/>
      </w:rPr>
      <w:t xml:space="preserve"> </w:t>
    </w:r>
    <w:r w:rsidR="00F86F26">
      <w:rPr>
        <w:noProof/>
      </w:rPr>
      <w:t xml:space="preserve">| Year </w:t>
    </w:r>
    <w:r w:rsidR="00D525E9">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DCA6" w14:textId="77777777" w:rsidR="007E55DA" w:rsidRDefault="007E55DA" w:rsidP="00742128">
      <w:pPr>
        <w:spacing w:after="0" w:line="240" w:lineRule="auto"/>
      </w:pPr>
      <w:r>
        <w:separator/>
      </w:r>
    </w:p>
  </w:footnote>
  <w:footnote w:type="continuationSeparator" w:id="0">
    <w:p w14:paraId="32DF51F8" w14:textId="77777777" w:rsidR="007E55DA" w:rsidRDefault="007E55D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ADB06D4"/>
    <w:multiLevelType w:val="hybridMultilevel"/>
    <w:tmpl w:val="4CEA1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2AB2415"/>
    <w:multiLevelType w:val="multilevel"/>
    <w:tmpl w:val="762853C8"/>
    <w:numStyleLink w:val="SCSABulletList"/>
  </w:abstractNum>
  <w:abstractNum w:abstractNumId="1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20"/>
  </w:num>
  <w:num w:numId="3" w16cid:durableId="1660381090">
    <w:abstractNumId w:val="15"/>
  </w:num>
  <w:num w:numId="4" w16cid:durableId="179441877">
    <w:abstractNumId w:val="7"/>
  </w:num>
  <w:num w:numId="5" w16cid:durableId="1481263936">
    <w:abstractNumId w:val="13"/>
  </w:num>
  <w:num w:numId="6" w16cid:durableId="1809275971">
    <w:abstractNumId w:val="10"/>
  </w:num>
  <w:num w:numId="7" w16cid:durableId="634065546">
    <w:abstractNumId w:val="1"/>
  </w:num>
  <w:num w:numId="8" w16cid:durableId="810444534">
    <w:abstractNumId w:val="16"/>
  </w:num>
  <w:num w:numId="9" w16cid:durableId="1972594163">
    <w:abstractNumId w:val="17"/>
  </w:num>
  <w:num w:numId="10" w16cid:durableId="1396468084">
    <w:abstractNumId w:val="3"/>
  </w:num>
  <w:num w:numId="11" w16cid:durableId="1878735755">
    <w:abstractNumId w:val="14"/>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5"/>
  </w:num>
  <w:num w:numId="19" w16cid:durableId="2026057853">
    <w:abstractNumId w:val="12"/>
  </w:num>
  <w:num w:numId="20" w16cid:durableId="239288564">
    <w:abstractNumId w:val="6"/>
  </w:num>
  <w:num w:numId="21" w16cid:durableId="5728144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2A6"/>
    <w:rsid w:val="0002336A"/>
    <w:rsid w:val="000358C4"/>
    <w:rsid w:val="00036500"/>
    <w:rsid w:val="00044FDD"/>
    <w:rsid w:val="00047063"/>
    <w:rsid w:val="00053A6C"/>
    <w:rsid w:val="000577DF"/>
    <w:rsid w:val="00066145"/>
    <w:rsid w:val="0007083C"/>
    <w:rsid w:val="0009024C"/>
    <w:rsid w:val="0009076A"/>
    <w:rsid w:val="000926C3"/>
    <w:rsid w:val="00094A48"/>
    <w:rsid w:val="00094E92"/>
    <w:rsid w:val="000A441D"/>
    <w:rsid w:val="000A48A8"/>
    <w:rsid w:val="000A6ABE"/>
    <w:rsid w:val="000A7B41"/>
    <w:rsid w:val="000B1346"/>
    <w:rsid w:val="000B135B"/>
    <w:rsid w:val="000B4506"/>
    <w:rsid w:val="000B750A"/>
    <w:rsid w:val="000C1E2C"/>
    <w:rsid w:val="000C69C8"/>
    <w:rsid w:val="000C6E0F"/>
    <w:rsid w:val="000C6F75"/>
    <w:rsid w:val="000D22E2"/>
    <w:rsid w:val="000D35A8"/>
    <w:rsid w:val="000D5DBB"/>
    <w:rsid w:val="000E7350"/>
    <w:rsid w:val="000F404F"/>
    <w:rsid w:val="00102EED"/>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0E12"/>
    <w:rsid w:val="001A39D0"/>
    <w:rsid w:val="001A7DBB"/>
    <w:rsid w:val="001B181C"/>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0CD6"/>
    <w:rsid w:val="00212894"/>
    <w:rsid w:val="002145EE"/>
    <w:rsid w:val="00217901"/>
    <w:rsid w:val="00223D1B"/>
    <w:rsid w:val="00227D40"/>
    <w:rsid w:val="00230FE0"/>
    <w:rsid w:val="00236BF3"/>
    <w:rsid w:val="002407EC"/>
    <w:rsid w:val="0024125D"/>
    <w:rsid w:val="0024439F"/>
    <w:rsid w:val="002451B5"/>
    <w:rsid w:val="00264DBE"/>
    <w:rsid w:val="00270163"/>
    <w:rsid w:val="0027335A"/>
    <w:rsid w:val="00274804"/>
    <w:rsid w:val="00281E6B"/>
    <w:rsid w:val="00283DDD"/>
    <w:rsid w:val="00284BA4"/>
    <w:rsid w:val="00285893"/>
    <w:rsid w:val="0028622D"/>
    <w:rsid w:val="00290C4A"/>
    <w:rsid w:val="002A2970"/>
    <w:rsid w:val="002A2D2B"/>
    <w:rsid w:val="002A471E"/>
    <w:rsid w:val="002A4A58"/>
    <w:rsid w:val="002A5092"/>
    <w:rsid w:val="002A75FA"/>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4694"/>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5625E"/>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16BA"/>
    <w:rsid w:val="0044627A"/>
    <w:rsid w:val="00455893"/>
    <w:rsid w:val="0046042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757F"/>
    <w:rsid w:val="004B09CF"/>
    <w:rsid w:val="004B256A"/>
    <w:rsid w:val="004B3B93"/>
    <w:rsid w:val="004B401A"/>
    <w:rsid w:val="004B7DB5"/>
    <w:rsid w:val="004C64D3"/>
    <w:rsid w:val="004D0002"/>
    <w:rsid w:val="004D26A7"/>
    <w:rsid w:val="004D3542"/>
    <w:rsid w:val="004E0AD6"/>
    <w:rsid w:val="004E517B"/>
    <w:rsid w:val="004F2C29"/>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76994"/>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E7DE2"/>
    <w:rsid w:val="005F038C"/>
    <w:rsid w:val="00604DE7"/>
    <w:rsid w:val="00605120"/>
    <w:rsid w:val="006054A2"/>
    <w:rsid w:val="006077A5"/>
    <w:rsid w:val="00613522"/>
    <w:rsid w:val="0061550D"/>
    <w:rsid w:val="00620276"/>
    <w:rsid w:val="00623F3C"/>
    <w:rsid w:val="00626978"/>
    <w:rsid w:val="00630538"/>
    <w:rsid w:val="00630C3D"/>
    <w:rsid w:val="006316FC"/>
    <w:rsid w:val="00633E30"/>
    <w:rsid w:val="0063592D"/>
    <w:rsid w:val="00637F0D"/>
    <w:rsid w:val="006416C2"/>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2DAD"/>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20B9"/>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41E8"/>
    <w:rsid w:val="007C609E"/>
    <w:rsid w:val="007D1AA6"/>
    <w:rsid w:val="007D4452"/>
    <w:rsid w:val="007D4CB3"/>
    <w:rsid w:val="007E1AFD"/>
    <w:rsid w:val="007E4139"/>
    <w:rsid w:val="007E55DA"/>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1CC0"/>
    <w:rsid w:val="008A59A8"/>
    <w:rsid w:val="008A7111"/>
    <w:rsid w:val="008A7555"/>
    <w:rsid w:val="008C1D6B"/>
    <w:rsid w:val="008C3097"/>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25F2"/>
    <w:rsid w:val="009037E3"/>
    <w:rsid w:val="00904BFC"/>
    <w:rsid w:val="00910786"/>
    <w:rsid w:val="00915177"/>
    <w:rsid w:val="009168B9"/>
    <w:rsid w:val="009173D8"/>
    <w:rsid w:val="00920E26"/>
    <w:rsid w:val="009226E4"/>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35A1"/>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200"/>
    <w:rsid w:val="009A64DF"/>
    <w:rsid w:val="009A78D6"/>
    <w:rsid w:val="009C2653"/>
    <w:rsid w:val="009C3CBD"/>
    <w:rsid w:val="009C70AC"/>
    <w:rsid w:val="009C77B6"/>
    <w:rsid w:val="009D16CA"/>
    <w:rsid w:val="009D19DB"/>
    <w:rsid w:val="009D4316"/>
    <w:rsid w:val="009D503D"/>
    <w:rsid w:val="009D6101"/>
    <w:rsid w:val="009D793E"/>
    <w:rsid w:val="009D7CB1"/>
    <w:rsid w:val="009E134D"/>
    <w:rsid w:val="009E18D9"/>
    <w:rsid w:val="009E31A1"/>
    <w:rsid w:val="009E5087"/>
    <w:rsid w:val="009E72EE"/>
    <w:rsid w:val="009E7635"/>
    <w:rsid w:val="009E76C6"/>
    <w:rsid w:val="009F31EB"/>
    <w:rsid w:val="009F5CD5"/>
    <w:rsid w:val="009F662B"/>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0E03"/>
    <w:rsid w:val="00A6176B"/>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C5A6F"/>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0045"/>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315E"/>
    <w:rsid w:val="00B6583C"/>
    <w:rsid w:val="00B65976"/>
    <w:rsid w:val="00B65D3D"/>
    <w:rsid w:val="00B71C2D"/>
    <w:rsid w:val="00B8058F"/>
    <w:rsid w:val="00B86B49"/>
    <w:rsid w:val="00B935B0"/>
    <w:rsid w:val="00B937EB"/>
    <w:rsid w:val="00B949B9"/>
    <w:rsid w:val="00B97DC7"/>
    <w:rsid w:val="00B97F16"/>
    <w:rsid w:val="00BB0A97"/>
    <w:rsid w:val="00BB4454"/>
    <w:rsid w:val="00BB77D6"/>
    <w:rsid w:val="00BC1F96"/>
    <w:rsid w:val="00BD0125"/>
    <w:rsid w:val="00BD037E"/>
    <w:rsid w:val="00BE1791"/>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1F7"/>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4A7"/>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458C4"/>
    <w:rsid w:val="00D472E1"/>
    <w:rsid w:val="00D479BD"/>
    <w:rsid w:val="00D5217D"/>
    <w:rsid w:val="00D525E9"/>
    <w:rsid w:val="00D62E94"/>
    <w:rsid w:val="00D65C5C"/>
    <w:rsid w:val="00D66A4A"/>
    <w:rsid w:val="00D801F9"/>
    <w:rsid w:val="00D83942"/>
    <w:rsid w:val="00D90DBA"/>
    <w:rsid w:val="00D91132"/>
    <w:rsid w:val="00D92D10"/>
    <w:rsid w:val="00D96C8B"/>
    <w:rsid w:val="00DA0E77"/>
    <w:rsid w:val="00DA34F0"/>
    <w:rsid w:val="00DB2C5C"/>
    <w:rsid w:val="00DB41B4"/>
    <w:rsid w:val="00DB4B3C"/>
    <w:rsid w:val="00DB6D74"/>
    <w:rsid w:val="00DC2E31"/>
    <w:rsid w:val="00DC3A58"/>
    <w:rsid w:val="00DD0EDA"/>
    <w:rsid w:val="00DD1D21"/>
    <w:rsid w:val="00DD51A8"/>
    <w:rsid w:val="00DE1ABE"/>
    <w:rsid w:val="00DE6D1F"/>
    <w:rsid w:val="00E00C60"/>
    <w:rsid w:val="00E05148"/>
    <w:rsid w:val="00E0593E"/>
    <w:rsid w:val="00E1108A"/>
    <w:rsid w:val="00E13B15"/>
    <w:rsid w:val="00E212E1"/>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73CF2"/>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3559"/>
    <w:rsid w:val="00EF3F33"/>
    <w:rsid w:val="00EF6131"/>
    <w:rsid w:val="00F02AED"/>
    <w:rsid w:val="00F16805"/>
    <w:rsid w:val="00F174FB"/>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87CC8"/>
    <w:rsid w:val="00F95038"/>
    <w:rsid w:val="00FA0805"/>
    <w:rsid w:val="00FA1694"/>
    <w:rsid w:val="00FA17D9"/>
    <w:rsid w:val="00FA5498"/>
    <w:rsid w:val="00FC09E7"/>
    <w:rsid w:val="00FC2705"/>
    <w:rsid w:val="00FC5DA1"/>
    <w:rsid w:val="00FC77F4"/>
    <w:rsid w:val="00FD167A"/>
    <w:rsid w:val="00FD1803"/>
    <w:rsid w:val="00FD73A8"/>
    <w:rsid w:val="00FE054A"/>
    <w:rsid w:val="00FE1263"/>
    <w:rsid w:val="00FE20B2"/>
    <w:rsid w:val="00FE2FC5"/>
    <w:rsid w:val="00FE6119"/>
    <w:rsid w:val="00FF357E"/>
    <w:rsid w:val="00FF773D"/>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A60E03"/>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6278</Characters>
  <Application>Microsoft Office Word</Application>
  <DocSecurity>0</DocSecurity>
  <Lines>132</Lines>
  <Paragraphs>70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2025-10-14T02:11:00Z</cp:lastPrinted>
  <dcterms:created xsi:type="dcterms:W3CDTF">2025-10-09T02:16:00Z</dcterms:created>
  <dcterms:modified xsi:type="dcterms:W3CDTF">2025-10-14T02:11:00Z</dcterms:modified>
</cp:coreProperties>
</file>