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76442" w14:textId="77777777" w:rsidR="00977846" w:rsidRPr="00E277C2" w:rsidRDefault="00977846" w:rsidP="00977846">
      <w:pPr>
        <w:spacing w:line="257" w:lineRule="auto"/>
        <w:rPr>
          <w:b/>
        </w:rPr>
      </w:pPr>
      <w:r w:rsidRPr="00871FC2">
        <w:rPr>
          <w:b/>
        </w:rPr>
        <w:t>School administrators, Heads of Learning Area –</w:t>
      </w:r>
      <w:r>
        <w:rPr>
          <w:b/>
        </w:rPr>
        <w:t xml:space="preserve"> Mathematics and teachers of Mathematics Essential General Year 12 </w:t>
      </w:r>
      <w:r w:rsidRPr="00871FC2">
        <w:rPr>
          <w:b/>
        </w:rPr>
        <w:t>are requested to note for 202</w:t>
      </w:r>
      <w:r>
        <w:rPr>
          <w:b/>
        </w:rPr>
        <w:t>7</w:t>
      </w:r>
      <w:r w:rsidRPr="00871FC2">
        <w:rPr>
          <w:b/>
        </w:rPr>
        <w:t xml:space="preserve"> the following minor syllabus changes. The syllabus is labelled as ‘For teaching from 202</w:t>
      </w:r>
      <w:r>
        <w:rPr>
          <w:b/>
        </w:rPr>
        <w:t>7</w:t>
      </w:r>
      <w:r w:rsidRPr="00871FC2">
        <w:rPr>
          <w:b/>
        </w:rPr>
        <w:t>’.</w:t>
      </w:r>
    </w:p>
    <w:p w14:paraId="361CD40B" w14:textId="63888408" w:rsidR="00A02BC1" w:rsidRPr="00A02BC1" w:rsidRDefault="00084248" w:rsidP="002B3D14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Mathematics Essential</w:t>
      </w:r>
      <w:r w:rsidR="005736EE">
        <w:rPr>
          <w:rFonts w:cstheme="minorHAnsi"/>
          <w:b/>
          <w:bCs/>
        </w:rPr>
        <w:t xml:space="preserve"> | </w:t>
      </w:r>
      <w:r>
        <w:rPr>
          <w:rFonts w:cstheme="minorHAnsi"/>
          <w:b/>
          <w:bCs/>
        </w:rPr>
        <w:t xml:space="preserve">General </w:t>
      </w:r>
      <w:r w:rsidR="005736EE">
        <w:rPr>
          <w:rFonts w:cstheme="minorHAnsi"/>
          <w:b/>
          <w:bCs/>
        </w:rPr>
        <w:t>Year 1</w:t>
      </w:r>
      <w:r w:rsidR="005D7C8C">
        <w:rPr>
          <w:rFonts w:cstheme="minorHAnsi"/>
          <w:b/>
          <w:bCs/>
        </w:rPr>
        <w:t>1</w:t>
      </w:r>
      <w:r w:rsidR="005736EE">
        <w:rPr>
          <w:rFonts w:cstheme="minorHAnsi"/>
          <w:b/>
          <w:bCs/>
        </w:rPr>
        <w:t xml:space="preserve"> | Summary of minor s</w:t>
      </w:r>
      <w:r w:rsidR="00A02BC1" w:rsidRPr="00A02BC1">
        <w:rPr>
          <w:rFonts w:cstheme="minorHAnsi"/>
          <w:b/>
          <w:bCs/>
        </w:rPr>
        <w:t>yllabus changes</w:t>
      </w:r>
      <w:r w:rsidR="005736EE">
        <w:rPr>
          <w:rFonts w:cstheme="minorHAnsi"/>
          <w:b/>
          <w:bCs/>
        </w:rPr>
        <w:t xml:space="preserve"> for 202</w:t>
      </w:r>
      <w:r>
        <w:rPr>
          <w:rFonts w:cstheme="minorHAnsi"/>
          <w:b/>
          <w:bCs/>
        </w:rPr>
        <w:t>7</w:t>
      </w:r>
    </w:p>
    <w:p w14:paraId="4AEDBD42" w14:textId="22962FF7" w:rsidR="00A02BC1" w:rsidRPr="00A02BC1" w:rsidRDefault="00A02BC1" w:rsidP="0022123B">
      <w:pPr>
        <w:rPr>
          <w:rFonts w:cstheme="minorHAnsi"/>
        </w:rPr>
      </w:pPr>
      <w:r w:rsidRPr="009E3BA6">
        <w:rPr>
          <w:rFonts w:cstheme="minorHAnsi"/>
        </w:rPr>
        <w:t xml:space="preserve">The content identified by </w:t>
      </w:r>
      <w:r w:rsidRPr="009E3BA6">
        <w:rPr>
          <w:rFonts w:cstheme="minorHAnsi"/>
          <w:strike/>
        </w:rPr>
        <w:t>strikethrough</w:t>
      </w:r>
      <w:r w:rsidRPr="009E3BA6">
        <w:rPr>
          <w:rFonts w:cstheme="minorHAnsi"/>
        </w:rPr>
        <w:t xml:space="preserve"> has been deleted from the syllabus and the content identified in </w:t>
      </w:r>
      <w:r w:rsidRPr="009E3BA6">
        <w:rPr>
          <w:rFonts w:cstheme="minorHAnsi"/>
          <w:i/>
        </w:rPr>
        <w:t>italic</w:t>
      </w:r>
      <w:r w:rsidRPr="009E3BA6">
        <w:rPr>
          <w:rFonts w:cstheme="minorHAnsi"/>
        </w:rPr>
        <w:t>s has been revised in the syllabus for teaching from 202</w:t>
      </w:r>
      <w:r w:rsidR="00494C5F">
        <w:rPr>
          <w:rFonts w:cstheme="minorHAnsi"/>
        </w:rPr>
        <w:t>7</w:t>
      </w:r>
      <w:r w:rsidR="00BC3DBF">
        <w:rPr>
          <w:rFonts w:cstheme="minorHAnsi"/>
        </w:rPr>
        <w:t>.</w:t>
      </w:r>
    </w:p>
    <w:p w14:paraId="5A767F9C" w14:textId="1EE4E989" w:rsidR="00B3222D" w:rsidRPr="009D0726" w:rsidRDefault="00B3222D" w:rsidP="00B3222D">
      <w:pPr>
        <w:pStyle w:val="SCSAHeading4"/>
      </w:pPr>
      <w:r w:rsidRPr="009D0726">
        <w:t xml:space="preserve">Unit 1.3 Measurement </w:t>
      </w:r>
      <w:r w:rsidR="00232024">
        <w:t>(22 hours)</w:t>
      </w:r>
    </w:p>
    <w:p w14:paraId="0F0A67C8" w14:textId="77777777" w:rsidR="00B3222D" w:rsidRPr="00C47EAE" w:rsidRDefault="00B3222D" w:rsidP="00B3222D">
      <w:pPr>
        <w:pStyle w:val="SCSAHeading4"/>
      </w:pPr>
      <w:r w:rsidRPr="00C47EAE">
        <w:t>Units of energy</w:t>
      </w:r>
    </w:p>
    <w:p w14:paraId="1D3C0A8C" w14:textId="77777777" w:rsidR="00B3222D" w:rsidRPr="00762577" w:rsidRDefault="00B3222D" w:rsidP="00B3222D">
      <w:pPr>
        <w:pStyle w:val="ContentDescription"/>
      </w:pPr>
      <w:r>
        <w:t>1.3.15</w:t>
      </w:r>
      <w:r>
        <w:tab/>
      </w:r>
      <w:r w:rsidRPr="00762577">
        <w:t>use units of energy to describe consumption of electricity, such as kilowatt hours</w:t>
      </w:r>
    </w:p>
    <w:p w14:paraId="236D5AC1" w14:textId="77777777" w:rsidR="00B3222D" w:rsidRPr="00762577" w:rsidRDefault="00B3222D" w:rsidP="00B3222D">
      <w:pPr>
        <w:pStyle w:val="ContentDescription"/>
      </w:pPr>
      <w:r>
        <w:t>1.3.16</w:t>
      </w:r>
      <w:r>
        <w:tab/>
      </w:r>
      <w:r w:rsidRPr="00762577">
        <w:t>use units of energy used for foods, including kilojoules and calories</w:t>
      </w:r>
    </w:p>
    <w:p w14:paraId="353F52F0" w14:textId="77777777" w:rsidR="00B3222D" w:rsidRPr="00762577" w:rsidRDefault="00B3222D" w:rsidP="00B3222D">
      <w:pPr>
        <w:pStyle w:val="ContentDescription"/>
      </w:pPr>
      <w:r>
        <w:t>1.3.17</w:t>
      </w:r>
      <w:r>
        <w:tab/>
      </w:r>
      <w:r w:rsidRPr="00762577">
        <w:t>use units of energy to describe the amount of energy expended during activity</w:t>
      </w:r>
    </w:p>
    <w:p w14:paraId="595D9D33" w14:textId="77777777" w:rsidR="00B3222D" w:rsidRPr="00762577" w:rsidRDefault="00B3222D" w:rsidP="00B3222D">
      <w:pPr>
        <w:pStyle w:val="ContentDescription"/>
      </w:pPr>
      <w:r>
        <w:t>1.3.18</w:t>
      </w:r>
      <w:r>
        <w:tab/>
      </w:r>
      <w:r w:rsidRPr="00762577">
        <w:t>convert from one unit of energy to another, such as calories/kilojoules</w:t>
      </w:r>
    </w:p>
    <w:p w14:paraId="77648976" w14:textId="77777777" w:rsidR="00B3222D" w:rsidRPr="00A96DFB" w:rsidRDefault="00B3222D" w:rsidP="00B3222D">
      <w:pPr>
        <w:pStyle w:val="NoSpacing"/>
      </w:pPr>
      <w:r w:rsidRPr="00A96DFB">
        <w:t>Examples in context – Units of energy:</w:t>
      </w:r>
    </w:p>
    <w:p w14:paraId="66FA6F32" w14:textId="77777777" w:rsidR="00B3222D" w:rsidRPr="008360FC" w:rsidRDefault="00B3222D" w:rsidP="00B3222D">
      <w:pPr>
        <w:pStyle w:val="ListParagraph"/>
        <w:numPr>
          <w:ilvl w:val="0"/>
          <w:numId w:val="18"/>
        </w:numPr>
      </w:pPr>
      <w:r w:rsidRPr="008360FC">
        <w:t xml:space="preserve">compare the </w:t>
      </w:r>
      <w:r w:rsidRPr="00A315E8">
        <w:rPr>
          <w:strike/>
        </w:rPr>
        <w:t>nutritional</w:t>
      </w:r>
      <w:r w:rsidRPr="008360FC">
        <w:t xml:space="preserve"> energy</w:t>
      </w:r>
      <w:r>
        <w:t xml:space="preserve"> </w:t>
      </w:r>
      <w:r w:rsidRPr="00127D26">
        <w:rPr>
          <w:i/>
          <w:iCs/>
        </w:rPr>
        <w:t>available</w:t>
      </w:r>
      <w:r>
        <w:rPr>
          <w:i/>
          <w:iCs/>
        </w:rPr>
        <w:t xml:space="preserve"> from</w:t>
      </w:r>
      <w:r>
        <w:t xml:space="preserve"> </w:t>
      </w:r>
      <w:r w:rsidRPr="00334CF2">
        <w:rPr>
          <w:strike/>
        </w:rPr>
        <w:t>between</w:t>
      </w:r>
      <w:r w:rsidRPr="008360FC">
        <w:t xml:space="preserve"> different types and amounts of foods and drinks</w:t>
      </w:r>
      <w:r>
        <w:t xml:space="preserve"> </w:t>
      </w:r>
      <w:r w:rsidRPr="00855664">
        <w:rPr>
          <w:i/>
          <w:iCs/>
        </w:rPr>
        <w:t>using nutrition information panels</w:t>
      </w:r>
    </w:p>
    <w:p w14:paraId="3088D0C5" w14:textId="77777777" w:rsidR="00B3222D" w:rsidRPr="00334CF2" w:rsidRDefault="00B3222D" w:rsidP="00B3222D">
      <w:pPr>
        <w:pStyle w:val="ListParagraph"/>
        <w:numPr>
          <w:ilvl w:val="0"/>
          <w:numId w:val="18"/>
        </w:numPr>
        <w:rPr>
          <w:strike/>
        </w:rPr>
      </w:pPr>
      <w:r w:rsidRPr="00334CF2">
        <w:rPr>
          <w:strike/>
        </w:rPr>
        <w:t>compare the energy required for different activities, considering duration and intensity of activity, ages, genders and/or body shapes</w:t>
      </w:r>
    </w:p>
    <w:p w14:paraId="3FA93C2E" w14:textId="36612408" w:rsidR="00B3222D" w:rsidRDefault="00B3222D" w:rsidP="00B3222D">
      <w:pPr>
        <w:pStyle w:val="ListParagraph"/>
        <w:numPr>
          <w:ilvl w:val="0"/>
          <w:numId w:val="18"/>
        </w:numPr>
      </w:pPr>
      <w:r w:rsidRPr="008360FC">
        <w:t>compare energy used for operating different appliances for given times</w:t>
      </w:r>
    </w:p>
    <w:p w14:paraId="2A07167B" w14:textId="55A6B26D" w:rsidR="00084500" w:rsidRPr="00084500" w:rsidRDefault="00084500" w:rsidP="00084500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084500">
        <w:rPr>
          <w:rFonts w:asciiTheme="majorHAnsi" w:hAnsiTheme="majorHAnsi" w:cstheme="majorHAnsi"/>
          <w:b/>
          <w:bCs/>
          <w:sz w:val="24"/>
          <w:szCs w:val="24"/>
        </w:rPr>
        <w:t>Glossary</w:t>
      </w:r>
    </w:p>
    <w:p w14:paraId="4D75EC98" w14:textId="77777777" w:rsidR="00084500" w:rsidRPr="00F557C2" w:rsidRDefault="00084500" w:rsidP="00084500">
      <w:pPr>
        <w:pStyle w:val="SCSAAppendixHeading4"/>
        <w:rPr>
          <w:lang w:val="en-US"/>
        </w:rPr>
      </w:pPr>
      <w:r w:rsidRPr="00F557C2">
        <w:rPr>
          <w:lang w:val="en-US"/>
        </w:rPr>
        <w:t>Direct proportion</w:t>
      </w:r>
    </w:p>
    <w:p w14:paraId="400269A5" w14:textId="701D4FAC" w:rsidR="00084500" w:rsidRPr="00F557C2" w:rsidRDefault="00084500" w:rsidP="00084500">
      <w:pPr>
        <w:rPr>
          <w:noProof/>
          <w:lang w:val="en-US"/>
        </w:rPr>
      </w:pPr>
      <w:r w:rsidRPr="00084500">
        <w:rPr>
          <w:i/>
          <w:iCs/>
          <w:noProof/>
        </w:rPr>
        <w:t>The relationship between two quantities where the ratio of one quantity to the other remains constant.</w:t>
      </w:r>
      <w:r w:rsidRPr="00707CD8">
        <w:rPr>
          <w:noProof/>
        </w:rPr>
        <w:t xml:space="preserve"> </w:t>
      </w:r>
      <w:r>
        <w:rPr>
          <w:strike/>
          <w:noProof/>
        </w:rPr>
        <w:t xml:space="preserve">Direct proportion involves situations where two values vary, but the ratio between the values stays the same. </w:t>
      </w:r>
      <w:r w:rsidRPr="00F557C2">
        <w:rPr>
          <w:noProof/>
          <w:lang w:val="en-US"/>
        </w:rPr>
        <w:t>For example, earnings over several weeks can be determined based on a constant weekly rate of pay.</w:t>
      </w:r>
    </w:p>
    <w:p w14:paraId="1DDB8B5F" w14:textId="1614FF9B" w:rsidR="00084500" w:rsidRDefault="00084500" w:rsidP="00084500">
      <w:pPr>
        <w:spacing w:after="0"/>
        <w:rPr>
          <w:b/>
          <w:bCs/>
          <w:noProof/>
          <w:lang w:val="en-US"/>
        </w:rPr>
      </w:pPr>
      <w:r>
        <w:rPr>
          <w:b/>
          <w:bCs/>
          <w:noProof/>
          <w:lang w:val="en-US"/>
        </w:rPr>
        <w:t>Base wage</w:t>
      </w:r>
    </w:p>
    <w:p w14:paraId="516DAF59" w14:textId="48118783" w:rsidR="00084500" w:rsidRPr="00977846" w:rsidRDefault="00084500" w:rsidP="00977846">
      <w:pPr>
        <w:spacing w:after="0"/>
        <w:rPr>
          <w:strike/>
          <w:noProof/>
          <w:lang w:val="en-US"/>
        </w:rPr>
      </w:pPr>
      <w:r w:rsidRPr="00084500">
        <w:rPr>
          <w:i/>
          <w:iCs/>
          <w:noProof/>
          <w:lang w:val="en-US"/>
        </w:rPr>
        <w:t>The foundational rate of pay for ordinary hours worked, excluding bonuses, allowances, or overtime.</w:t>
      </w:r>
      <w:r>
        <w:rPr>
          <w:noProof/>
          <w:lang w:val="en-US"/>
        </w:rPr>
        <w:t xml:space="preserve"> </w:t>
      </w:r>
      <w:r w:rsidRPr="00084500">
        <w:rPr>
          <w:strike/>
          <w:noProof/>
          <w:lang w:val="en-US"/>
        </w:rPr>
        <w:t>Pay received for a given work period, as an hour or week, but not including additional pay, as for overtime work.</w:t>
      </w:r>
    </w:p>
    <w:sectPr w:rsidR="00084500" w:rsidRPr="00977846" w:rsidSect="00C70734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644" w:right="1418" w:bottom="1276" w:left="1418" w:header="680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72572" w14:textId="77777777" w:rsidR="007B1FFB" w:rsidRDefault="007B1FFB" w:rsidP="00C172F1">
      <w:pPr>
        <w:spacing w:after="0" w:line="240" w:lineRule="auto"/>
      </w:pPr>
      <w:r>
        <w:separator/>
      </w:r>
    </w:p>
  </w:endnote>
  <w:endnote w:type="continuationSeparator" w:id="0">
    <w:p w14:paraId="0E6E61E5" w14:textId="77777777" w:rsidR="007B1FFB" w:rsidRDefault="007B1FFB" w:rsidP="00C17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541EF" w14:textId="25756ECE" w:rsidR="00D83888" w:rsidRPr="00BB580F" w:rsidRDefault="00BB580F" w:rsidP="00BB580F">
    <w:r w:rsidRPr="00BB580F">
      <w:rPr>
        <w:sz w:val="18"/>
        <w:szCs w:val="18"/>
      </w:rPr>
      <w:t>2026/32427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A028F" w14:textId="77777777" w:rsidR="007B1FFB" w:rsidRDefault="007B1FFB" w:rsidP="00C172F1">
      <w:pPr>
        <w:spacing w:after="0" w:line="240" w:lineRule="auto"/>
      </w:pPr>
      <w:r>
        <w:separator/>
      </w:r>
    </w:p>
  </w:footnote>
  <w:footnote w:type="continuationSeparator" w:id="0">
    <w:p w14:paraId="1B4A50B6" w14:textId="77777777" w:rsidR="007B1FFB" w:rsidRDefault="007B1FFB" w:rsidP="00C172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D7A27" w14:textId="6F80F92F" w:rsidR="00977846" w:rsidRDefault="0097784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1E4660D" wp14:editId="2E35D32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1848560134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50F7E9" w14:textId="234376B8" w:rsidR="00977846" w:rsidRPr="00977846" w:rsidRDefault="00977846" w:rsidP="0097784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7784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E4660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0.85pt;height:29.0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" filled="f" stroked="f">
              <v:textbox style="mso-fit-shape-to-text:t" inset="0,15pt,0,0">
                <w:txbxContent>
                  <w:p w14:paraId="1E50F7E9" w14:textId="234376B8" w:rsidR="00977846" w:rsidRPr="00977846" w:rsidRDefault="00977846" w:rsidP="0097784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7784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47763" w14:textId="4956626E" w:rsidR="00977846" w:rsidRDefault="0097784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20B0382" wp14:editId="5737AD88">
              <wp:simplePos x="904875" y="42862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251322179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1977EE" w14:textId="291AD21C" w:rsidR="00977846" w:rsidRPr="00977846" w:rsidRDefault="00977846" w:rsidP="0097784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7784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0B038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0.85pt;height:29.0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" filled="f" stroked="f">
              <v:textbox style="mso-fit-shape-to-text:t" inset="0,15pt,0,0">
                <w:txbxContent>
                  <w:p w14:paraId="611977EE" w14:textId="291AD21C" w:rsidR="00977846" w:rsidRPr="00977846" w:rsidRDefault="00977846" w:rsidP="0097784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7784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A370E" w14:textId="7917C6CB" w:rsidR="00977846" w:rsidRDefault="0097784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032639E" wp14:editId="32A430C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20518999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2C3F80" w14:textId="028D09B0" w:rsidR="00977846" w:rsidRPr="00977846" w:rsidRDefault="00977846" w:rsidP="0097784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7784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32639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0.85pt;height:29.0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" filled="f" stroked="f">
              <v:textbox style="mso-fit-shape-to-text:t" inset="0,15pt,0,0">
                <w:txbxContent>
                  <w:p w14:paraId="7E2C3F80" w14:textId="028D09B0" w:rsidR="00977846" w:rsidRPr="00977846" w:rsidRDefault="00977846" w:rsidP="0097784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7784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04BAD0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F5A0C6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515228D"/>
    <w:multiLevelType w:val="hybridMultilevel"/>
    <w:tmpl w:val="D738108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EBE749A">
      <w:numFmt w:val="bullet"/>
      <w:lvlText w:val="-"/>
      <w:lvlJc w:val="left"/>
      <w:pPr>
        <w:ind w:left="2520" w:hanging="360"/>
      </w:pPr>
      <w:rPr>
        <w:rFonts w:ascii="Calibri" w:eastAsiaTheme="minorEastAsia" w:hAnsi="Calibri" w:cs="Calibri" w:hint="default"/>
        <w:i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21541F"/>
    <w:multiLevelType w:val="multilevel"/>
    <w:tmpl w:val="C0F29924"/>
    <w:numStyleLink w:val="SCSABulletList"/>
  </w:abstractNum>
  <w:abstractNum w:abstractNumId="4" w15:restartNumberingAfterBreak="0">
    <w:nsid w:val="20337D18"/>
    <w:multiLevelType w:val="multilevel"/>
    <w:tmpl w:val="C0F29924"/>
    <w:styleLink w:val="SCSA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717" w:hanging="360"/>
      </w:pPr>
      <w:rPr>
        <w:rFonts w:ascii="Wingdings" w:hAnsi="Wingdings" w:hint="default"/>
      </w:rPr>
    </w:lvl>
    <w:lvl w:ilvl="2">
      <w:start w:val="1"/>
      <w:numFmt w:val="bullet"/>
      <w:lvlText w:val="o"/>
      <w:lvlJc w:val="left"/>
      <w:pPr>
        <w:ind w:left="1077" w:hanging="357"/>
      </w:pPr>
      <w:rPr>
        <w:rFonts w:ascii="Courier New" w:hAnsi="Courier New" w:hint="default"/>
      </w:rPr>
    </w:lvl>
    <w:lvl w:ilvl="3">
      <w:start w:val="1"/>
      <w:numFmt w:val="bullet"/>
      <w:lvlText w:val=""/>
      <w:lvlJc w:val="left"/>
      <w:pPr>
        <w:ind w:left="1435" w:hanging="35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792" w:hanging="357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ind w:left="2149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CF31E6"/>
    <w:multiLevelType w:val="hybridMultilevel"/>
    <w:tmpl w:val="2A50C2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5C01E2">
      <w:numFmt w:val="bullet"/>
      <w:lvlText w:val="•"/>
      <w:lvlJc w:val="left"/>
      <w:pPr>
        <w:ind w:left="1800" w:hanging="720"/>
      </w:pPr>
      <w:rPr>
        <w:rFonts w:ascii="Calibri" w:eastAsiaTheme="minorEastAsia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C83616"/>
    <w:multiLevelType w:val="hybridMultilevel"/>
    <w:tmpl w:val="8E4EDB76"/>
    <w:lvl w:ilvl="0" w:tplc="7AC8B280">
      <w:numFmt w:val="bullet"/>
      <w:lvlText w:val="-"/>
      <w:lvlJc w:val="left"/>
      <w:pPr>
        <w:ind w:left="1803" w:hanging="360"/>
      </w:pPr>
      <w:rPr>
        <w:rFonts w:ascii="Symbol" w:eastAsiaTheme="minorEastAsia" w:hAnsi="Symbol" w:hint="default"/>
        <w:i/>
      </w:rPr>
    </w:lvl>
    <w:lvl w:ilvl="1" w:tplc="7AC8B280">
      <w:numFmt w:val="bullet"/>
      <w:lvlText w:val="-"/>
      <w:lvlJc w:val="left"/>
      <w:pPr>
        <w:ind w:left="1440" w:hanging="360"/>
      </w:pPr>
      <w:rPr>
        <w:rFonts w:ascii="Symbol" w:eastAsiaTheme="minorEastAsia" w:hAnsi="Symbol" w:hint="default"/>
        <w:i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E34A0"/>
    <w:multiLevelType w:val="hybridMultilevel"/>
    <w:tmpl w:val="3EC20EB8"/>
    <w:lvl w:ilvl="0" w:tplc="0C090001">
      <w:start w:val="1"/>
      <w:numFmt w:val="bullet"/>
      <w:pStyle w:val="Heading1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E4434DA"/>
    <w:multiLevelType w:val="hybridMultilevel"/>
    <w:tmpl w:val="471EAB6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4416FEF"/>
    <w:multiLevelType w:val="multilevel"/>
    <w:tmpl w:val="EB2CB468"/>
    <w:styleLink w:val="ListBullets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07"/>
        </w:tabs>
        <w:ind w:left="907" w:hanging="39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418"/>
        </w:tabs>
        <w:ind w:left="1417" w:hanging="39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928"/>
        </w:tabs>
        <w:ind w:left="1927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438"/>
        </w:tabs>
        <w:ind w:left="2437" w:hanging="39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910"/>
        </w:tabs>
        <w:ind w:left="2947" w:hanging="39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420"/>
        </w:tabs>
        <w:ind w:left="3457" w:hanging="39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930"/>
        </w:tabs>
        <w:ind w:left="3967" w:hanging="39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4440"/>
        </w:tabs>
        <w:ind w:left="4477" w:hanging="397"/>
      </w:pPr>
      <w:rPr>
        <w:rFonts w:ascii="Wingdings" w:hAnsi="Wingdings" w:hint="default"/>
      </w:rPr>
    </w:lvl>
  </w:abstractNum>
  <w:abstractNum w:abstractNumId="10" w15:restartNumberingAfterBreak="0">
    <w:nsid w:val="37672294"/>
    <w:multiLevelType w:val="multilevel"/>
    <w:tmpl w:val="CA8A9336"/>
    <w:styleLink w:val="EngBulletsList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714" w:hanging="357"/>
      </w:pPr>
      <w:rPr>
        <w:rFonts w:ascii="Wingdings" w:hAnsi="Wingdings" w:hint="default"/>
      </w:rPr>
    </w:lvl>
    <w:lvl w:ilvl="2">
      <w:start w:val="1"/>
      <w:numFmt w:val="bullet"/>
      <w:lvlText w:val="○"/>
      <w:lvlJc w:val="left"/>
      <w:pPr>
        <w:ind w:left="1071" w:hanging="357"/>
      </w:pPr>
      <w:rPr>
        <w:rFonts w:ascii="Courier New" w:hAnsi="Courier New" w:hint="default"/>
      </w:rPr>
    </w:lvl>
    <w:lvl w:ilvl="3">
      <w:start w:val="1"/>
      <w:numFmt w:val="bullet"/>
      <w:lvlText w:val="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785" w:hanging="357"/>
      </w:pPr>
      <w:rPr>
        <w:rFonts w:ascii="Symbol" w:hAnsi="Symbol" w:hint="default"/>
      </w:rPr>
    </w:lvl>
    <w:lvl w:ilvl="5">
      <w:start w:val="1"/>
      <w:numFmt w:val="none"/>
      <w:lvlText w:val=""/>
      <w:lvlJc w:val="left"/>
      <w:pPr>
        <w:ind w:left="2142" w:hanging="357"/>
      </w:pPr>
      <w:rPr>
        <w:rFonts w:hint="default"/>
      </w:rPr>
    </w:lvl>
    <w:lvl w:ilvl="6">
      <w:start w:val="1"/>
      <w:numFmt w:val="none"/>
      <w:lvlText w:val=""/>
      <w:lvlJc w:val="left"/>
      <w:pPr>
        <w:ind w:left="2499" w:hanging="357"/>
      </w:pPr>
      <w:rPr>
        <w:rFonts w:hint="default"/>
      </w:rPr>
    </w:lvl>
    <w:lvl w:ilvl="7">
      <w:start w:val="1"/>
      <w:numFmt w:val="none"/>
      <w:lvlText w:val=""/>
      <w:lvlJc w:val="left"/>
      <w:pPr>
        <w:ind w:left="2856" w:hanging="357"/>
      </w:pPr>
      <w:rPr>
        <w:rFonts w:hint="default"/>
      </w:rPr>
    </w:lvl>
    <w:lvl w:ilvl="8">
      <w:start w:val="1"/>
      <w:numFmt w:val="none"/>
      <w:lvlText w:val=""/>
      <w:lvlJc w:val="left"/>
      <w:pPr>
        <w:ind w:left="3213" w:hanging="357"/>
      </w:pPr>
      <w:rPr>
        <w:rFonts w:hint="default"/>
      </w:rPr>
    </w:lvl>
  </w:abstractNum>
  <w:abstractNum w:abstractNumId="11" w15:restartNumberingAfterBreak="0">
    <w:nsid w:val="3A36651A"/>
    <w:multiLevelType w:val="hybridMultilevel"/>
    <w:tmpl w:val="E75E896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2C005C2"/>
    <w:multiLevelType w:val="hybridMultilevel"/>
    <w:tmpl w:val="2EAE579E"/>
    <w:lvl w:ilvl="0" w:tplc="C7E091E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numFmt w:val="bullet"/>
      <w:lvlText w:val="-"/>
      <w:lvlJc w:val="left"/>
      <w:pPr>
        <w:ind w:left="2520" w:hanging="360"/>
      </w:pPr>
      <w:rPr>
        <w:rFonts w:ascii="Calibri" w:eastAsiaTheme="minorEastAsia" w:hAnsi="Calibri" w:cs="Calibri" w:hint="default"/>
        <w:i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80F2C4B"/>
    <w:multiLevelType w:val="multilevel"/>
    <w:tmpl w:val="C0F29924"/>
    <w:numStyleLink w:val="SCSABulletList"/>
  </w:abstractNum>
  <w:abstractNum w:abstractNumId="14" w15:restartNumberingAfterBreak="0">
    <w:nsid w:val="499F2464"/>
    <w:multiLevelType w:val="hybridMultilevel"/>
    <w:tmpl w:val="9B0832B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D404FA8"/>
    <w:multiLevelType w:val="multilevel"/>
    <w:tmpl w:val="4B2AE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63F17376"/>
    <w:multiLevelType w:val="multilevel"/>
    <w:tmpl w:val="C0F29924"/>
    <w:numStyleLink w:val="SCSABulletList"/>
  </w:abstractNum>
  <w:abstractNum w:abstractNumId="17" w15:restartNumberingAfterBreak="0">
    <w:nsid w:val="6CBF2513"/>
    <w:multiLevelType w:val="hybridMultilevel"/>
    <w:tmpl w:val="FD8A498C"/>
    <w:lvl w:ilvl="0" w:tplc="FA541E3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89543720">
    <w:abstractNumId w:val="17"/>
  </w:num>
  <w:num w:numId="2" w16cid:durableId="730886385">
    <w:abstractNumId w:val="9"/>
  </w:num>
  <w:num w:numId="3" w16cid:durableId="137041739">
    <w:abstractNumId w:val="7"/>
  </w:num>
  <w:num w:numId="4" w16cid:durableId="1724984853">
    <w:abstractNumId w:val="2"/>
  </w:num>
  <w:num w:numId="5" w16cid:durableId="1510633869">
    <w:abstractNumId w:val="1"/>
  </w:num>
  <w:num w:numId="6" w16cid:durableId="664747358">
    <w:abstractNumId w:val="0"/>
  </w:num>
  <w:num w:numId="7" w16cid:durableId="1595943122">
    <w:abstractNumId w:val="10"/>
  </w:num>
  <w:num w:numId="8" w16cid:durableId="2048216384">
    <w:abstractNumId w:val="15"/>
  </w:num>
  <w:num w:numId="9" w16cid:durableId="628320279">
    <w:abstractNumId w:val="12"/>
  </w:num>
  <w:num w:numId="10" w16cid:durableId="796753231">
    <w:abstractNumId w:val="6"/>
  </w:num>
  <w:num w:numId="11" w16cid:durableId="1517453160">
    <w:abstractNumId w:val="4"/>
  </w:num>
  <w:num w:numId="12" w16cid:durableId="623928248">
    <w:abstractNumId w:val="13"/>
  </w:num>
  <w:num w:numId="13" w16cid:durableId="1269585255">
    <w:abstractNumId w:val="3"/>
  </w:num>
  <w:num w:numId="14" w16cid:durableId="2001230918">
    <w:abstractNumId w:val="5"/>
  </w:num>
  <w:num w:numId="15" w16cid:durableId="1405683483">
    <w:abstractNumId w:val="11"/>
  </w:num>
  <w:num w:numId="16" w16cid:durableId="410200555">
    <w:abstractNumId w:val="14"/>
  </w:num>
  <w:num w:numId="17" w16cid:durableId="73600091">
    <w:abstractNumId w:val="8"/>
  </w:num>
  <w:num w:numId="18" w16cid:durableId="379092399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1BF"/>
    <w:rsid w:val="00000035"/>
    <w:rsid w:val="00006562"/>
    <w:rsid w:val="00010803"/>
    <w:rsid w:val="00014A4C"/>
    <w:rsid w:val="0001621A"/>
    <w:rsid w:val="00047FBF"/>
    <w:rsid w:val="00051293"/>
    <w:rsid w:val="000602F2"/>
    <w:rsid w:val="000650EF"/>
    <w:rsid w:val="00074F5A"/>
    <w:rsid w:val="00084248"/>
    <w:rsid w:val="00084500"/>
    <w:rsid w:val="000B1665"/>
    <w:rsid w:val="000B30CF"/>
    <w:rsid w:val="000B45C2"/>
    <w:rsid w:val="000B4D2A"/>
    <w:rsid w:val="000E341E"/>
    <w:rsid w:val="000F3F5C"/>
    <w:rsid w:val="000F4384"/>
    <w:rsid w:val="000F5C48"/>
    <w:rsid w:val="000F6D00"/>
    <w:rsid w:val="001055F2"/>
    <w:rsid w:val="001108C5"/>
    <w:rsid w:val="00111937"/>
    <w:rsid w:val="00120B9B"/>
    <w:rsid w:val="00124831"/>
    <w:rsid w:val="0013071D"/>
    <w:rsid w:val="00144633"/>
    <w:rsid w:val="00162080"/>
    <w:rsid w:val="001640FC"/>
    <w:rsid w:val="001655F8"/>
    <w:rsid w:val="00171E9C"/>
    <w:rsid w:val="00174D13"/>
    <w:rsid w:val="00185C52"/>
    <w:rsid w:val="001A4C14"/>
    <w:rsid w:val="001A723C"/>
    <w:rsid w:val="001C3451"/>
    <w:rsid w:val="001C5A16"/>
    <w:rsid w:val="001D0055"/>
    <w:rsid w:val="001D1674"/>
    <w:rsid w:val="001D642A"/>
    <w:rsid w:val="001E665C"/>
    <w:rsid w:val="001F2EBA"/>
    <w:rsid w:val="001F7298"/>
    <w:rsid w:val="001F79E0"/>
    <w:rsid w:val="0020074A"/>
    <w:rsid w:val="00200FB9"/>
    <w:rsid w:val="00206FDD"/>
    <w:rsid w:val="0020753A"/>
    <w:rsid w:val="002100BD"/>
    <w:rsid w:val="0022123B"/>
    <w:rsid w:val="002214D0"/>
    <w:rsid w:val="002252AF"/>
    <w:rsid w:val="00232024"/>
    <w:rsid w:val="0024461E"/>
    <w:rsid w:val="002660D3"/>
    <w:rsid w:val="00276775"/>
    <w:rsid w:val="00281A31"/>
    <w:rsid w:val="002A452F"/>
    <w:rsid w:val="002B3D14"/>
    <w:rsid w:val="002D5102"/>
    <w:rsid w:val="002D756C"/>
    <w:rsid w:val="003110E5"/>
    <w:rsid w:val="00351823"/>
    <w:rsid w:val="00355F5A"/>
    <w:rsid w:val="00360C97"/>
    <w:rsid w:val="00362172"/>
    <w:rsid w:val="003641AF"/>
    <w:rsid w:val="00374D8A"/>
    <w:rsid w:val="00376354"/>
    <w:rsid w:val="00383BAF"/>
    <w:rsid w:val="003876D3"/>
    <w:rsid w:val="003913BD"/>
    <w:rsid w:val="00397469"/>
    <w:rsid w:val="003A1EF7"/>
    <w:rsid w:val="003B1F24"/>
    <w:rsid w:val="003C7D40"/>
    <w:rsid w:val="003F5E65"/>
    <w:rsid w:val="004061B3"/>
    <w:rsid w:val="004306D0"/>
    <w:rsid w:val="00432337"/>
    <w:rsid w:val="00435F37"/>
    <w:rsid w:val="00453F97"/>
    <w:rsid w:val="00460A32"/>
    <w:rsid w:val="00494C5F"/>
    <w:rsid w:val="00495A9C"/>
    <w:rsid w:val="004A25BB"/>
    <w:rsid w:val="004A4C9F"/>
    <w:rsid w:val="004B6AE2"/>
    <w:rsid w:val="004C65E4"/>
    <w:rsid w:val="004E48B4"/>
    <w:rsid w:val="004F5872"/>
    <w:rsid w:val="005013F0"/>
    <w:rsid w:val="00504051"/>
    <w:rsid w:val="005213E2"/>
    <w:rsid w:val="0052538C"/>
    <w:rsid w:val="00527B24"/>
    <w:rsid w:val="00535834"/>
    <w:rsid w:val="00546860"/>
    <w:rsid w:val="005736EE"/>
    <w:rsid w:val="00574DF9"/>
    <w:rsid w:val="00576BF1"/>
    <w:rsid w:val="00586367"/>
    <w:rsid w:val="005908CE"/>
    <w:rsid w:val="005A1F47"/>
    <w:rsid w:val="005C7147"/>
    <w:rsid w:val="005D3820"/>
    <w:rsid w:val="005D7C8C"/>
    <w:rsid w:val="005E2C43"/>
    <w:rsid w:val="005E69F3"/>
    <w:rsid w:val="005F24FA"/>
    <w:rsid w:val="00601C2E"/>
    <w:rsid w:val="00622442"/>
    <w:rsid w:val="00623B7C"/>
    <w:rsid w:val="00630D14"/>
    <w:rsid w:val="006337FD"/>
    <w:rsid w:val="00673839"/>
    <w:rsid w:val="006808A8"/>
    <w:rsid w:val="00686093"/>
    <w:rsid w:val="006951BF"/>
    <w:rsid w:val="006975C4"/>
    <w:rsid w:val="006B43DB"/>
    <w:rsid w:val="006C52DF"/>
    <w:rsid w:val="006D37FB"/>
    <w:rsid w:val="006E5C58"/>
    <w:rsid w:val="006E66A1"/>
    <w:rsid w:val="006F4690"/>
    <w:rsid w:val="00704B36"/>
    <w:rsid w:val="00712BA5"/>
    <w:rsid w:val="007131BF"/>
    <w:rsid w:val="00732BA5"/>
    <w:rsid w:val="00746B89"/>
    <w:rsid w:val="00746D19"/>
    <w:rsid w:val="00747DA2"/>
    <w:rsid w:val="00754595"/>
    <w:rsid w:val="007566BF"/>
    <w:rsid w:val="0076480E"/>
    <w:rsid w:val="007651B7"/>
    <w:rsid w:val="0076694B"/>
    <w:rsid w:val="00794508"/>
    <w:rsid w:val="007A54E9"/>
    <w:rsid w:val="007B0BB8"/>
    <w:rsid w:val="007B1FFB"/>
    <w:rsid w:val="007C231E"/>
    <w:rsid w:val="007D0169"/>
    <w:rsid w:val="007D26F0"/>
    <w:rsid w:val="007D603F"/>
    <w:rsid w:val="007D675A"/>
    <w:rsid w:val="007D73E1"/>
    <w:rsid w:val="00800A94"/>
    <w:rsid w:val="00802436"/>
    <w:rsid w:val="00807731"/>
    <w:rsid w:val="00807877"/>
    <w:rsid w:val="00807996"/>
    <w:rsid w:val="00823DFD"/>
    <w:rsid w:val="00852430"/>
    <w:rsid w:val="00853D86"/>
    <w:rsid w:val="0086198C"/>
    <w:rsid w:val="008625DF"/>
    <w:rsid w:val="00864DBE"/>
    <w:rsid w:val="0086576D"/>
    <w:rsid w:val="00874F37"/>
    <w:rsid w:val="00885E4B"/>
    <w:rsid w:val="008A7E3A"/>
    <w:rsid w:val="008B6C4D"/>
    <w:rsid w:val="008C14A1"/>
    <w:rsid w:val="008D4EA5"/>
    <w:rsid w:val="008E570F"/>
    <w:rsid w:val="008F08C0"/>
    <w:rsid w:val="0090660E"/>
    <w:rsid w:val="00924226"/>
    <w:rsid w:val="00924B1C"/>
    <w:rsid w:val="00935AE6"/>
    <w:rsid w:val="009365C7"/>
    <w:rsid w:val="009465C7"/>
    <w:rsid w:val="00946B43"/>
    <w:rsid w:val="00953148"/>
    <w:rsid w:val="0095498B"/>
    <w:rsid w:val="0096774A"/>
    <w:rsid w:val="00977846"/>
    <w:rsid w:val="009A491D"/>
    <w:rsid w:val="009B47C4"/>
    <w:rsid w:val="009C01E3"/>
    <w:rsid w:val="009D4449"/>
    <w:rsid w:val="009E3BA6"/>
    <w:rsid w:val="009F0E97"/>
    <w:rsid w:val="009F11A7"/>
    <w:rsid w:val="009F571E"/>
    <w:rsid w:val="00A02BC1"/>
    <w:rsid w:val="00A11864"/>
    <w:rsid w:val="00A13203"/>
    <w:rsid w:val="00A15503"/>
    <w:rsid w:val="00A314F4"/>
    <w:rsid w:val="00A320EB"/>
    <w:rsid w:val="00A32E0B"/>
    <w:rsid w:val="00A4204D"/>
    <w:rsid w:val="00A43F90"/>
    <w:rsid w:val="00A44EA9"/>
    <w:rsid w:val="00A55D32"/>
    <w:rsid w:val="00A64B00"/>
    <w:rsid w:val="00A6597A"/>
    <w:rsid w:val="00A71C04"/>
    <w:rsid w:val="00A723E9"/>
    <w:rsid w:val="00A77758"/>
    <w:rsid w:val="00A86DC2"/>
    <w:rsid w:val="00A943A7"/>
    <w:rsid w:val="00A95B98"/>
    <w:rsid w:val="00AA7B63"/>
    <w:rsid w:val="00AB2F6D"/>
    <w:rsid w:val="00AC410E"/>
    <w:rsid w:val="00AD661D"/>
    <w:rsid w:val="00AD7D8D"/>
    <w:rsid w:val="00AE24E8"/>
    <w:rsid w:val="00AF2B56"/>
    <w:rsid w:val="00AF5A52"/>
    <w:rsid w:val="00AF76FF"/>
    <w:rsid w:val="00B022B6"/>
    <w:rsid w:val="00B11B5A"/>
    <w:rsid w:val="00B17BC5"/>
    <w:rsid w:val="00B3222D"/>
    <w:rsid w:val="00B51865"/>
    <w:rsid w:val="00B63D81"/>
    <w:rsid w:val="00B67BE2"/>
    <w:rsid w:val="00B94CD6"/>
    <w:rsid w:val="00B952EB"/>
    <w:rsid w:val="00B95F75"/>
    <w:rsid w:val="00BA4D7F"/>
    <w:rsid w:val="00BB05A7"/>
    <w:rsid w:val="00BB580F"/>
    <w:rsid w:val="00BC36D5"/>
    <w:rsid w:val="00BC3DBF"/>
    <w:rsid w:val="00BC5A20"/>
    <w:rsid w:val="00BD2792"/>
    <w:rsid w:val="00BD7CCE"/>
    <w:rsid w:val="00BF75C7"/>
    <w:rsid w:val="00C02DBC"/>
    <w:rsid w:val="00C1724E"/>
    <w:rsid w:val="00C172F1"/>
    <w:rsid w:val="00C17A21"/>
    <w:rsid w:val="00C32ACE"/>
    <w:rsid w:val="00C32CAA"/>
    <w:rsid w:val="00C334A8"/>
    <w:rsid w:val="00C376FD"/>
    <w:rsid w:val="00C5524B"/>
    <w:rsid w:val="00C56CCE"/>
    <w:rsid w:val="00C6459B"/>
    <w:rsid w:val="00C64978"/>
    <w:rsid w:val="00C70734"/>
    <w:rsid w:val="00C7384F"/>
    <w:rsid w:val="00C90C85"/>
    <w:rsid w:val="00C91FFE"/>
    <w:rsid w:val="00C9451B"/>
    <w:rsid w:val="00C97203"/>
    <w:rsid w:val="00CA0985"/>
    <w:rsid w:val="00CA2E68"/>
    <w:rsid w:val="00CD20D3"/>
    <w:rsid w:val="00CE0DC6"/>
    <w:rsid w:val="00CF3EA7"/>
    <w:rsid w:val="00CF5443"/>
    <w:rsid w:val="00D10027"/>
    <w:rsid w:val="00D12368"/>
    <w:rsid w:val="00D12D3E"/>
    <w:rsid w:val="00D13B34"/>
    <w:rsid w:val="00D16D4D"/>
    <w:rsid w:val="00D23A59"/>
    <w:rsid w:val="00D33EFB"/>
    <w:rsid w:val="00D4169A"/>
    <w:rsid w:val="00D427D8"/>
    <w:rsid w:val="00D42E2D"/>
    <w:rsid w:val="00D464FD"/>
    <w:rsid w:val="00D5170F"/>
    <w:rsid w:val="00D55038"/>
    <w:rsid w:val="00D83888"/>
    <w:rsid w:val="00D846D7"/>
    <w:rsid w:val="00D86A31"/>
    <w:rsid w:val="00D92E3B"/>
    <w:rsid w:val="00DC0DC4"/>
    <w:rsid w:val="00DD4A8A"/>
    <w:rsid w:val="00DE55E0"/>
    <w:rsid w:val="00E07415"/>
    <w:rsid w:val="00E10C94"/>
    <w:rsid w:val="00E12814"/>
    <w:rsid w:val="00E277C2"/>
    <w:rsid w:val="00E41DEB"/>
    <w:rsid w:val="00E541CA"/>
    <w:rsid w:val="00E57AC0"/>
    <w:rsid w:val="00E649F9"/>
    <w:rsid w:val="00E8571A"/>
    <w:rsid w:val="00E922D7"/>
    <w:rsid w:val="00EA2878"/>
    <w:rsid w:val="00ED2D97"/>
    <w:rsid w:val="00EE55B7"/>
    <w:rsid w:val="00F0025E"/>
    <w:rsid w:val="00F15278"/>
    <w:rsid w:val="00F430F7"/>
    <w:rsid w:val="00F44383"/>
    <w:rsid w:val="00F471F7"/>
    <w:rsid w:val="00F501C7"/>
    <w:rsid w:val="00F5242D"/>
    <w:rsid w:val="00F53CB5"/>
    <w:rsid w:val="00F54A17"/>
    <w:rsid w:val="00F559A7"/>
    <w:rsid w:val="00F83976"/>
    <w:rsid w:val="00F90694"/>
    <w:rsid w:val="00FB3A10"/>
    <w:rsid w:val="00FD2429"/>
    <w:rsid w:val="00FD28B0"/>
    <w:rsid w:val="00FD4A1E"/>
    <w:rsid w:val="00FE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433DDA"/>
  <w15:chartTrackingRefBased/>
  <w15:docId w15:val="{D59E24F4-FB99-4CCC-96B9-4F1AE50AC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80F"/>
  </w:style>
  <w:style w:type="paragraph" w:styleId="Heading1">
    <w:name w:val="heading 1"/>
    <w:basedOn w:val="Normal"/>
    <w:next w:val="Normal"/>
    <w:link w:val="Heading1Char"/>
    <w:uiPriority w:val="9"/>
    <w:qFormat/>
    <w:rsid w:val="00924226"/>
    <w:pPr>
      <w:keepNext/>
      <w:keepLines/>
      <w:numPr>
        <w:numId w:val="3"/>
      </w:numPr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410B68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C5A16"/>
    <w:pPr>
      <w:spacing w:before="240" w:after="60" w:line="264" w:lineRule="auto"/>
      <w:outlineLvl w:val="2"/>
    </w:pPr>
    <w:rPr>
      <w:rFonts w:ascii="Calibri" w:eastAsiaTheme="minorEastAsia" w:hAnsi="Calibri" w:cs="Times New Roman"/>
      <w:b/>
      <w:bCs/>
      <w:color w:val="595959" w:themeColor="text1" w:themeTint="A6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131BF"/>
    <w:rPr>
      <w:color w:val="580F8B" w:themeColor="hyperlink"/>
      <w:u w:val="single"/>
    </w:rPr>
  </w:style>
  <w:style w:type="table" w:styleId="TableGrid">
    <w:name w:val="Table Grid"/>
    <w:basedOn w:val="TableNormal"/>
    <w:uiPriority w:val="39"/>
    <w:rsid w:val="007131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9365C7"/>
    <w:pPr>
      <w:ind w:left="720"/>
      <w:contextualSpacing/>
    </w:pPr>
  </w:style>
  <w:style w:type="paragraph" w:customStyle="1" w:styleId="Default">
    <w:name w:val="Default"/>
    <w:rsid w:val="00E857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LightList-Accent4">
    <w:name w:val="Light List Accent 4"/>
    <w:aliases w:val="Syllabus tables"/>
    <w:basedOn w:val="TableNormal"/>
    <w:uiPriority w:val="61"/>
    <w:rsid w:val="00AE24E8"/>
    <w:pPr>
      <w:spacing w:after="0" w:line="240" w:lineRule="auto"/>
    </w:pPr>
    <w:rPr>
      <w:rFonts w:ascii="Arial" w:eastAsiaTheme="minorEastAsia" w:hAnsi="Arial"/>
      <w:sz w:val="18"/>
    </w:rPr>
    <w:tblPr>
      <w:tblStyleRowBandSize w:val="1"/>
      <w:tblStyleColBandSize w:val="1"/>
      <w:tblBorders>
        <w:top w:val="single" w:sz="8" w:space="0" w:color="BC9FD1" w:themeColor="accent4"/>
        <w:left w:val="single" w:sz="8" w:space="0" w:color="BC9FD1" w:themeColor="accent4"/>
        <w:bottom w:val="single" w:sz="8" w:space="0" w:color="BC9FD1" w:themeColor="accent4"/>
        <w:right w:val="single" w:sz="8" w:space="0" w:color="BC9FD1" w:themeColor="accent4"/>
      </w:tblBorders>
    </w:tblPr>
    <w:tblStylePr w:type="firstRow">
      <w:pPr>
        <w:wordWrap/>
        <w:spacing w:beforeLines="0" w:before="40" w:beforeAutospacing="0" w:afterLines="0" w:after="40" w:afterAutospacing="0" w:line="240" w:lineRule="auto"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shd w:val="clear" w:color="auto" w:fill="BC9FD1" w:themeFill="accent4"/>
        <w:vAlign w:val="center"/>
      </w:tcPr>
    </w:tblStylePr>
    <w:tblStylePr w:type="lastRow">
      <w:pPr>
        <w:wordWrap/>
        <w:spacing w:beforeLines="0" w:before="40" w:beforeAutospacing="0" w:afterLines="0" w:after="40" w:afterAutospacing="0" w:line="240" w:lineRule="auto"/>
        <w:jc w:val="left"/>
      </w:pPr>
      <w:rPr>
        <w:rFonts w:ascii="Arial" w:hAnsi="Arial"/>
        <w:b/>
        <w:bCs/>
        <w:sz w:val="20"/>
      </w:rPr>
      <w:tblPr/>
      <w:tcPr>
        <w:tcBorders>
          <w:top w:val="double" w:sz="6" w:space="0" w:color="BC9FD1" w:themeColor="accent4"/>
          <w:left w:val="single" w:sz="8" w:space="0" w:color="BC9FD1" w:themeColor="accent4"/>
          <w:bottom w:val="single" w:sz="8" w:space="0" w:color="BC9FD1" w:themeColor="accent4"/>
          <w:right w:val="single" w:sz="8" w:space="0" w:color="BC9FD1" w:themeColor="accent4"/>
        </w:tcBorders>
      </w:tcPr>
    </w:tblStylePr>
    <w:tblStylePr w:type="firstCol">
      <w:pPr>
        <w:wordWrap/>
        <w:spacing w:beforeLines="0" w:before="40" w:beforeAutospacing="0" w:afterLines="0" w:after="40" w:afterAutospacing="0" w:line="240" w:lineRule="auto"/>
        <w:jc w:val="center"/>
      </w:pPr>
      <w:rPr>
        <w:rFonts w:ascii="Arial" w:hAnsi="Arial"/>
        <w:b/>
        <w:bCs/>
        <w:sz w:val="18"/>
      </w:rPr>
      <w:tblPr/>
      <w:tcPr>
        <w:vAlign w:val="center"/>
      </w:tcPr>
    </w:tblStylePr>
    <w:tblStylePr w:type="lastCol">
      <w:pPr>
        <w:wordWrap/>
        <w:spacing w:beforeLines="0" w:before="40" w:beforeAutospacing="0" w:afterLines="0" w:after="40" w:afterAutospacing="0" w:line="240" w:lineRule="auto"/>
        <w:jc w:val="center"/>
      </w:pPr>
      <w:rPr>
        <w:rFonts w:ascii="Arial" w:hAnsi="Arial"/>
        <w:b/>
        <w:bCs/>
        <w:sz w:val="20"/>
      </w:rPr>
      <w:tblPr/>
      <w:tcPr>
        <w:vAlign w:val="center"/>
      </w:tcPr>
    </w:tblStylePr>
    <w:tblStylePr w:type="band1Vert">
      <w:pPr>
        <w:wordWrap/>
        <w:spacing w:beforeLines="0" w:before="40" w:beforeAutospacing="0" w:afterLines="0" w:after="40" w:afterAutospacing="0" w:line="240" w:lineRule="auto"/>
        <w:jc w:val="left"/>
      </w:pPr>
      <w:tblPr/>
      <w:tcPr>
        <w:tcBorders>
          <w:top w:val="single" w:sz="8" w:space="0" w:color="BC9FD1" w:themeColor="accent4"/>
          <w:left w:val="single" w:sz="8" w:space="0" w:color="BC9FD1" w:themeColor="accent4"/>
          <w:bottom w:val="single" w:sz="8" w:space="0" w:color="BC9FD1" w:themeColor="accent4"/>
          <w:right w:val="single" w:sz="8" w:space="0" w:color="BC9FD1" w:themeColor="accent4"/>
        </w:tcBorders>
      </w:tcPr>
    </w:tblStylePr>
    <w:tblStylePr w:type="band2Vert">
      <w:pPr>
        <w:wordWrap/>
        <w:spacing w:beforeLines="0" w:before="40" w:beforeAutospacing="0" w:afterLines="0" w:after="40" w:afterAutospacing="0" w:line="240" w:lineRule="auto"/>
        <w:jc w:val="left"/>
      </w:pPr>
    </w:tblStylePr>
    <w:tblStylePr w:type="band1Horz">
      <w:pPr>
        <w:wordWrap/>
        <w:spacing w:beforeLines="0" w:before="40" w:beforeAutospacing="0" w:afterLines="0" w:after="40" w:afterAutospacing="0" w:line="240" w:lineRule="auto"/>
        <w:jc w:val="left"/>
      </w:pPr>
      <w:tblPr/>
      <w:tcPr>
        <w:tcBorders>
          <w:top w:val="single" w:sz="8" w:space="0" w:color="BC9FD1" w:themeColor="accent4"/>
          <w:left w:val="single" w:sz="8" w:space="0" w:color="BC9FD1" w:themeColor="accent4"/>
          <w:bottom w:val="single" w:sz="8" w:space="0" w:color="BC9FD1" w:themeColor="accent4"/>
          <w:right w:val="single" w:sz="8" w:space="0" w:color="BC9FD1" w:themeColor="accent4"/>
        </w:tcBorders>
      </w:tcPr>
    </w:tblStylePr>
    <w:tblStylePr w:type="band2Horz">
      <w:pPr>
        <w:wordWrap/>
        <w:spacing w:beforeLines="0" w:before="40" w:beforeAutospacing="0" w:afterLines="0" w:after="40" w:afterAutospacing="0" w:line="240" w:lineRule="auto"/>
        <w:jc w:val="left"/>
      </w:pPr>
    </w:tblStylePr>
  </w:style>
  <w:style w:type="table" w:customStyle="1" w:styleId="TableGrid1">
    <w:name w:val="Table Grid1"/>
    <w:basedOn w:val="TableNormal"/>
    <w:next w:val="TableGrid"/>
    <w:uiPriority w:val="59"/>
    <w:rsid w:val="00DE5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A314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2214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355F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1C5A16"/>
    <w:rPr>
      <w:rFonts w:ascii="Calibri" w:eastAsiaTheme="minorEastAsia" w:hAnsi="Calibri" w:cs="Times New Roman"/>
      <w:b/>
      <w:bCs/>
      <w:color w:val="595959" w:themeColor="text1" w:themeTint="A6"/>
      <w:sz w:val="26"/>
      <w:szCs w:val="26"/>
    </w:rPr>
  </w:style>
  <w:style w:type="table" w:customStyle="1" w:styleId="TableGrid5">
    <w:name w:val="Table Grid5"/>
    <w:basedOn w:val="TableNormal"/>
    <w:next w:val="TableGrid"/>
    <w:uiPriority w:val="59"/>
    <w:rsid w:val="001C5A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yllabustables1">
    <w:name w:val="Syllabus tables1"/>
    <w:basedOn w:val="TableNormal"/>
    <w:next w:val="LightList-Accent4"/>
    <w:uiPriority w:val="61"/>
    <w:rsid w:val="001C5A16"/>
    <w:pPr>
      <w:spacing w:after="0" w:line="240" w:lineRule="auto"/>
    </w:pPr>
    <w:rPr>
      <w:rFonts w:ascii="Arial" w:eastAsiaTheme="minorEastAsia" w:hAnsi="Arial"/>
      <w:sz w:val="18"/>
    </w:rPr>
    <w:tblPr>
      <w:tblStyleRowBandSize w:val="1"/>
      <w:tblStyleColBandSize w:val="1"/>
      <w:tblBorders>
        <w:top w:val="single" w:sz="8" w:space="0" w:color="BC9FD1" w:themeColor="accent4"/>
        <w:left w:val="single" w:sz="8" w:space="0" w:color="BC9FD1" w:themeColor="accent4"/>
        <w:bottom w:val="single" w:sz="8" w:space="0" w:color="BC9FD1" w:themeColor="accent4"/>
        <w:right w:val="single" w:sz="8" w:space="0" w:color="BC9FD1" w:themeColor="accent4"/>
      </w:tblBorders>
    </w:tblPr>
    <w:tblStylePr w:type="firstRow">
      <w:pPr>
        <w:wordWrap/>
        <w:spacing w:beforeLines="0" w:before="40" w:beforeAutospacing="0" w:afterLines="0" w:after="40" w:afterAutospacing="0" w:line="240" w:lineRule="auto"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shd w:val="clear" w:color="auto" w:fill="BC9FD1" w:themeFill="accent4"/>
        <w:vAlign w:val="center"/>
      </w:tcPr>
    </w:tblStylePr>
    <w:tblStylePr w:type="lastRow">
      <w:pPr>
        <w:wordWrap/>
        <w:spacing w:beforeLines="0" w:before="40" w:beforeAutospacing="0" w:afterLines="0" w:after="40" w:afterAutospacing="0" w:line="240" w:lineRule="auto"/>
        <w:jc w:val="left"/>
      </w:pPr>
      <w:rPr>
        <w:rFonts w:ascii="Arial" w:hAnsi="Arial"/>
        <w:b/>
        <w:bCs/>
        <w:sz w:val="20"/>
      </w:rPr>
      <w:tblPr/>
      <w:tcPr>
        <w:tcBorders>
          <w:top w:val="double" w:sz="6" w:space="0" w:color="BC9FD1" w:themeColor="accent4"/>
          <w:left w:val="single" w:sz="8" w:space="0" w:color="BC9FD1" w:themeColor="accent4"/>
          <w:bottom w:val="single" w:sz="8" w:space="0" w:color="BC9FD1" w:themeColor="accent4"/>
          <w:right w:val="single" w:sz="8" w:space="0" w:color="BC9FD1" w:themeColor="accent4"/>
        </w:tcBorders>
      </w:tcPr>
    </w:tblStylePr>
    <w:tblStylePr w:type="firstCol">
      <w:pPr>
        <w:wordWrap/>
        <w:spacing w:beforeLines="0" w:before="40" w:beforeAutospacing="0" w:afterLines="0" w:after="40" w:afterAutospacing="0" w:line="240" w:lineRule="auto"/>
        <w:jc w:val="center"/>
      </w:pPr>
      <w:rPr>
        <w:rFonts w:ascii="Arial" w:hAnsi="Arial"/>
        <w:b/>
        <w:bCs/>
        <w:sz w:val="18"/>
      </w:rPr>
      <w:tblPr/>
      <w:tcPr>
        <w:vAlign w:val="center"/>
      </w:tcPr>
    </w:tblStylePr>
    <w:tblStylePr w:type="lastCol">
      <w:pPr>
        <w:wordWrap/>
        <w:spacing w:beforeLines="0" w:before="40" w:beforeAutospacing="0" w:afterLines="0" w:after="40" w:afterAutospacing="0" w:line="240" w:lineRule="auto"/>
        <w:jc w:val="center"/>
      </w:pPr>
      <w:rPr>
        <w:rFonts w:ascii="Arial" w:hAnsi="Arial"/>
        <w:b/>
        <w:bCs/>
        <w:sz w:val="20"/>
      </w:rPr>
      <w:tblPr/>
      <w:tcPr>
        <w:vAlign w:val="center"/>
      </w:tcPr>
    </w:tblStylePr>
    <w:tblStylePr w:type="band1Vert">
      <w:pPr>
        <w:wordWrap/>
        <w:spacing w:beforeLines="0" w:before="40" w:beforeAutospacing="0" w:afterLines="0" w:after="40" w:afterAutospacing="0" w:line="240" w:lineRule="auto"/>
        <w:jc w:val="left"/>
      </w:pPr>
      <w:tblPr/>
      <w:tcPr>
        <w:tcBorders>
          <w:top w:val="single" w:sz="8" w:space="0" w:color="BC9FD1" w:themeColor="accent4"/>
          <w:left w:val="single" w:sz="8" w:space="0" w:color="BC9FD1" w:themeColor="accent4"/>
          <w:bottom w:val="single" w:sz="8" w:space="0" w:color="BC9FD1" w:themeColor="accent4"/>
          <w:right w:val="single" w:sz="8" w:space="0" w:color="BC9FD1" w:themeColor="accent4"/>
        </w:tcBorders>
      </w:tcPr>
    </w:tblStylePr>
    <w:tblStylePr w:type="band2Vert">
      <w:pPr>
        <w:wordWrap/>
        <w:spacing w:beforeLines="0" w:before="40" w:beforeAutospacing="0" w:afterLines="0" w:after="40" w:afterAutospacing="0" w:line="240" w:lineRule="auto"/>
        <w:jc w:val="left"/>
      </w:pPr>
    </w:tblStylePr>
    <w:tblStylePr w:type="band1Horz">
      <w:pPr>
        <w:wordWrap/>
        <w:spacing w:beforeLines="0" w:before="40" w:beforeAutospacing="0" w:afterLines="0" w:after="40" w:afterAutospacing="0" w:line="240" w:lineRule="auto"/>
        <w:jc w:val="left"/>
      </w:pPr>
      <w:tblPr/>
      <w:tcPr>
        <w:tcBorders>
          <w:top w:val="single" w:sz="8" w:space="0" w:color="BC9FD1" w:themeColor="accent4"/>
          <w:left w:val="single" w:sz="8" w:space="0" w:color="BC9FD1" w:themeColor="accent4"/>
          <w:bottom w:val="single" w:sz="8" w:space="0" w:color="BC9FD1" w:themeColor="accent4"/>
          <w:right w:val="single" w:sz="8" w:space="0" w:color="BC9FD1" w:themeColor="accent4"/>
        </w:tcBorders>
      </w:tcPr>
    </w:tblStylePr>
    <w:tblStylePr w:type="band2Horz">
      <w:pPr>
        <w:wordWrap/>
        <w:spacing w:beforeLines="0" w:before="40" w:beforeAutospacing="0" w:afterLines="0" w:after="40" w:afterAutospacing="0" w:line="240" w:lineRule="auto"/>
        <w:jc w:val="left"/>
      </w:pPr>
    </w:tblStylePr>
  </w:style>
  <w:style w:type="table" w:customStyle="1" w:styleId="TableGrid6">
    <w:name w:val="Table Grid6"/>
    <w:basedOn w:val="TableNormal"/>
    <w:next w:val="TableGrid"/>
    <w:uiPriority w:val="59"/>
    <w:rsid w:val="008B6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924B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2100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Bullets">
    <w:name w:val="ListBullets"/>
    <w:uiPriority w:val="99"/>
    <w:rsid w:val="003913BD"/>
    <w:pPr>
      <w:numPr>
        <w:numId w:val="2"/>
      </w:numPr>
    </w:pPr>
  </w:style>
  <w:style w:type="table" w:customStyle="1" w:styleId="TableGrid9">
    <w:name w:val="Table Grid9"/>
    <w:basedOn w:val="TableNormal"/>
    <w:next w:val="TableGrid"/>
    <w:uiPriority w:val="39"/>
    <w:rsid w:val="003C7D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E07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24226"/>
    <w:rPr>
      <w:rFonts w:asciiTheme="majorHAnsi" w:eastAsiaTheme="majorEastAsia" w:hAnsiTheme="majorHAnsi" w:cstheme="majorBidi"/>
      <w:color w:val="410B68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C172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72F1"/>
  </w:style>
  <w:style w:type="paragraph" w:styleId="Footer">
    <w:name w:val="footer"/>
    <w:basedOn w:val="Normal"/>
    <w:link w:val="FooterChar"/>
    <w:uiPriority w:val="99"/>
    <w:unhideWhenUsed/>
    <w:rsid w:val="00C172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72F1"/>
  </w:style>
  <w:style w:type="paragraph" w:styleId="BalloonText">
    <w:name w:val="Balloon Text"/>
    <w:basedOn w:val="Normal"/>
    <w:link w:val="BalloonTextChar"/>
    <w:uiPriority w:val="99"/>
    <w:semiHidden/>
    <w:unhideWhenUsed/>
    <w:rsid w:val="001A4C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4C14"/>
    <w:rPr>
      <w:rFonts w:ascii="Segoe UI" w:hAnsi="Segoe UI" w:cs="Segoe UI"/>
      <w:sz w:val="18"/>
      <w:szCs w:val="18"/>
    </w:rPr>
  </w:style>
  <w:style w:type="numbering" w:customStyle="1" w:styleId="EngBulletsList">
    <w:name w:val="EngBulletsList"/>
    <w:uiPriority w:val="99"/>
    <w:rsid w:val="00F471F7"/>
    <w:pPr>
      <w:numPr>
        <w:numId w:val="7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A320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320EB"/>
    <w:pPr>
      <w:spacing w:line="240" w:lineRule="auto"/>
    </w:pPr>
    <w:rPr>
      <w:rFonts w:ascii="Calibri" w:eastAsiaTheme="minorEastAsia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320EB"/>
    <w:rPr>
      <w:rFonts w:ascii="Calibri" w:eastAsiaTheme="minorEastAsia" w:hAnsi="Calibri"/>
      <w:sz w:val="20"/>
      <w:szCs w:val="20"/>
    </w:rPr>
  </w:style>
  <w:style w:type="numbering" w:customStyle="1" w:styleId="SCSABulletList">
    <w:name w:val="SCSA Bullet List"/>
    <w:uiPriority w:val="99"/>
    <w:rsid w:val="005A1F47"/>
    <w:pPr>
      <w:numPr>
        <w:numId w:val="11"/>
      </w:numPr>
    </w:pPr>
  </w:style>
  <w:style w:type="paragraph" w:styleId="Revision">
    <w:name w:val="Revision"/>
    <w:hidden/>
    <w:uiPriority w:val="99"/>
    <w:semiHidden/>
    <w:rsid w:val="00BC3DBF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0734"/>
    <w:rPr>
      <w:rFonts w:asciiTheme="minorHAnsi" w:eastAsiaTheme="minorHAnsi" w:hAnsi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0734"/>
    <w:rPr>
      <w:rFonts w:ascii="Calibri" w:eastAsiaTheme="minorEastAsia" w:hAnsi="Calibri"/>
      <w:b/>
      <w:bCs/>
      <w:sz w:val="20"/>
      <w:szCs w:val="20"/>
    </w:rPr>
  </w:style>
  <w:style w:type="paragraph" w:customStyle="1" w:styleId="SCSAHeading4">
    <w:name w:val="SCSA Heading 4"/>
    <w:basedOn w:val="Normal"/>
    <w:qFormat/>
    <w:rsid w:val="001655F8"/>
    <w:pPr>
      <w:keepNext/>
      <w:outlineLvl w:val="3"/>
    </w:pPr>
    <w:rPr>
      <w:rFonts w:asciiTheme="majorHAnsi" w:eastAsiaTheme="majorEastAsia" w:hAnsiTheme="majorHAnsi" w:cstheme="majorBidi"/>
      <w:b/>
      <w:bCs/>
      <w:sz w:val="24"/>
      <w:szCs w:val="24"/>
      <w:lang w:eastAsia="en-AU"/>
      <w14:ligatures w14:val="standardContextual"/>
    </w:rPr>
  </w:style>
  <w:style w:type="paragraph" w:customStyle="1" w:styleId="SCSAAppendixHeading3">
    <w:name w:val="SCSA Appendix Heading 3"/>
    <w:basedOn w:val="SCSAHeading4"/>
    <w:qFormat/>
    <w:rsid w:val="001655F8"/>
    <w:pPr>
      <w:spacing w:after="0"/>
      <w:outlineLvl w:val="9"/>
    </w:pPr>
    <w:rPr>
      <w:sz w:val="22"/>
    </w:rPr>
  </w:style>
  <w:style w:type="paragraph" w:styleId="NoSpacing">
    <w:name w:val="No Spacing"/>
    <w:basedOn w:val="Normal"/>
    <w:uiPriority w:val="1"/>
    <w:qFormat/>
    <w:rsid w:val="00B3222D"/>
    <w:pPr>
      <w:keepNext/>
      <w:spacing w:after="0"/>
    </w:pPr>
    <w:rPr>
      <w:rFonts w:eastAsiaTheme="minorEastAsi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rsid w:val="00B3222D"/>
  </w:style>
  <w:style w:type="paragraph" w:customStyle="1" w:styleId="ContentDescription">
    <w:name w:val="Content Description"/>
    <w:basedOn w:val="Normal"/>
    <w:qFormat/>
    <w:rsid w:val="00B3222D"/>
    <w:pPr>
      <w:ind w:left="709" w:hanging="709"/>
    </w:pPr>
    <w:rPr>
      <w:rFonts w:eastAsiaTheme="minorEastAsia"/>
    </w:rPr>
  </w:style>
  <w:style w:type="paragraph" w:customStyle="1" w:styleId="SCSAAppendixHeading4">
    <w:name w:val="SCSA Appendix Heading 4"/>
    <w:basedOn w:val="Normal"/>
    <w:qFormat/>
    <w:rsid w:val="00084500"/>
    <w:pPr>
      <w:keepNext/>
      <w:spacing w:after="0"/>
    </w:pPr>
    <w:rPr>
      <w:rFonts w:eastAsiaTheme="minorEastAsi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SCSA General Colours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580F8B"/>
      </a:accent1>
      <a:accent2>
        <a:srgbClr val="793FA2"/>
      </a:accent2>
      <a:accent3>
        <a:srgbClr val="9B6FB9"/>
      </a:accent3>
      <a:accent4>
        <a:srgbClr val="BC9FD1"/>
      </a:accent4>
      <a:accent5>
        <a:srgbClr val="DECFE8"/>
      </a:accent5>
      <a:accent6>
        <a:srgbClr val="595959"/>
      </a:accent6>
      <a:hlink>
        <a:srgbClr val="580F8B"/>
      </a:hlink>
      <a:folHlink>
        <a:srgbClr val="595959"/>
      </a:folHlink>
    </a:clrScheme>
    <a:fontScheme name="SCSA General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279</Words>
  <Characters>1538</Characters>
  <Application>Microsoft Office Word</Application>
  <DocSecurity>0</DocSecurity>
  <Lines>28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Jenna Khor</cp:lastModifiedBy>
  <cp:revision>8</cp:revision>
  <cp:lastPrinted>2026-08-10T01:58:00Z</cp:lastPrinted>
  <dcterms:created xsi:type="dcterms:W3CDTF">2026-06-22T04:32:00Z</dcterms:created>
  <dcterms:modified xsi:type="dcterms:W3CDTF">2026-08-10T01:58:00Z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17ba55bd40fab149d46a98a20eb39debd064c1b636ab9c79c78dfc95822281fd</vt:lpwstr>
  </property>
  <property fmtid="{D5CDD505-2E9C-101B-9397-08002B2CF9AE}" pid="3" name="ClassificationContentMarkingHeaderShapeIds">
    <vt:lpwstr>c3af366,6e2eca06,efadf43</vt:lpwstr>
  </property>
  <property fmtid="{D5CDD505-2E9C-101B-9397-08002B2CF9AE}" pid="4" name="ClassificationContentMarkingHeaderFontProps">
    <vt:lpwstr>#000000,10,Aptos</vt:lpwstr>
  </property>
  <property fmtid="{D5CDD505-2E9C-101B-9397-08002B2CF9AE}" pid="5" name="ClassificationContentMarkingHeaderText">
    <vt:lpwstr>OFFICIAL</vt:lpwstr>
  </property>
  <property fmtid="{D5CDD505-2E9C-101B-9397-08002B2CF9AE}" pid="6" name="MSIP_Label_f50cdc32-1c36-4520-a994-995f06e4245f_Enabled">
    <vt:lpwstr>true</vt:lpwstr>
  </property>
  <property fmtid="{D5CDD505-2E9C-101B-9397-08002B2CF9AE}" pid="7" name="MSIP_Label_f50cdc32-1c36-4520-a994-995f06e4245f_SetDate">
    <vt:lpwstr>2026-07-27T03:17:44Z</vt:lpwstr>
  </property>
  <property fmtid="{D5CDD505-2E9C-101B-9397-08002B2CF9AE}" pid="8" name="MSIP_Label_f50cdc32-1c36-4520-a994-995f06e4245f_Method">
    <vt:lpwstr>Standard</vt:lpwstr>
  </property>
  <property fmtid="{D5CDD505-2E9C-101B-9397-08002B2CF9AE}" pid="9" name="MSIP_Label_f50cdc32-1c36-4520-a994-995f06e4245f_Name">
    <vt:lpwstr>OFFICIAL</vt:lpwstr>
  </property>
  <property fmtid="{D5CDD505-2E9C-101B-9397-08002B2CF9AE}" pid="10" name="MSIP_Label_f50cdc32-1c36-4520-a994-995f06e4245f_SiteId">
    <vt:lpwstr>5998b5ec-0203-4308-a043-253474cdc1a2</vt:lpwstr>
  </property>
  <property fmtid="{D5CDD505-2E9C-101B-9397-08002B2CF9AE}" pid="11" name="MSIP_Label_f50cdc32-1c36-4520-a994-995f06e4245f_ActionId">
    <vt:lpwstr>b267ce2e-5fe0-46bb-af23-b6b323ce1a14</vt:lpwstr>
  </property>
  <property fmtid="{D5CDD505-2E9C-101B-9397-08002B2CF9AE}" pid="12" name="MSIP_Label_f50cdc32-1c36-4520-a994-995f06e4245f_ContentBits">
    <vt:lpwstr>1</vt:lpwstr>
  </property>
  <property fmtid="{D5CDD505-2E9C-101B-9397-08002B2CF9AE}" pid="13" name="MSIP_Label_f50cdc32-1c36-4520-a994-995f06e4245f_Tag">
    <vt:lpwstr>10, 3, 0, 1</vt:lpwstr>
  </property>
</Properties>
</file>