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77" w:rsidRPr="00B55273" w:rsidRDefault="001A3D77" w:rsidP="001A3D77">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6444F251" wp14:editId="4410F474">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261">
        <w:rPr>
          <w:rFonts w:ascii="Franklin Gothic Medium" w:eastAsia="Times New Roman" w:hAnsi="Franklin Gothic Medium" w:cs="Times New Roman"/>
          <w:smallCaps/>
          <w:noProof/>
          <w:color w:val="3C3B42"/>
          <w:spacing w:val="5"/>
          <w:kern w:val="28"/>
          <w:sz w:val="60"/>
          <w:szCs w:val="52"/>
          <w:lang w:val="en-AU" w:eastAsia="en-AU"/>
        </w:rPr>
        <w:t>Ancient History</w:t>
      </w:r>
    </w:p>
    <w:p w:rsidR="001A3D77" w:rsidRPr="00B55273" w:rsidRDefault="001A3D77" w:rsidP="001A3D77">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1A3D77" w:rsidRPr="00B55273" w:rsidRDefault="001A3D77" w:rsidP="001A3D77">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1A3D77" w:rsidRPr="00B55273" w:rsidRDefault="001A3D77" w:rsidP="001A3D77">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 xml:space="preserve"> </w:t>
      </w:r>
      <w:r w:rsidR="00E30B22">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Source B</w:t>
      </w:r>
      <w:r w:rsidRPr="00443F3B">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ooklet</w:t>
      </w:r>
    </w:p>
    <w:p w:rsidR="001A0261" w:rsidRDefault="001A0261" w:rsidP="00E851D5">
      <w:pPr>
        <w:spacing w:before="0" w:after="0" w:line="240" w:lineRule="auto"/>
        <w:rPr>
          <w:rFonts w:ascii="Franklin Gothic Book" w:hAnsi="Franklin Gothic Book"/>
          <w:noProof/>
          <w:color w:val="5F497A" w:themeColor="accent4" w:themeShade="BF"/>
          <w:sz w:val="24"/>
          <w:szCs w:val="24"/>
        </w:rPr>
      </w:pPr>
      <w:r w:rsidRPr="001A0261">
        <w:rPr>
          <w:rFonts w:ascii="Franklin Gothic Book" w:hAnsi="Franklin Gothic Book"/>
          <w:noProof/>
          <w:color w:val="5F497A" w:themeColor="accent4" w:themeShade="BF"/>
          <w:sz w:val="24"/>
          <w:szCs w:val="24"/>
        </w:rPr>
        <w:t xml:space="preserve">Rome, the Late Republic to the Lex Manilia c. 133–66 BC </w:t>
      </w:r>
    </w:p>
    <w:p w:rsidR="009E4966" w:rsidRPr="00813711" w:rsidRDefault="00443F3B" w:rsidP="00E851D5">
      <w:pPr>
        <w:spacing w:before="0" w:after="0" w:line="240" w:lineRule="auto"/>
        <w:rPr>
          <w:rFonts w:ascii="Franklin Gothic Book" w:hAnsi="Franklin Gothic Book"/>
          <w:color w:val="5F497A" w:themeColor="accent4" w:themeShade="BF"/>
          <w:sz w:val="20"/>
          <w:szCs w:val="20"/>
        </w:rPr>
      </w:pPr>
      <w:r>
        <w:rPr>
          <w:rFonts w:ascii="Franklin Gothic Book" w:hAnsi="Franklin Gothic Book"/>
          <w:noProof/>
          <w:color w:val="5F497A" w:themeColor="accent4" w:themeShade="BF"/>
          <w:sz w:val="20"/>
          <w:szCs w:val="20"/>
        </w:rPr>
        <w:t>Sample 2016</w:t>
      </w:r>
    </w:p>
    <w:p w:rsidR="00813711" w:rsidRDefault="00813711" w:rsidP="0022405F">
      <w:pPr>
        <w:spacing w:before="9000" w:after="80" w:line="264" w:lineRule="auto"/>
        <w:jc w:val="both"/>
        <w:rPr>
          <w:rFonts w:eastAsia="Times New Roman" w:cs="Arial"/>
          <w:bCs/>
          <w:sz w:val="20"/>
          <w:szCs w:val="20"/>
          <w:lang w:eastAsia="en-AU"/>
        </w:rPr>
      </w:pPr>
    </w:p>
    <w:p w:rsidR="0022405F" w:rsidRPr="00813711" w:rsidRDefault="0022405F" w:rsidP="0022405F">
      <w:pPr>
        <w:spacing w:before="9500" w:after="80" w:line="264" w:lineRule="auto"/>
        <w:jc w:val="both"/>
        <w:rPr>
          <w:rFonts w:eastAsia="Times New Roman" w:cs="Arial"/>
          <w:bCs/>
          <w:sz w:val="20"/>
          <w:szCs w:val="20"/>
          <w:lang w:eastAsia="en-AU"/>
        </w:rPr>
      </w:pPr>
      <w:r w:rsidRPr="009F3825">
        <w:rPr>
          <w:b/>
          <w:sz w:val="16"/>
        </w:rPr>
        <w:t>Copyright</w:t>
      </w:r>
    </w:p>
    <w:p w:rsidR="0022405F" w:rsidRPr="009F3825" w:rsidRDefault="0022405F" w:rsidP="0022405F">
      <w:pPr>
        <w:spacing w:after="80" w:line="264" w:lineRule="auto"/>
        <w:ind w:right="68"/>
        <w:jc w:val="both"/>
        <w:rPr>
          <w:sz w:val="16"/>
        </w:rPr>
      </w:pPr>
      <w:r w:rsidRPr="009F3825">
        <w:rPr>
          <w:sz w:val="16"/>
        </w:rPr>
        <w:t>© School Curriculum and Standards Author</w:t>
      </w:r>
      <w:r>
        <w:rPr>
          <w:sz w:val="16"/>
        </w:rPr>
        <w:t>ity, 2014</w:t>
      </w:r>
    </w:p>
    <w:p w:rsidR="0022405F" w:rsidRPr="009F3825" w:rsidRDefault="0022405F" w:rsidP="0022405F">
      <w:pPr>
        <w:spacing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2405F" w:rsidRPr="009F3825" w:rsidRDefault="0022405F" w:rsidP="0022405F">
      <w:pPr>
        <w:spacing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22405F" w:rsidRPr="009F3825" w:rsidRDefault="0022405F" w:rsidP="0022405F">
      <w:pPr>
        <w:spacing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22405F" w:rsidRPr="009F3825" w:rsidRDefault="0022405F" w:rsidP="0022405F">
      <w:pPr>
        <w:spacing w:line="264" w:lineRule="auto"/>
        <w:ind w:right="68"/>
        <w:jc w:val="both"/>
        <w:rPr>
          <w:b/>
          <w:sz w:val="16"/>
        </w:rPr>
      </w:pPr>
      <w:r w:rsidRPr="009F3825">
        <w:rPr>
          <w:b/>
          <w:sz w:val="16"/>
        </w:rPr>
        <w:t>Disclaimer</w:t>
      </w:r>
    </w:p>
    <w:p w:rsidR="0022405F" w:rsidRDefault="0022405F" w:rsidP="0022405F">
      <w:pPr>
        <w:spacing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2405F" w:rsidRDefault="0022405F" w:rsidP="0022405F">
      <w:pPr>
        <w:spacing w:line="264" w:lineRule="auto"/>
        <w:ind w:right="68"/>
        <w:jc w:val="both"/>
        <w:rPr>
          <w:sz w:val="16"/>
        </w:rPr>
        <w:sectPr w:rsidR="0022405F" w:rsidSect="0022405F">
          <w:headerReference w:type="even" r:id="rId11"/>
          <w:headerReference w:type="default" r:id="rId12"/>
          <w:footerReference w:type="even" r:id="rId13"/>
          <w:footerReference w:type="default" r:id="rId14"/>
          <w:headerReference w:type="first" r:id="rId15"/>
          <w:pgSz w:w="11906" w:h="16838"/>
          <w:pgMar w:top="1534" w:right="1274" w:bottom="1440" w:left="1276" w:header="709" w:footer="709" w:gutter="0"/>
          <w:pgNumType w:start="1"/>
          <w:cols w:space="708"/>
          <w:titlePg/>
          <w:docGrid w:linePitch="360"/>
        </w:sectPr>
      </w:pPr>
    </w:p>
    <w:p w:rsidR="0043295D" w:rsidRPr="00EE3F32" w:rsidRDefault="001A0261" w:rsidP="0043295D">
      <w:pPr>
        <w:pStyle w:val="Heading1"/>
        <w:rPr>
          <w:color w:val="342568"/>
          <w14:textFill>
            <w14:solidFill>
              <w14:srgbClr w14:val="342568">
                <w14:lumMod w14:val="75000"/>
              </w14:srgbClr>
            </w14:solidFill>
          </w14:textFill>
        </w:rPr>
      </w:pPr>
      <w:r>
        <w:rPr>
          <w:color w:val="342568"/>
          <w14:textFill>
            <w14:solidFill>
              <w14:srgbClr w14:val="342568">
                <w14:lumMod w14:val="75000"/>
              </w14:srgbClr>
            </w14:solidFill>
          </w14:textFill>
        </w:rPr>
        <w:lastRenderedPageBreak/>
        <w:t>Ancient History</w:t>
      </w:r>
    </w:p>
    <w:p w:rsidR="007C68C4" w:rsidRDefault="009E071D" w:rsidP="00051597">
      <w:pPr>
        <w:pStyle w:val="Heading1"/>
        <w:spacing w:before="240"/>
        <w:jc w:val="left"/>
        <w:rPr>
          <w:rFonts w:ascii="Franklin Gothic Book" w:hAnsi="Franklin Gothic Book"/>
          <w:color w:val="342568"/>
          <w:sz w:val="28"/>
          <w:szCs w:val="28"/>
          <w14:textFill>
            <w14:solidFill>
              <w14:srgbClr w14:val="342568">
                <w14:lumMod w14:val="75000"/>
              </w14:srgbClr>
            </w14:solidFill>
          </w14:textFill>
        </w:rPr>
      </w:pPr>
      <w:r w:rsidRPr="00EE3F32">
        <w:rPr>
          <w:rFonts w:ascii="Franklin Gothic Book" w:hAnsi="Franklin Gothic Book"/>
          <w:color w:val="342568"/>
          <w:sz w:val="28"/>
          <w:szCs w:val="28"/>
          <w14:textFill>
            <w14:solidFill>
              <w14:srgbClr w14:val="342568">
                <w14:lumMod w14:val="75000"/>
              </w14:srgbClr>
            </w14:solidFill>
          </w14:textFill>
        </w:rPr>
        <w:t xml:space="preserve">Externally set task </w:t>
      </w:r>
      <w:r w:rsidR="00244B87" w:rsidRPr="00EE3F32">
        <w:rPr>
          <w:rFonts w:ascii="Franklin Gothic Book" w:hAnsi="Franklin Gothic Book"/>
          <w:color w:val="342568"/>
          <w:sz w:val="28"/>
          <w:szCs w:val="28"/>
          <w14:textFill>
            <w14:solidFill>
              <w14:srgbClr w14:val="342568">
                <w14:lumMod w14:val="75000"/>
              </w14:srgbClr>
            </w14:solidFill>
          </w14:textFill>
        </w:rPr>
        <w:t>Source Booklet</w:t>
      </w:r>
    </w:p>
    <w:p w:rsidR="001A0261" w:rsidRPr="00443F3B" w:rsidRDefault="001A0261" w:rsidP="0022405F">
      <w:pPr>
        <w:pStyle w:val="Heading3"/>
        <w:rPr>
          <w:rFonts w:ascii="Franklin Gothic Book" w:hAnsi="Franklin Gothic Book"/>
          <w:b w:val="0"/>
          <w:smallCaps w:val="0"/>
          <w:color w:val="342568"/>
          <w:sz w:val="28"/>
          <w:szCs w:val="28"/>
          <w14:textFill>
            <w14:solidFill>
              <w14:srgbClr w14:val="342568">
                <w14:lumMod w14:val="75000"/>
              </w14:srgbClr>
            </w14:solidFill>
          </w14:textFill>
        </w:rPr>
      </w:pPr>
      <w:r w:rsidRPr="00443F3B">
        <w:rPr>
          <w:rFonts w:ascii="Franklin Gothic Book" w:hAnsi="Franklin Gothic Book"/>
          <w:b w:val="0"/>
          <w:smallCaps w:val="0"/>
          <w:color w:val="342568"/>
          <w:sz w:val="28"/>
          <w:szCs w:val="28"/>
          <w14:textFill>
            <w14:solidFill>
              <w14:srgbClr w14:val="342568">
                <w14:lumMod w14:val="75000"/>
              </w14:srgbClr>
            </w14:solidFill>
          </w14:textFill>
        </w:rPr>
        <w:t xml:space="preserve">Rome, the Late Republic to the </w:t>
      </w:r>
      <w:proofErr w:type="spellStart"/>
      <w:r w:rsidRPr="00443F3B">
        <w:rPr>
          <w:rFonts w:ascii="Franklin Gothic Book" w:hAnsi="Franklin Gothic Book"/>
          <w:b w:val="0"/>
          <w:smallCaps w:val="0"/>
          <w:color w:val="342568"/>
          <w:sz w:val="28"/>
          <w:szCs w:val="28"/>
          <w14:textFill>
            <w14:solidFill>
              <w14:srgbClr w14:val="342568">
                <w14:lumMod w14:val="75000"/>
              </w14:srgbClr>
            </w14:solidFill>
          </w14:textFill>
        </w:rPr>
        <w:t>Lex</w:t>
      </w:r>
      <w:proofErr w:type="spellEnd"/>
      <w:r w:rsidRPr="00443F3B">
        <w:rPr>
          <w:rFonts w:ascii="Franklin Gothic Book" w:hAnsi="Franklin Gothic Book"/>
          <w:b w:val="0"/>
          <w:smallCaps w:val="0"/>
          <w:color w:val="342568"/>
          <w:sz w:val="28"/>
          <w:szCs w:val="28"/>
          <w14:textFill>
            <w14:solidFill>
              <w14:srgbClr w14:val="342568">
                <w14:lumMod w14:val="75000"/>
              </w14:srgbClr>
            </w14:solidFill>
          </w14:textFill>
        </w:rPr>
        <w:t xml:space="preserve"> </w:t>
      </w:r>
      <w:proofErr w:type="spellStart"/>
      <w:r w:rsidRPr="00443F3B">
        <w:rPr>
          <w:rFonts w:ascii="Franklin Gothic Book" w:hAnsi="Franklin Gothic Book"/>
          <w:b w:val="0"/>
          <w:smallCaps w:val="0"/>
          <w:color w:val="342568"/>
          <w:sz w:val="28"/>
          <w:szCs w:val="28"/>
          <w14:textFill>
            <w14:solidFill>
              <w14:srgbClr w14:val="342568">
                <w14:lumMod w14:val="75000"/>
              </w14:srgbClr>
            </w14:solidFill>
          </w14:textFill>
        </w:rPr>
        <w:t>Manilia</w:t>
      </w:r>
      <w:proofErr w:type="spellEnd"/>
      <w:r w:rsidRPr="00443F3B">
        <w:rPr>
          <w:rFonts w:ascii="Franklin Gothic Book" w:hAnsi="Franklin Gothic Book"/>
          <w:b w:val="0"/>
          <w:smallCaps w:val="0"/>
          <w:color w:val="342568"/>
          <w:sz w:val="28"/>
          <w:szCs w:val="28"/>
          <w14:textFill>
            <w14:solidFill>
              <w14:srgbClr w14:val="342568">
                <w14:lumMod w14:val="75000"/>
              </w14:srgbClr>
            </w14:solidFill>
          </w14:textFill>
        </w:rPr>
        <w:t xml:space="preserve"> c. 133–66 BC</w:t>
      </w:r>
    </w:p>
    <w:p w:rsidR="0022405F" w:rsidRPr="0022405F" w:rsidRDefault="00443F3B" w:rsidP="0022405F">
      <w:pPr>
        <w:pStyle w:val="Heading3"/>
      </w:pPr>
      <w:r>
        <w:t xml:space="preserve">Source </w:t>
      </w:r>
      <w:r w:rsidR="0022405F" w:rsidRPr="0022405F">
        <w:t xml:space="preserve">1 </w:t>
      </w:r>
    </w:p>
    <w:p w:rsidR="001A0261" w:rsidRPr="006C2CDB" w:rsidRDefault="001A0261" w:rsidP="001A0261">
      <w:pPr>
        <w:autoSpaceDE w:val="0"/>
        <w:autoSpaceDN w:val="0"/>
        <w:adjustRightInd w:val="0"/>
        <w:spacing w:after="0" w:line="240" w:lineRule="auto"/>
        <w:rPr>
          <w:rFonts w:asciiTheme="minorHAnsi" w:eastAsia="Times New Roman" w:hAnsiTheme="minorHAnsi" w:cstheme="minorHAnsi"/>
          <w:bCs/>
          <w:color w:val="231F20"/>
        </w:rPr>
      </w:pPr>
      <w:r w:rsidRPr="006C2CDB">
        <w:rPr>
          <w:rFonts w:asciiTheme="minorHAnsi" w:eastAsia="Times New Roman" w:hAnsiTheme="minorHAnsi" w:cstheme="minorHAnsi"/>
          <w:bCs/>
          <w:color w:val="231F20"/>
        </w:rPr>
        <w:t>Though their enemies routinely branded them as demagogues [popular leaders] and careerists [motivated by ambition], there is really no reason to think that the Gracchi were motivated by anything other than a genuine desire to improve the welfare of the Roman people. It can hardly be denied either that responsibility for the violence that ended their careers rests mainly with the Senate … The Gracchi are important for another reason: their deaths, obtained on the pretext of national security, opened the door to the widespread and systematic use of violence in public life, a development which, if it did not cause the fall of the Republic, certainly hastened it.</w:t>
      </w:r>
    </w:p>
    <w:p w:rsidR="001A0261" w:rsidRPr="006C2CDB" w:rsidRDefault="001A0261" w:rsidP="001A0261">
      <w:pPr>
        <w:autoSpaceDE w:val="0"/>
        <w:autoSpaceDN w:val="0"/>
        <w:adjustRightInd w:val="0"/>
        <w:spacing w:after="0" w:line="240" w:lineRule="auto"/>
        <w:ind w:left="2880"/>
        <w:rPr>
          <w:rFonts w:asciiTheme="minorHAnsi" w:eastAsia="Times New Roman" w:hAnsiTheme="minorHAnsi" w:cstheme="minorHAnsi"/>
          <w:bCs/>
          <w:color w:val="231F20"/>
        </w:rPr>
      </w:pPr>
      <w:r w:rsidRPr="006C2CDB">
        <w:rPr>
          <w:rFonts w:asciiTheme="minorHAnsi" w:eastAsia="Times New Roman" w:hAnsiTheme="minorHAnsi" w:cstheme="minorHAnsi"/>
          <w:bCs/>
          <w:color w:val="231F20"/>
        </w:rPr>
        <w:t xml:space="preserve">Le </w:t>
      </w:r>
      <w:proofErr w:type="spellStart"/>
      <w:r w:rsidRPr="006C2CDB">
        <w:rPr>
          <w:rFonts w:asciiTheme="minorHAnsi" w:eastAsia="Times New Roman" w:hAnsiTheme="minorHAnsi" w:cstheme="minorHAnsi"/>
          <w:bCs/>
          <w:color w:val="231F20"/>
        </w:rPr>
        <w:t>Glay</w:t>
      </w:r>
      <w:proofErr w:type="spellEnd"/>
      <w:r w:rsidRPr="006C2CDB">
        <w:rPr>
          <w:rFonts w:asciiTheme="minorHAnsi" w:eastAsia="Times New Roman" w:hAnsiTheme="minorHAnsi" w:cstheme="minorHAnsi"/>
          <w:bCs/>
          <w:color w:val="231F20"/>
        </w:rPr>
        <w:t xml:space="preserve">, </w:t>
      </w:r>
      <w:proofErr w:type="spellStart"/>
      <w:r w:rsidRPr="006C2CDB">
        <w:rPr>
          <w:rFonts w:asciiTheme="minorHAnsi" w:eastAsia="Times New Roman" w:hAnsiTheme="minorHAnsi" w:cstheme="minorHAnsi"/>
          <w:bCs/>
          <w:color w:val="231F20"/>
        </w:rPr>
        <w:t>Voisin</w:t>
      </w:r>
      <w:proofErr w:type="spellEnd"/>
      <w:r w:rsidRPr="006C2CDB">
        <w:rPr>
          <w:rFonts w:asciiTheme="minorHAnsi" w:eastAsia="Times New Roman" w:hAnsiTheme="minorHAnsi" w:cstheme="minorHAnsi"/>
          <w:bCs/>
          <w:color w:val="231F20"/>
        </w:rPr>
        <w:t xml:space="preserve"> and Le </w:t>
      </w:r>
      <w:proofErr w:type="spellStart"/>
      <w:r w:rsidRPr="006C2CDB">
        <w:rPr>
          <w:rFonts w:asciiTheme="minorHAnsi" w:eastAsia="Times New Roman" w:hAnsiTheme="minorHAnsi" w:cstheme="minorHAnsi"/>
          <w:bCs/>
          <w:color w:val="231F20"/>
        </w:rPr>
        <w:t>Bohec</w:t>
      </w:r>
      <w:proofErr w:type="spellEnd"/>
      <w:r w:rsidRPr="006C2CDB">
        <w:rPr>
          <w:rFonts w:asciiTheme="minorHAnsi" w:eastAsia="Times New Roman" w:hAnsiTheme="minorHAnsi" w:cstheme="minorHAnsi"/>
          <w:bCs/>
          <w:color w:val="231F20"/>
        </w:rPr>
        <w:t xml:space="preserve"> (2009) </w:t>
      </w:r>
      <w:r w:rsidRPr="006C2CDB">
        <w:rPr>
          <w:rFonts w:asciiTheme="minorHAnsi" w:eastAsia="Times New Roman" w:hAnsiTheme="minorHAnsi" w:cstheme="minorHAnsi"/>
          <w:bCs/>
          <w:i/>
          <w:iCs/>
          <w:color w:val="231F20"/>
        </w:rPr>
        <w:t>A History of Rome</w:t>
      </w:r>
      <w:r w:rsidRPr="006C2CDB">
        <w:rPr>
          <w:rFonts w:asciiTheme="minorHAnsi" w:eastAsia="Times New Roman" w:hAnsiTheme="minorHAnsi" w:cstheme="minorHAnsi"/>
          <w:bCs/>
          <w:color w:val="231F20"/>
        </w:rPr>
        <w:t>, pp. 113–114.</w:t>
      </w:r>
    </w:p>
    <w:p w:rsidR="0022405F" w:rsidRPr="0022405F" w:rsidRDefault="00443F3B" w:rsidP="0022405F">
      <w:pPr>
        <w:pStyle w:val="Heading3"/>
      </w:pPr>
      <w:r>
        <w:t xml:space="preserve">Source </w:t>
      </w:r>
      <w:r w:rsidR="0022405F">
        <w:t>2</w:t>
      </w:r>
    </w:p>
    <w:p w:rsidR="001A0261" w:rsidRPr="00B025C6" w:rsidRDefault="001A0261" w:rsidP="001A0261">
      <w:pPr>
        <w:autoSpaceDE w:val="0"/>
        <w:autoSpaceDN w:val="0"/>
        <w:adjustRightInd w:val="0"/>
        <w:spacing w:after="0" w:line="240" w:lineRule="auto"/>
        <w:rPr>
          <w:rFonts w:asciiTheme="minorHAnsi" w:eastAsia="Times New Roman" w:hAnsiTheme="minorHAnsi" w:cstheme="minorHAnsi"/>
          <w:bCs/>
        </w:rPr>
      </w:pPr>
      <w:r w:rsidRPr="00B025C6">
        <w:rPr>
          <w:rFonts w:asciiTheme="minorHAnsi" w:eastAsia="Times New Roman" w:hAnsiTheme="minorHAnsi" w:cstheme="minorHAnsi"/>
          <w:bCs/>
        </w:rPr>
        <w:t xml:space="preserve">Moreover, seditious (rebellious) tribunes were exciting the mob: in every public meeting they demanded </w:t>
      </w:r>
      <w:proofErr w:type="spellStart"/>
      <w:r w:rsidRPr="00B025C6">
        <w:rPr>
          <w:rFonts w:asciiTheme="minorHAnsi" w:eastAsia="Times New Roman" w:hAnsiTheme="minorHAnsi" w:cstheme="minorHAnsi"/>
          <w:bCs/>
        </w:rPr>
        <w:t>Metellus’s</w:t>
      </w:r>
      <w:proofErr w:type="spellEnd"/>
      <w:r w:rsidRPr="00B025C6">
        <w:rPr>
          <w:rFonts w:asciiTheme="minorHAnsi" w:eastAsia="Times New Roman" w:hAnsiTheme="minorHAnsi" w:cstheme="minorHAnsi"/>
          <w:bCs/>
        </w:rPr>
        <w:t xml:space="preserve"> head and exaggerated the virtues of Marius.  In the end the lower classes were roused to such a pitch that all the artisans (craftsmen) and peasants… left their work to follow Marius about, regarding their own needs as less important than his advancement.  The result was that the nobles were defeated, and for the first time in many years a newcomer to politics was elected consul.  Later on, when the tribune Titus Manlius </w:t>
      </w:r>
      <w:proofErr w:type="spellStart"/>
      <w:r w:rsidRPr="00B025C6">
        <w:rPr>
          <w:rFonts w:asciiTheme="minorHAnsi" w:eastAsia="Times New Roman" w:hAnsiTheme="minorHAnsi" w:cstheme="minorHAnsi"/>
          <w:bCs/>
        </w:rPr>
        <w:t>Mancinus</w:t>
      </w:r>
      <w:proofErr w:type="spellEnd"/>
      <w:r w:rsidRPr="00B025C6">
        <w:rPr>
          <w:rFonts w:asciiTheme="minorHAnsi" w:eastAsia="Times New Roman" w:hAnsiTheme="minorHAnsi" w:cstheme="minorHAnsi"/>
          <w:bCs/>
        </w:rPr>
        <w:t xml:space="preserve"> called on a fully attended Assembly of the People to choose a commander for the </w:t>
      </w:r>
      <w:proofErr w:type="spellStart"/>
      <w:r w:rsidRPr="00B025C6">
        <w:rPr>
          <w:rFonts w:asciiTheme="minorHAnsi" w:eastAsia="Times New Roman" w:hAnsiTheme="minorHAnsi" w:cstheme="minorHAnsi"/>
          <w:bCs/>
        </w:rPr>
        <w:t>Jugurthine</w:t>
      </w:r>
      <w:proofErr w:type="spellEnd"/>
      <w:r w:rsidRPr="00B025C6">
        <w:rPr>
          <w:rFonts w:asciiTheme="minorHAnsi" w:eastAsia="Times New Roman" w:hAnsiTheme="minorHAnsi" w:cstheme="minorHAnsi"/>
          <w:bCs/>
        </w:rPr>
        <w:t xml:space="preserve"> war, they all voted for Marius.  A decree which the Senate passed shortly before, retaining </w:t>
      </w:r>
      <w:proofErr w:type="spellStart"/>
      <w:r w:rsidRPr="00B025C6">
        <w:rPr>
          <w:rFonts w:asciiTheme="minorHAnsi" w:eastAsia="Times New Roman" w:hAnsiTheme="minorHAnsi" w:cstheme="minorHAnsi"/>
          <w:bCs/>
        </w:rPr>
        <w:t>Metellus</w:t>
      </w:r>
      <w:proofErr w:type="spellEnd"/>
      <w:r w:rsidRPr="00B025C6">
        <w:rPr>
          <w:rFonts w:asciiTheme="minorHAnsi" w:eastAsia="Times New Roman" w:hAnsiTheme="minorHAnsi" w:cstheme="minorHAnsi"/>
          <w:bCs/>
        </w:rPr>
        <w:t xml:space="preserve"> in his command, was thus rendered ineffective. </w:t>
      </w:r>
    </w:p>
    <w:p w:rsidR="001A0261" w:rsidRPr="00B025C6" w:rsidRDefault="001A0261" w:rsidP="001A0261">
      <w:pPr>
        <w:spacing w:after="200"/>
        <w:jc w:val="right"/>
        <w:rPr>
          <w:rFonts w:asciiTheme="minorHAnsi" w:eastAsia="Times New Roman" w:hAnsiTheme="minorHAnsi" w:cstheme="minorHAnsi"/>
          <w:bCs/>
        </w:rPr>
      </w:pPr>
      <w:r w:rsidRPr="00B025C6">
        <w:rPr>
          <w:rFonts w:asciiTheme="minorHAnsi" w:eastAsia="Times New Roman" w:hAnsiTheme="minorHAnsi" w:cstheme="minorHAnsi"/>
          <w:bCs/>
        </w:rPr>
        <w:t>Sallu</w:t>
      </w:r>
      <w:r w:rsidR="00E066E7">
        <w:rPr>
          <w:rFonts w:asciiTheme="minorHAnsi" w:eastAsia="Times New Roman" w:hAnsiTheme="minorHAnsi" w:cstheme="minorHAnsi"/>
          <w:bCs/>
        </w:rPr>
        <w:t>st (Roman historian c. 86–35 BC</w:t>
      </w:r>
      <w:r w:rsidRPr="00B025C6">
        <w:rPr>
          <w:rFonts w:asciiTheme="minorHAnsi" w:eastAsia="Times New Roman" w:hAnsiTheme="minorHAnsi" w:cstheme="minorHAnsi"/>
          <w:bCs/>
        </w:rPr>
        <w:t xml:space="preserve">), </w:t>
      </w:r>
      <w:proofErr w:type="spellStart"/>
      <w:r w:rsidRPr="00B025C6">
        <w:rPr>
          <w:rFonts w:asciiTheme="minorHAnsi" w:eastAsia="Times New Roman" w:hAnsiTheme="minorHAnsi" w:cstheme="minorHAnsi"/>
          <w:bCs/>
          <w:i/>
          <w:iCs/>
        </w:rPr>
        <w:t>Jugurthine</w:t>
      </w:r>
      <w:proofErr w:type="spellEnd"/>
      <w:r w:rsidRPr="00B025C6">
        <w:rPr>
          <w:rFonts w:asciiTheme="minorHAnsi" w:eastAsia="Times New Roman" w:hAnsiTheme="minorHAnsi" w:cstheme="minorHAnsi"/>
          <w:bCs/>
          <w:i/>
          <w:iCs/>
        </w:rPr>
        <w:t xml:space="preserve"> War</w:t>
      </w:r>
      <w:r w:rsidRPr="00B025C6">
        <w:rPr>
          <w:rFonts w:asciiTheme="minorHAnsi" w:eastAsia="Times New Roman" w:hAnsiTheme="minorHAnsi" w:cstheme="minorHAnsi"/>
          <w:bCs/>
        </w:rPr>
        <w:t xml:space="preserve">, 73 </w:t>
      </w:r>
    </w:p>
    <w:p w:rsidR="00801AAC" w:rsidRDefault="00801AAC" w:rsidP="00294035"/>
    <w:p w:rsidR="00801AAC" w:rsidRDefault="00801AAC" w:rsidP="00294035"/>
    <w:p w:rsidR="00801AAC" w:rsidRPr="00E851D5" w:rsidRDefault="00801AAC" w:rsidP="00294035"/>
    <w:p w:rsidR="00732A2C" w:rsidRDefault="00732A2C" w:rsidP="00294035">
      <w:pPr>
        <w:rPr>
          <w:noProof/>
          <w:lang w:eastAsia="en-AU"/>
        </w:rPr>
        <w:sectPr w:rsidR="00732A2C" w:rsidSect="00801AAC">
          <w:headerReference w:type="even" r:id="rId16"/>
          <w:headerReference w:type="default" r:id="rId17"/>
          <w:footerReference w:type="even" r:id="rId18"/>
          <w:footerReference w:type="default" r:id="rId19"/>
          <w:headerReference w:type="first" r:id="rId20"/>
          <w:footerReference w:type="first" r:id="rId21"/>
          <w:pgSz w:w="11906" w:h="16838"/>
          <w:pgMar w:top="1534" w:right="1274" w:bottom="1440" w:left="1276" w:header="709" w:footer="567" w:gutter="0"/>
          <w:pgNumType w:start="1"/>
          <w:cols w:space="708"/>
          <w:titlePg/>
          <w:docGrid w:linePitch="360"/>
        </w:sectPr>
      </w:pPr>
    </w:p>
    <w:p w:rsidR="00D96E05" w:rsidRPr="00FF628C" w:rsidRDefault="00D96E05" w:rsidP="00FF628C">
      <w:pPr>
        <w:jc w:val="center"/>
        <w:rPr>
          <w:rFonts w:ascii="Franklin Gothic Book" w:hAnsi="Franklin Gothic Book"/>
          <w:b/>
          <w:noProof/>
          <w:color w:val="5F497A" w:themeColor="accent4" w:themeShade="BF"/>
          <w:sz w:val="28"/>
          <w:szCs w:val="28"/>
          <w:lang w:eastAsia="en-AU"/>
        </w:rPr>
      </w:pPr>
      <w:r w:rsidRPr="008E660A">
        <w:rPr>
          <w:rFonts w:ascii="Franklin Gothic Book" w:hAnsi="Franklin Gothic Book"/>
          <w:b/>
          <w:noProof/>
          <w:color w:val="342568"/>
          <w:sz w:val="28"/>
          <w:szCs w:val="28"/>
          <w:lang w:eastAsia="en-AU"/>
        </w:rPr>
        <w:lastRenderedPageBreak/>
        <w:t>ACKNOWLEDGEMENTS</w:t>
      </w:r>
    </w:p>
    <w:p w:rsidR="00D96E05" w:rsidRDefault="00D96E05" w:rsidP="00E851D5">
      <w:pPr>
        <w:rPr>
          <w:noProof/>
          <w:lang w:eastAsia="en-AU"/>
        </w:rPr>
      </w:pPr>
    </w:p>
    <w:p w:rsidR="001734AE" w:rsidRPr="00E851D5" w:rsidRDefault="00D96E05" w:rsidP="00051597">
      <w:pPr>
        <w:tabs>
          <w:tab w:val="left" w:pos="1418"/>
        </w:tabs>
      </w:pPr>
      <w:r w:rsidRPr="00FB4D18">
        <w:rPr>
          <w:b/>
        </w:rPr>
        <w:t>Source 1</w:t>
      </w:r>
      <w:r w:rsidRPr="00FB4D18">
        <w:rPr>
          <w:b/>
        </w:rPr>
        <w:tab/>
      </w:r>
      <w:r w:rsidR="001A0261" w:rsidRPr="00E167C3">
        <w:rPr>
          <w:rFonts w:asciiTheme="minorHAnsi" w:eastAsia="Times New Roman" w:hAnsiTheme="minorHAnsi" w:cstheme="minorHAnsi"/>
        </w:rPr>
        <w:t xml:space="preserve">Le </w:t>
      </w:r>
      <w:proofErr w:type="spellStart"/>
      <w:r w:rsidR="001A0261" w:rsidRPr="00E167C3">
        <w:rPr>
          <w:rFonts w:asciiTheme="minorHAnsi" w:eastAsia="Times New Roman" w:hAnsiTheme="minorHAnsi" w:cstheme="minorHAnsi"/>
        </w:rPr>
        <w:t>Glay</w:t>
      </w:r>
      <w:proofErr w:type="spellEnd"/>
      <w:r w:rsidR="001A0261" w:rsidRPr="00E167C3">
        <w:rPr>
          <w:rFonts w:asciiTheme="minorHAnsi" w:eastAsia="Times New Roman" w:hAnsiTheme="minorHAnsi" w:cstheme="minorHAnsi"/>
        </w:rPr>
        <w:t xml:space="preserve">, M., </w:t>
      </w:r>
      <w:proofErr w:type="spellStart"/>
      <w:r w:rsidR="001A0261" w:rsidRPr="00E167C3">
        <w:rPr>
          <w:rFonts w:asciiTheme="minorHAnsi" w:eastAsia="Times New Roman" w:hAnsiTheme="minorHAnsi" w:cstheme="minorHAnsi"/>
        </w:rPr>
        <w:t>Voisin</w:t>
      </w:r>
      <w:proofErr w:type="spellEnd"/>
      <w:r w:rsidR="001A0261" w:rsidRPr="00E167C3">
        <w:rPr>
          <w:rFonts w:asciiTheme="minorHAnsi" w:eastAsia="Times New Roman" w:hAnsiTheme="minorHAnsi" w:cstheme="minorHAnsi"/>
        </w:rPr>
        <w:t xml:space="preserve">, J.L., &amp; Le </w:t>
      </w:r>
      <w:proofErr w:type="spellStart"/>
      <w:r w:rsidR="001A0261" w:rsidRPr="00E167C3">
        <w:rPr>
          <w:rFonts w:asciiTheme="minorHAnsi" w:eastAsia="Times New Roman" w:hAnsiTheme="minorHAnsi" w:cstheme="minorHAnsi"/>
        </w:rPr>
        <w:t>Bohec</w:t>
      </w:r>
      <w:proofErr w:type="spellEnd"/>
      <w:r w:rsidR="001A0261" w:rsidRPr="00E167C3">
        <w:rPr>
          <w:rFonts w:asciiTheme="minorHAnsi" w:eastAsia="Times New Roman" w:hAnsiTheme="minorHAnsi" w:cstheme="minorHAnsi"/>
        </w:rPr>
        <w:t xml:space="preserve">, Y. (2009). </w:t>
      </w:r>
      <w:r w:rsidR="001A0261" w:rsidRPr="00E167C3">
        <w:rPr>
          <w:rFonts w:asciiTheme="minorHAnsi" w:eastAsia="Times New Roman" w:hAnsiTheme="minorHAnsi" w:cstheme="minorHAnsi"/>
          <w:i/>
        </w:rPr>
        <w:t xml:space="preserve">A history of Rome </w:t>
      </w:r>
      <w:r w:rsidR="001A0261" w:rsidRPr="00E167C3">
        <w:rPr>
          <w:rFonts w:asciiTheme="minorHAnsi" w:eastAsia="Times New Roman" w:hAnsiTheme="minorHAnsi" w:cstheme="minorHAnsi"/>
        </w:rPr>
        <w:t xml:space="preserve">(4th </w:t>
      </w:r>
      <w:proofErr w:type="gramStart"/>
      <w:r w:rsidR="001A0261" w:rsidRPr="00E167C3">
        <w:rPr>
          <w:rFonts w:asciiTheme="minorHAnsi" w:eastAsia="Times New Roman" w:hAnsiTheme="minorHAnsi" w:cstheme="minorHAnsi"/>
        </w:rPr>
        <w:t>ed</w:t>
      </w:r>
      <w:proofErr w:type="gramEnd"/>
      <w:r w:rsidR="001A0261" w:rsidRPr="00E167C3">
        <w:rPr>
          <w:rFonts w:asciiTheme="minorHAnsi" w:eastAsia="Times New Roman" w:hAnsiTheme="minorHAnsi" w:cstheme="minorHAnsi"/>
        </w:rPr>
        <w:t xml:space="preserve">.). (A. </w:t>
      </w:r>
      <w:proofErr w:type="spellStart"/>
      <w:r w:rsidR="001A0261" w:rsidRPr="00E167C3">
        <w:rPr>
          <w:rFonts w:asciiTheme="minorHAnsi" w:eastAsia="Times New Roman" w:hAnsiTheme="minorHAnsi" w:cstheme="minorHAnsi"/>
        </w:rPr>
        <w:t>Nevill</w:t>
      </w:r>
      <w:proofErr w:type="spellEnd"/>
      <w:r w:rsidR="001A0261" w:rsidRPr="00E167C3">
        <w:rPr>
          <w:rFonts w:asciiTheme="minorHAnsi" w:eastAsia="Times New Roman" w:hAnsiTheme="minorHAnsi" w:cstheme="minorHAnsi"/>
        </w:rPr>
        <w:t xml:space="preserve">, </w:t>
      </w:r>
      <w:r w:rsidR="001A0261">
        <w:rPr>
          <w:rFonts w:asciiTheme="minorHAnsi" w:eastAsia="Times New Roman" w:hAnsiTheme="minorHAnsi" w:cstheme="minorHAnsi"/>
        </w:rPr>
        <w:tab/>
      </w:r>
      <w:r w:rsidR="001A0261" w:rsidRPr="00E167C3">
        <w:rPr>
          <w:rFonts w:asciiTheme="minorHAnsi" w:eastAsia="Times New Roman" w:hAnsiTheme="minorHAnsi" w:cstheme="minorHAnsi"/>
        </w:rPr>
        <w:t>Trans.). Oxford, UK: Wiley, pp. 113–114.</w:t>
      </w:r>
    </w:p>
    <w:p w:rsidR="00D96E05" w:rsidRPr="00AF30FD" w:rsidRDefault="00D96E05" w:rsidP="00051597">
      <w:pPr>
        <w:tabs>
          <w:tab w:val="left" w:pos="1418"/>
        </w:tabs>
        <w:ind w:left="1418" w:hanging="1418"/>
      </w:pPr>
    </w:p>
    <w:p w:rsidR="00D96E05" w:rsidRDefault="00D96E05" w:rsidP="00051597">
      <w:pPr>
        <w:tabs>
          <w:tab w:val="left" w:pos="1418"/>
        </w:tabs>
        <w:ind w:left="1418" w:hanging="1418"/>
      </w:pPr>
    </w:p>
    <w:p w:rsidR="001A0261" w:rsidRPr="00B025C6" w:rsidRDefault="00D96E05" w:rsidP="00051597">
      <w:pPr>
        <w:tabs>
          <w:tab w:val="left" w:pos="1418"/>
        </w:tabs>
        <w:autoSpaceDE w:val="0"/>
        <w:autoSpaceDN w:val="0"/>
        <w:adjustRightInd w:val="0"/>
        <w:spacing w:after="0" w:line="240" w:lineRule="auto"/>
        <w:ind w:left="1418" w:hanging="1418"/>
        <w:rPr>
          <w:rFonts w:asciiTheme="minorHAnsi" w:eastAsia="Times New Roman" w:hAnsiTheme="minorHAnsi" w:cstheme="minorHAnsi"/>
          <w:bCs/>
        </w:rPr>
      </w:pPr>
      <w:proofErr w:type="gramStart"/>
      <w:r>
        <w:rPr>
          <w:b/>
        </w:rPr>
        <w:t>Source 2</w:t>
      </w:r>
      <w:r>
        <w:rPr>
          <w:b/>
        </w:rPr>
        <w:tab/>
      </w:r>
      <w:r w:rsidR="001A0261" w:rsidRPr="00B025C6">
        <w:rPr>
          <w:rFonts w:asciiTheme="minorHAnsi" w:eastAsia="Times New Roman" w:hAnsiTheme="minorHAnsi" w:cstheme="minorHAnsi"/>
          <w:bCs/>
        </w:rPr>
        <w:t>Sallust.</w:t>
      </w:r>
      <w:proofErr w:type="gramEnd"/>
      <w:r w:rsidR="001A0261" w:rsidRPr="00B025C6">
        <w:rPr>
          <w:rFonts w:asciiTheme="minorHAnsi" w:eastAsia="Times New Roman" w:hAnsiTheme="minorHAnsi" w:cstheme="minorHAnsi"/>
          <w:bCs/>
        </w:rPr>
        <w:t xml:space="preserve"> (1963). </w:t>
      </w:r>
      <w:r w:rsidR="001A0261" w:rsidRPr="00B025C6">
        <w:rPr>
          <w:rFonts w:asciiTheme="minorHAnsi" w:eastAsia="Times New Roman" w:hAnsiTheme="minorHAnsi" w:cstheme="minorHAnsi"/>
          <w:bCs/>
          <w:i/>
        </w:rPr>
        <w:t xml:space="preserve">The </w:t>
      </w:r>
      <w:proofErr w:type="spellStart"/>
      <w:r w:rsidR="001A0261" w:rsidRPr="00B025C6">
        <w:rPr>
          <w:rFonts w:asciiTheme="minorHAnsi" w:eastAsia="Times New Roman" w:hAnsiTheme="minorHAnsi" w:cstheme="minorHAnsi"/>
          <w:bCs/>
          <w:i/>
        </w:rPr>
        <w:t>Jugurthine</w:t>
      </w:r>
      <w:proofErr w:type="spellEnd"/>
      <w:r w:rsidR="001A0261" w:rsidRPr="00B025C6">
        <w:rPr>
          <w:rFonts w:asciiTheme="minorHAnsi" w:eastAsia="Times New Roman" w:hAnsiTheme="minorHAnsi" w:cstheme="minorHAnsi"/>
          <w:bCs/>
          <w:i/>
        </w:rPr>
        <w:t xml:space="preserve"> War: the conspiracy of </w:t>
      </w:r>
      <w:proofErr w:type="spellStart"/>
      <w:r w:rsidR="001A0261" w:rsidRPr="00B025C6">
        <w:rPr>
          <w:rFonts w:asciiTheme="minorHAnsi" w:eastAsia="Times New Roman" w:hAnsiTheme="minorHAnsi" w:cstheme="minorHAnsi"/>
          <w:bCs/>
          <w:i/>
        </w:rPr>
        <w:t>Catiline</w:t>
      </w:r>
      <w:proofErr w:type="spellEnd"/>
      <w:r w:rsidR="001A0261" w:rsidRPr="00B025C6">
        <w:rPr>
          <w:rFonts w:asciiTheme="minorHAnsi" w:eastAsia="Times New Roman" w:hAnsiTheme="minorHAnsi" w:cstheme="minorHAnsi"/>
          <w:bCs/>
        </w:rPr>
        <w:t xml:space="preserve">. </w:t>
      </w:r>
      <w:proofErr w:type="gramStart"/>
      <w:r w:rsidR="001A0261" w:rsidRPr="00B025C6">
        <w:rPr>
          <w:rFonts w:asciiTheme="minorHAnsi" w:eastAsia="Times New Roman" w:hAnsiTheme="minorHAnsi" w:cstheme="minorHAnsi"/>
          <w:bCs/>
        </w:rPr>
        <w:t xml:space="preserve">(S.A. </w:t>
      </w:r>
      <w:proofErr w:type="spellStart"/>
      <w:r w:rsidR="001A0261" w:rsidRPr="00B025C6">
        <w:rPr>
          <w:rFonts w:asciiTheme="minorHAnsi" w:eastAsia="Times New Roman" w:hAnsiTheme="minorHAnsi" w:cstheme="minorHAnsi"/>
          <w:bCs/>
        </w:rPr>
        <w:t>Handford</w:t>
      </w:r>
      <w:proofErr w:type="spellEnd"/>
      <w:r w:rsidR="001A0261" w:rsidRPr="00B025C6">
        <w:rPr>
          <w:rFonts w:asciiTheme="minorHAnsi" w:eastAsia="Times New Roman" w:hAnsiTheme="minorHAnsi" w:cstheme="minorHAnsi"/>
          <w:bCs/>
        </w:rPr>
        <w:t>, Trans.).</w:t>
      </w:r>
      <w:proofErr w:type="gramEnd"/>
      <w:r w:rsidR="001A0261" w:rsidRPr="00B025C6">
        <w:rPr>
          <w:rFonts w:asciiTheme="minorHAnsi" w:eastAsia="Times New Roman" w:hAnsiTheme="minorHAnsi" w:cstheme="minorHAnsi"/>
          <w:bCs/>
        </w:rPr>
        <w:t xml:space="preserve"> London: Penguin, p.107. </w:t>
      </w:r>
      <w:proofErr w:type="gramStart"/>
      <w:r w:rsidR="001A0261" w:rsidRPr="00B025C6">
        <w:rPr>
          <w:rFonts w:asciiTheme="minorHAnsi" w:eastAsia="Times New Roman" w:hAnsiTheme="minorHAnsi" w:cstheme="minorHAnsi"/>
          <w:bCs/>
        </w:rPr>
        <w:t>(Sallust c. 86–35 BC).</w:t>
      </w:r>
      <w:proofErr w:type="gramEnd"/>
      <w:r w:rsidR="001A0261" w:rsidRPr="00B025C6">
        <w:rPr>
          <w:rFonts w:asciiTheme="minorHAnsi" w:eastAsia="Times New Roman" w:hAnsiTheme="minorHAnsi" w:cstheme="minorHAnsi"/>
          <w:bCs/>
        </w:rPr>
        <w:t xml:space="preserve"> </w:t>
      </w:r>
      <w:proofErr w:type="gramStart"/>
      <w:r w:rsidR="001A0261" w:rsidRPr="00B025C6">
        <w:rPr>
          <w:rFonts w:asciiTheme="minorHAnsi" w:eastAsia="Times New Roman" w:hAnsiTheme="minorHAnsi" w:cstheme="minorHAnsi"/>
          <w:bCs/>
        </w:rPr>
        <w:t xml:space="preserve">This translation (c) the Estate of S. A. </w:t>
      </w:r>
      <w:proofErr w:type="spellStart"/>
      <w:r w:rsidR="001A0261" w:rsidRPr="00B025C6">
        <w:rPr>
          <w:rFonts w:asciiTheme="minorHAnsi" w:eastAsia="Times New Roman" w:hAnsiTheme="minorHAnsi" w:cstheme="minorHAnsi"/>
          <w:bCs/>
        </w:rPr>
        <w:t>Handford</w:t>
      </w:r>
      <w:proofErr w:type="spellEnd"/>
      <w:r w:rsidR="001A0261" w:rsidRPr="00B025C6">
        <w:rPr>
          <w:rFonts w:asciiTheme="minorHAnsi" w:eastAsia="Times New Roman" w:hAnsiTheme="minorHAnsi" w:cstheme="minorHAnsi"/>
          <w:bCs/>
        </w:rPr>
        <w:t>, 1963.</w:t>
      </w:r>
      <w:proofErr w:type="gramEnd"/>
    </w:p>
    <w:p w:rsidR="001734AE" w:rsidRPr="00E851D5" w:rsidRDefault="001734AE" w:rsidP="007C68C4">
      <w:pPr>
        <w:tabs>
          <w:tab w:val="left" w:pos="1418"/>
        </w:tabs>
      </w:pPr>
    </w:p>
    <w:p w:rsidR="00D96E05" w:rsidRDefault="00D96E05" w:rsidP="007C68C4">
      <w:pPr>
        <w:tabs>
          <w:tab w:val="left" w:pos="1418"/>
        </w:tabs>
        <w:ind w:left="1418" w:hanging="1418"/>
      </w:pPr>
      <w:bookmarkStart w:id="0" w:name="_GoBack"/>
      <w:bookmarkEnd w:id="0"/>
    </w:p>
    <w:p w:rsidR="00D96E05" w:rsidRDefault="00D96E05" w:rsidP="007C68C4">
      <w:pPr>
        <w:tabs>
          <w:tab w:val="left" w:pos="1418"/>
        </w:tabs>
      </w:pPr>
    </w:p>
    <w:p w:rsidR="00D96E05" w:rsidRPr="002C5D23" w:rsidRDefault="00D96E05" w:rsidP="007C68C4">
      <w:pPr>
        <w:tabs>
          <w:tab w:val="left" w:pos="1418"/>
        </w:tabs>
      </w:pPr>
    </w:p>
    <w:sectPr w:rsidR="00D96E05" w:rsidRPr="002C5D23" w:rsidSect="00732A2C">
      <w:headerReference w:type="even" r:id="rId22"/>
      <w:headerReference w:type="default" r:id="rId23"/>
      <w:headerReference w:type="first" r:id="rId24"/>
      <w:footerReference w:type="first" r:id="rId25"/>
      <w:type w:val="evenPage"/>
      <w:pgSz w:w="11906" w:h="16838"/>
      <w:pgMar w:top="1534" w:right="1274" w:bottom="1440" w:left="1276"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0A" w:rsidRDefault="008E660A" w:rsidP="00E851D5">
      <w:r>
        <w:separator/>
      </w:r>
    </w:p>
  </w:endnote>
  <w:endnote w:type="continuationSeparator" w:id="0">
    <w:p w:rsidR="008E660A" w:rsidRDefault="008E660A"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4A6649" w:rsidRDefault="008E660A" w:rsidP="004A6649">
    <w:pPr>
      <w:pStyle w:val="Footer"/>
      <w:pBdr>
        <w:top w:val="single" w:sz="4" w:space="4" w:color="76923C" w:themeColor="accent3" w:themeShade="BF"/>
      </w:pBdr>
      <w:tabs>
        <w:tab w:val="clear" w:pos="4513"/>
        <w:tab w:val="clear" w:pos="9026"/>
      </w:tabs>
      <w:spacing w:before="0"/>
      <w:rPr>
        <w:rFonts w:ascii="Franklin Gothic Book" w:eastAsiaTheme="minorEastAsia" w:hAnsi="Franklin Gothic Book" w:cstheme="minorBidi"/>
        <w:noProof/>
        <w:color w:val="342568"/>
        <w:sz w:val="16"/>
        <w:szCs w:val="16"/>
        <w:lang w:val="en-AU" w:eastAsia="en-US"/>
      </w:rPr>
    </w:pPr>
    <w:r w:rsidRPr="004A6649">
      <w:rPr>
        <w:rFonts w:ascii="Franklin Gothic Book" w:eastAsiaTheme="minorEastAsia" w:hAnsi="Franklin Gothic Book" w:cstheme="minorBidi"/>
        <w:noProof/>
        <w:color w:val="342568"/>
        <w:sz w:val="16"/>
        <w:szCs w:val="16"/>
        <w:lang w:val="en-AU" w:eastAsia="en-US"/>
      </w:rPr>
      <w:t>2014/</w:t>
    </w:r>
    <w:r w:rsidR="001A0261">
      <w:rPr>
        <w:rFonts w:ascii="Franklin Gothic Book" w:eastAsiaTheme="minorEastAsia" w:hAnsi="Franklin Gothic Book" w:cstheme="minorBidi"/>
        <w:noProof/>
        <w:color w:val="342568"/>
        <w:sz w:val="16"/>
        <w:szCs w:val="16"/>
        <w:lang w:val="en-AU" w:eastAsia="en-US"/>
      </w:rPr>
      <w:t>10007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8824FF" w:rsidRDefault="008E660A" w:rsidP="0022405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Course name</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t>| Externally set task (Year 12) | Sample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1734AE" w:rsidRDefault="008E660A" w:rsidP="001734AE">
    <w:pPr>
      <w:pStyle w:val="Footer"/>
      <w:pBdr>
        <w:top w:val="single" w:sz="8" w:space="4" w:color="76923C" w:themeColor="accent3" w:themeShade="BF"/>
      </w:pBdr>
      <w:tabs>
        <w:tab w:val="clear" w:pos="4513"/>
        <w:tab w:val="clear" w:pos="9026"/>
      </w:tabs>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&lt;course name&gt;</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t xml:space="preserve">| Externally set task (Year 12) </w:t>
    </w:r>
    <w:r>
      <w:rPr>
        <w:rFonts w:ascii="Franklin Gothic Book" w:hAnsi="Franklin Gothic Book"/>
        <w:b/>
        <w:noProof/>
        <w:color w:val="5F497A" w:themeColor="accent4" w:themeShade="BF"/>
        <w:sz w:val="18"/>
        <w:szCs w:val="18"/>
      </w:rPr>
      <w:t>&lt;</w:t>
    </w:r>
    <w:r w:rsidRPr="00E851D5">
      <w:rPr>
        <w:rFonts w:ascii="Franklin Gothic Book" w:hAnsi="Franklin Gothic Book"/>
        <w:b/>
        <w:noProof/>
        <w:color w:val="5F497A" w:themeColor="accent4" w:themeShade="BF"/>
        <w:sz w:val="18"/>
        <w:szCs w:val="18"/>
      </w:rPr>
      <w:t>Source Booklet</w:t>
    </w:r>
    <w:r>
      <w:rPr>
        <w:rFonts w:ascii="Franklin Gothic Book" w:hAnsi="Franklin Gothic Book"/>
        <w:b/>
        <w:noProof/>
        <w:color w:val="5F497A" w:themeColor="accent4" w:themeShade="BF"/>
        <w:sz w:val="18"/>
        <w:szCs w:val="18"/>
      </w:rPr>
      <w:t>&gt;</w:t>
    </w:r>
    <w:r w:rsidRPr="00E851D5">
      <w:rPr>
        <w:rFonts w:ascii="Franklin Gothic Book" w:hAnsi="Franklin Gothic Book"/>
        <w:b/>
        <w:noProof/>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br/>
    </w:r>
    <w:r>
      <w:rPr>
        <w:rFonts w:ascii="Franklin Gothic Book" w:hAnsi="Franklin Gothic Book"/>
        <w:b/>
        <w:noProof/>
        <w:color w:val="5F497A" w:themeColor="accent4" w:themeShade="BF"/>
        <w:sz w:val="18"/>
        <w:szCs w:val="18"/>
      </w:rPr>
      <w:t>&lt;title&gt;</w:t>
    </w:r>
    <w:r w:rsidRPr="00E851D5">
      <w:rPr>
        <w:rFonts w:ascii="Franklin Gothic Book" w:hAnsi="Franklin Gothic Book"/>
        <w:b/>
        <w:noProof/>
        <w:color w:val="5F497A" w:themeColor="accent4" w:themeShade="BF"/>
        <w:sz w:val="18"/>
        <w:szCs w:val="18"/>
      </w:rPr>
      <w:t xml:space="preserve"> | Sample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1734AE" w:rsidRDefault="008E660A" w:rsidP="001734AE">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&lt;course name&gt;</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t xml:space="preserve">course | Externally set task (Year 12) Source Booklet </w:t>
    </w:r>
    <w:r w:rsidRPr="00E851D5">
      <w:rPr>
        <w:rFonts w:ascii="Franklin Gothic Book" w:hAnsi="Franklin Gothic Book"/>
        <w:b/>
        <w:noProof/>
        <w:color w:val="5F497A" w:themeColor="accent4" w:themeShade="BF"/>
        <w:sz w:val="18"/>
        <w:szCs w:val="18"/>
      </w:rPr>
      <w:br/>
    </w:r>
    <w:r>
      <w:rPr>
        <w:rFonts w:ascii="Franklin Gothic Book" w:hAnsi="Franklin Gothic Book"/>
        <w:b/>
        <w:noProof/>
        <w:color w:val="5F497A" w:themeColor="accent4" w:themeShade="BF"/>
        <w:sz w:val="18"/>
        <w:szCs w:val="18"/>
      </w:rPr>
      <w:t>&lt;title&gt;</w:t>
    </w:r>
    <w:r w:rsidRPr="00E851D5">
      <w:rPr>
        <w:rFonts w:ascii="Franklin Gothic Book" w:hAnsi="Franklin Gothic Book"/>
        <w:b/>
        <w:noProof/>
        <w:color w:val="5F497A" w:themeColor="accent4" w:themeShade="BF"/>
        <w:sz w:val="18"/>
        <w:szCs w:val="18"/>
      </w:rPr>
      <w:t xml:space="preserve"> | Sample 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1A0261" w:rsidRDefault="001A0261" w:rsidP="00E24C0C">
    <w:pPr>
      <w:pStyle w:val="Footer"/>
      <w:pBdr>
        <w:top w:val="single" w:sz="8" w:space="4" w:color="76923C" w:themeColor="accent3" w:themeShade="BF"/>
      </w:pBdr>
      <w:tabs>
        <w:tab w:val="clear" w:pos="4513"/>
        <w:tab w:val="clear" w:pos="9026"/>
      </w:tabs>
      <w:jc w:val="right"/>
      <w:rPr>
        <w:rFonts w:ascii="Franklin Gothic Book" w:hAnsi="Franklin Gothic Book"/>
        <w:color w:val="5F497A" w:themeColor="accent4" w:themeShade="BF"/>
        <w:sz w:val="18"/>
      </w:rPr>
    </w:pPr>
    <w:r w:rsidRPr="001A0261">
      <w:rPr>
        <w:rFonts w:ascii="Franklin Gothic Book" w:hAnsi="Franklin Gothic Book"/>
        <w:b/>
        <w:noProof/>
        <w:color w:val="5F497A" w:themeColor="accent4" w:themeShade="BF"/>
        <w:sz w:val="18"/>
        <w:szCs w:val="18"/>
      </w:rPr>
      <w:t>Ancient History</w:t>
    </w:r>
    <w:r w:rsidR="008E660A" w:rsidRPr="001A0261">
      <w:rPr>
        <w:rFonts w:ascii="Franklin Gothic Book" w:hAnsi="Franklin Gothic Book"/>
        <w:b/>
        <w:noProof/>
        <w:color w:val="5F497A" w:themeColor="accent4" w:themeShade="BF"/>
        <w:sz w:val="18"/>
        <w:szCs w:val="18"/>
      </w:rPr>
      <w:t xml:space="preserve"> | General</w:t>
    </w:r>
    <w:r w:rsidR="008E660A" w:rsidRPr="001A0261">
      <w:rPr>
        <w:rFonts w:ascii="Franklin Gothic Book" w:hAnsi="Franklin Gothic Book"/>
        <w:b/>
        <w:color w:val="5F497A" w:themeColor="accent4" w:themeShade="BF"/>
        <w:sz w:val="18"/>
        <w:szCs w:val="18"/>
      </w:rPr>
      <w:t xml:space="preserve"> </w:t>
    </w:r>
    <w:r w:rsidR="004A6649" w:rsidRPr="001A0261">
      <w:rPr>
        <w:rFonts w:ascii="Franklin Gothic Book" w:hAnsi="Franklin Gothic Book"/>
        <w:b/>
        <w:noProof/>
        <w:color w:val="5F497A" w:themeColor="accent4" w:themeShade="BF"/>
        <w:sz w:val="18"/>
        <w:szCs w:val="18"/>
      </w:rPr>
      <w:t xml:space="preserve">| Externally set task </w:t>
    </w:r>
    <w:r w:rsidRPr="001A0261">
      <w:rPr>
        <w:rFonts w:ascii="Franklin Gothic Book" w:hAnsi="Franklin Gothic Book"/>
        <w:b/>
        <w:noProof/>
        <w:color w:val="5F497A" w:themeColor="accent4" w:themeShade="BF"/>
        <w:sz w:val="18"/>
        <w:szCs w:val="18"/>
      </w:rPr>
      <w:t>Source Booklet</w:t>
    </w:r>
    <w:r w:rsidR="003F202D">
      <w:rPr>
        <w:rFonts w:ascii="Franklin Gothic Book" w:hAnsi="Franklin Gothic Book"/>
        <w:b/>
        <w:noProof/>
        <w:color w:val="5F497A" w:themeColor="accent4" w:themeShade="BF"/>
        <w:sz w:val="18"/>
        <w:szCs w:val="18"/>
      </w:rPr>
      <w:t xml:space="preserve"> </w:t>
    </w:r>
    <w:r w:rsidR="003F202D" w:rsidRPr="001A0261">
      <w:rPr>
        <w:rFonts w:ascii="Franklin Gothic Book" w:hAnsi="Franklin Gothic Book"/>
        <w:b/>
        <w:noProof/>
        <w:color w:val="5F497A" w:themeColor="accent4" w:themeShade="BF"/>
        <w:sz w:val="18"/>
        <w:szCs w:val="18"/>
      </w:rPr>
      <w:t>|</w:t>
    </w:r>
    <w:r w:rsidR="003F202D">
      <w:rPr>
        <w:rFonts w:ascii="Franklin Gothic Book" w:hAnsi="Franklin Gothic Book"/>
        <w:b/>
        <w:noProof/>
        <w:color w:val="5F497A" w:themeColor="accent4" w:themeShade="BF"/>
        <w:sz w:val="18"/>
        <w:szCs w:val="18"/>
      </w:rPr>
      <w:t xml:space="preserve"> </w:t>
    </w:r>
    <w:r w:rsidRPr="001A0261">
      <w:rPr>
        <w:rFonts w:ascii="Franklin Gothic Book" w:hAnsi="Franklin Gothic Book"/>
        <w:b/>
        <w:noProof/>
        <w:color w:val="5F497A" w:themeColor="accent4" w:themeShade="BF"/>
        <w:sz w:val="18"/>
        <w:szCs w:val="18"/>
      </w:rPr>
      <w:t xml:space="preserve">Rome, the Late Republic </w:t>
    </w:r>
    <w:r w:rsidR="003F202D">
      <w:rPr>
        <w:rFonts w:ascii="Franklin Gothic Book" w:hAnsi="Franklin Gothic Book"/>
        <w:b/>
        <w:noProof/>
        <w:color w:val="5F497A" w:themeColor="accent4" w:themeShade="BF"/>
        <w:sz w:val="18"/>
        <w:szCs w:val="18"/>
      </w:rPr>
      <w:t>| Sample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732A2C" w:rsidRDefault="008E660A" w:rsidP="00732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0A" w:rsidRDefault="008E660A" w:rsidP="00E851D5">
      <w:r>
        <w:separator/>
      </w:r>
    </w:p>
  </w:footnote>
  <w:footnote w:type="continuationSeparator" w:id="0">
    <w:p w:rsidR="008E660A" w:rsidRDefault="008E660A"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rsidP="0022405F">
    <w:pPr>
      <w:pStyle w:val="Header"/>
    </w:pPr>
    <w:r>
      <w:rPr>
        <w:rFonts w:ascii="Arial" w:eastAsia="Times New Roman" w:hAnsi="Arial" w:cs="Arial"/>
        <w:bCs/>
        <w:noProof/>
        <w:kern w:val="28"/>
        <w:sz w:val="20"/>
        <w:szCs w:val="20"/>
        <w:lang w:val="en-AU" w:eastAsia="en-AU"/>
      </w:rPr>
      <w:drawing>
        <wp:inline distT="0" distB="0" distL="0" distR="0" wp14:anchorId="084233B7" wp14:editId="6EC6B437">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8E660A" w:rsidRPr="001C7418" w:rsidRDefault="008E660A" w:rsidP="002240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E24C0C">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5F497A" w:themeColor="accent4" w:themeShade="BF"/>
        <w:sz w:val="32"/>
      </w:rPr>
    </w:pPr>
    <w:r w:rsidRPr="00E24C0C">
      <w:rPr>
        <w:rFonts w:ascii="Franklin Gothic Book" w:hAnsi="Franklin Gothic Book"/>
        <w:b/>
        <w:color w:val="5F497A" w:themeColor="accent4" w:themeShade="BF"/>
        <w:sz w:val="32"/>
      </w:rPr>
      <w:fldChar w:fldCharType="begin"/>
    </w:r>
    <w:r w:rsidRPr="00E24C0C">
      <w:rPr>
        <w:rFonts w:ascii="Franklin Gothic Book" w:hAnsi="Franklin Gothic Book"/>
        <w:b/>
        <w:color w:val="5F497A" w:themeColor="accent4" w:themeShade="BF"/>
        <w:sz w:val="32"/>
      </w:rPr>
      <w:instrText xml:space="preserve"> PAGE   \* MERGEFORMAT </w:instrText>
    </w:r>
    <w:r w:rsidRPr="00E24C0C">
      <w:rPr>
        <w:rFonts w:ascii="Franklin Gothic Book" w:hAnsi="Franklin Gothic Book"/>
        <w:b/>
        <w:color w:val="5F497A" w:themeColor="accent4" w:themeShade="BF"/>
        <w:sz w:val="32"/>
      </w:rPr>
      <w:fldChar w:fldCharType="separate"/>
    </w:r>
    <w:r>
      <w:rPr>
        <w:rFonts w:ascii="Franklin Gothic Book" w:hAnsi="Franklin Gothic Book"/>
        <w:b/>
        <w:noProof/>
        <w:color w:val="5F497A" w:themeColor="accent4" w:themeShade="BF"/>
        <w:sz w:val="32"/>
      </w:rPr>
      <w:t>2</w:t>
    </w:r>
    <w:r w:rsidRPr="00E24C0C">
      <w:rPr>
        <w:rFonts w:ascii="Franklin Gothic Book" w:hAnsi="Franklin Gothic Book"/>
        <w:b/>
        <w:noProof/>
        <w:color w:val="5F497A" w:themeColor="accent4" w:themeShade="BF"/>
        <w:sz w:val="32"/>
      </w:rPr>
      <w:fldChar w:fldCharType="end"/>
    </w:r>
  </w:p>
  <w:p w:rsidR="008E660A" w:rsidRPr="009D1C81" w:rsidRDefault="008E660A" w:rsidP="00E851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4D6804">
    <w:pPr>
      <w:pStyle w:val="Header"/>
      <w:pBdr>
        <w:bottom w:val="single" w:sz="8" w:space="1" w:color="76923C" w:themeColor="accent3" w:themeShade="BF"/>
      </w:pBdr>
      <w:tabs>
        <w:tab w:val="clear" w:pos="4513"/>
        <w:tab w:val="clear" w:pos="9026"/>
      </w:tabs>
      <w:ind w:left="9356" w:right="-1274"/>
      <w:rPr>
        <w:rFonts w:ascii="Franklin Gothic Book" w:hAnsi="Franklin Gothic Book"/>
        <w:color w:val="5F497A" w:themeColor="accent4" w:themeShade="BF"/>
        <w:sz w:val="32"/>
      </w:rPr>
    </w:pPr>
    <w:r w:rsidRPr="00E24C0C">
      <w:rPr>
        <w:rFonts w:ascii="Franklin Gothic Book" w:hAnsi="Franklin Gothic Book"/>
        <w:color w:val="5F497A" w:themeColor="accent4" w:themeShade="BF"/>
        <w:sz w:val="32"/>
      </w:rPr>
      <w:fldChar w:fldCharType="begin"/>
    </w:r>
    <w:r w:rsidRPr="00E24C0C">
      <w:rPr>
        <w:rFonts w:ascii="Franklin Gothic Book" w:hAnsi="Franklin Gothic Book"/>
        <w:color w:val="5F497A" w:themeColor="accent4" w:themeShade="BF"/>
        <w:sz w:val="32"/>
      </w:rPr>
      <w:instrText xml:space="preserve"> PAGE   \* MERGEFORMAT </w:instrText>
    </w:r>
    <w:r w:rsidRPr="00E24C0C">
      <w:rPr>
        <w:rFonts w:ascii="Franklin Gothic Book" w:hAnsi="Franklin Gothic Book"/>
        <w:color w:val="5F497A" w:themeColor="accent4" w:themeShade="BF"/>
        <w:sz w:val="32"/>
      </w:rPr>
      <w:fldChar w:fldCharType="separate"/>
    </w:r>
    <w:r>
      <w:rPr>
        <w:rFonts w:ascii="Franklin Gothic Book" w:hAnsi="Franklin Gothic Book"/>
        <w:noProof/>
        <w:color w:val="5F497A" w:themeColor="accent4" w:themeShade="BF"/>
        <w:sz w:val="32"/>
      </w:rPr>
      <w:t>3</w:t>
    </w:r>
    <w:r w:rsidRPr="00E24C0C">
      <w:rPr>
        <w:rFonts w:ascii="Franklin Gothic Book" w:hAnsi="Franklin Gothic Book"/>
        <w:noProof/>
        <w:color w:val="5F497A" w:themeColor="accent4" w:themeShade="BF"/>
        <w:sz w:val="32"/>
      </w:rPr>
      <w:fldChar w:fldCharType="end"/>
    </w:r>
  </w:p>
  <w:p w:rsidR="008E660A" w:rsidRPr="004D6804" w:rsidRDefault="008E660A" w:rsidP="004D68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E24C0C">
    <w:pPr>
      <w:pStyle w:val="Header"/>
      <w:pBdr>
        <w:bottom w:val="single" w:sz="8" w:space="1" w:color="76923C" w:themeColor="accent3" w:themeShade="BF"/>
      </w:pBdr>
      <w:tabs>
        <w:tab w:val="clear" w:pos="4513"/>
        <w:tab w:val="clear" w:pos="9026"/>
      </w:tabs>
      <w:ind w:left="9356" w:right="-1274"/>
      <w:rPr>
        <w:rFonts w:ascii="Franklin Gothic Book" w:hAnsi="Franklin Gothic Book"/>
        <w:color w:val="5F497A" w:themeColor="accent4" w:themeShade="BF"/>
        <w:sz w:val="32"/>
      </w:rPr>
    </w:pPr>
    <w:r w:rsidRPr="00E24C0C">
      <w:rPr>
        <w:rFonts w:ascii="Franklin Gothic Book" w:hAnsi="Franklin Gothic Book"/>
        <w:color w:val="5F497A" w:themeColor="accent4" w:themeShade="BF"/>
        <w:sz w:val="32"/>
      </w:rPr>
      <w:fldChar w:fldCharType="begin"/>
    </w:r>
    <w:r w:rsidRPr="00E24C0C">
      <w:rPr>
        <w:rFonts w:ascii="Franklin Gothic Book" w:hAnsi="Franklin Gothic Book"/>
        <w:color w:val="5F497A" w:themeColor="accent4" w:themeShade="BF"/>
        <w:sz w:val="32"/>
      </w:rPr>
      <w:instrText xml:space="preserve"> PAGE   \* MERGEFORMAT </w:instrText>
    </w:r>
    <w:r w:rsidRPr="00E24C0C">
      <w:rPr>
        <w:rFonts w:ascii="Franklin Gothic Book" w:hAnsi="Franklin Gothic Book"/>
        <w:color w:val="5F497A" w:themeColor="accent4" w:themeShade="BF"/>
        <w:sz w:val="32"/>
      </w:rPr>
      <w:fldChar w:fldCharType="separate"/>
    </w:r>
    <w:r w:rsidR="00051597">
      <w:rPr>
        <w:rFonts w:ascii="Franklin Gothic Book" w:hAnsi="Franklin Gothic Book"/>
        <w:noProof/>
        <w:color w:val="5F497A" w:themeColor="accent4" w:themeShade="BF"/>
        <w:sz w:val="32"/>
      </w:rPr>
      <w:t>1</w:t>
    </w:r>
    <w:r w:rsidRPr="00E24C0C">
      <w:rPr>
        <w:rFonts w:ascii="Franklin Gothic Book" w:hAnsi="Franklin Gothic Book"/>
        <w:noProof/>
        <w:color w:val="5F497A" w:themeColor="accent4" w:themeShade="BF"/>
        <w:sz w:val="32"/>
      </w:rPr>
      <w:fldChar w:fldCharType="end"/>
    </w:r>
  </w:p>
  <w:p w:rsidR="008E660A" w:rsidRPr="009D1C81" w:rsidRDefault="008E660A" w:rsidP="00E851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732A2C" w:rsidRDefault="008E660A" w:rsidP="00732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51597"/>
    <w:rsid w:val="00091447"/>
    <w:rsid w:val="00162AFB"/>
    <w:rsid w:val="001734AE"/>
    <w:rsid w:val="001A0261"/>
    <w:rsid w:val="001A3D77"/>
    <w:rsid w:val="001D47F9"/>
    <w:rsid w:val="0022405F"/>
    <w:rsid w:val="00242F9E"/>
    <w:rsid w:val="00244B87"/>
    <w:rsid w:val="002926BA"/>
    <w:rsid w:val="00294035"/>
    <w:rsid w:val="002C5D23"/>
    <w:rsid w:val="002E38D7"/>
    <w:rsid w:val="002F171D"/>
    <w:rsid w:val="0031476D"/>
    <w:rsid w:val="00320CB2"/>
    <w:rsid w:val="00332C0F"/>
    <w:rsid w:val="0038361A"/>
    <w:rsid w:val="00384340"/>
    <w:rsid w:val="003C30BA"/>
    <w:rsid w:val="003F202D"/>
    <w:rsid w:val="0043295D"/>
    <w:rsid w:val="00443F3B"/>
    <w:rsid w:val="004A6649"/>
    <w:rsid w:val="004A7C22"/>
    <w:rsid w:val="004D6804"/>
    <w:rsid w:val="00555C29"/>
    <w:rsid w:val="005628FB"/>
    <w:rsid w:val="005A1968"/>
    <w:rsid w:val="005B31E6"/>
    <w:rsid w:val="005E6602"/>
    <w:rsid w:val="00623C1E"/>
    <w:rsid w:val="00725C63"/>
    <w:rsid w:val="00732A2C"/>
    <w:rsid w:val="0079667B"/>
    <w:rsid w:val="007C68C4"/>
    <w:rsid w:val="00801AAC"/>
    <w:rsid w:val="00813711"/>
    <w:rsid w:val="00890EAA"/>
    <w:rsid w:val="008A1A63"/>
    <w:rsid w:val="008C74B9"/>
    <w:rsid w:val="008D1E31"/>
    <w:rsid w:val="008E660A"/>
    <w:rsid w:val="008F5555"/>
    <w:rsid w:val="00910DE1"/>
    <w:rsid w:val="009402DC"/>
    <w:rsid w:val="009915B9"/>
    <w:rsid w:val="009D1C81"/>
    <w:rsid w:val="009E071D"/>
    <w:rsid w:val="009E4966"/>
    <w:rsid w:val="00A12B8C"/>
    <w:rsid w:val="00A726B2"/>
    <w:rsid w:val="00B238A1"/>
    <w:rsid w:val="00B802FE"/>
    <w:rsid w:val="00C100F0"/>
    <w:rsid w:val="00C5704F"/>
    <w:rsid w:val="00CB1DD9"/>
    <w:rsid w:val="00CC422F"/>
    <w:rsid w:val="00CD5771"/>
    <w:rsid w:val="00D114EF"/>
    <w:rsid w:val="00D1273B"/>
    <w:rsid w:val="00D30F6E"/>
    <w:rsid w:val="00D3682B"/>
    <w:rsid w:val="00D96E05"/>
    <w:rsid w:val="00DD124D"/>
    <w:rsid w:val="00E066E7"/>
    <w:rsid w:val="00E24C0C"/>
    <w:rsid w:val="00E30B22"/>
    <w:rsid w:val="00E45E71"/>
    <w:rsid w:val="00E65199"/>
    <w:rsid w:val="00E851D5"/>
    <w:rsid w:val="00EB5D28"/>
    <w:rsid w:val="00EE3F32"/>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43295D"/>
    <w:pPr>
      <w:spacing w:line="264" w:lineRule="auto"/>
      <w:ind w:right="68"/>
      <w:jc w:val="both"/>
      <w:outlineLvl w:val="0"/>
    </w:pPr>
    <w:rPr>
      <w:rFonts w:ascii="Franklin Gothic Medium" w:hAnsi="Franklin Gothic Medium"/>
      <w:color w:val="5F497A" w:themeColor="accent4" w:themeShade="BF"/>
      <w:sz w:val="44"/>
      <w:szCs w:val="44"/>
    </w:rPr>
  </w:style>
  <w:style w:type="paragraph" w:styleId="Heading2">
    <w:name w:val="heading 2"/>
    <w:basedOn w:val="Heading3"/>
    <w:next w:val="Normal"/>
    <w:link w:val="Heading2Char"/>
    <w:uiPriority w:val="9"/>
    <w:unhideWhenUsed/>
    <w:qFormat/>
    <w:rsid w:val="0043295D"/>
    <w:pPr>
      <w:outlineLvl w:val="1"/>
    </w:pPr>
    <w:rPr>
      <w:rFonts w:ascii="Franklin Gothic Book" w:hAnsi="Franklin Gothic Book"/>
      <w:b w:val="0"/>
      <w:color w:val="5F497A" w:themeColor="accent4" w:themeShade="BF"/>
      <w:sz w:val="28"/>
      <w:szCs w:val="28"/>
    </w:rPr>
  </w:style>
  <w:style w:type="paragraph" w:styleId="Heading3">
    <w:name w:val="heading 3"/>
    <w:basedOn w:val="Normal"/>
    <w:next w:val="Normal"/>
    <w:link w:val="Heading3Char"/>
    <w:uiPriority w:val="9"/>
    <w:unhideWhenUsed/>
    <w:qFormat/>
    <w:rsid w:val="0022405F"/>
    <w:pPr>
      <w:spacing w:before="480" w:after="240"/>
      <w:outlineLvl w:val="2"/>
    </w:pPr>
    <w:rPr>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43295D"/>
    <w:rPr>
      <w:rFonts w:ascii="Franklin Gothic Medium" w:eastAsia="MS Mincho" w:hAnsi="Franklin Gothic Medium" w:cs="Calibri"/>
      <w:color w:val="5F497A" w:themeColor="accent4" w:themeShade="BF"/>
      <w:sz w:val="44"/>
      <w:szCs w:val="44"/>
      <w:lang w:val="en-GB" w:eastAsia="ja-JP"/>
    </w:rPr>
  </w:style>
  <w:style w:type="character" w:customStyle="1" w:styleId="Heading3Char">
    <w:name w:val="Heading 3 Char"/>
    <w:basedOn w:val="DefaultParagraphFont"/>
    <w:link w:val="Heading3"/>
    <w:uiPriority w:val="9"/>
    <w:rsid w:val="0022405F"/>
    <w:rPr>
      <w:rFonts w:ascii="Calibri" w:eastAsia="MS Mincho" w:hAnsi="Calibri" w:cs="Calibri"/>
      <w:b/>
      <w:smallCaps/>
      <w:sz w:val="24"/>
      <w:szCs w:val="24"/>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3295D"/>
    <w:rPr>
      <w:rFonts w:ascii="Franklin Gothic Book" w:eastAsia="MS Mincho" w:hAnsi="Franklin Gothic Book" w:cs="Calibri"/>
      <w:color w:val="5F497A" w:themeColor="accent4" w:themeShade="BF"/>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43295D"/>
    <w:pPr>
      <w:spacing w:line="264" w:lineRule="auto"/>
      <w:ind w:right="68"/>
      <w:jc w:val="both"/>
      <w:outlineLvl w:val="0"/>
    </w:pPr>
    <w:rPr>
      <w:rFonts w:ascii="Franklin Gothic Medium" w:hAnsi="Franklin Gothic Medium"/>
      <w:color w:val="5F497A" w:themeColor="accent4" w:themeShade="BF"/>
      <w:sz w:val="44"/>
      <w:szCs w:val="44"/>
    </w:rPr>
  </w:style>
  <w:style w:type="paragraph" w:styleId="Heading2">
    <w:name w:val="heading 2"/>
    <w:basedOn w:val="Heading3"/>
    <w:next w:val="Normal"/>
    <w:link w:val="Heading2Char"/>
    <w:uiPriority w:val="9"/>
    <w:unhideWhenUsed/>
    <w:qFormat/>
    <w:rsid w:val="0043295D"/>
    <w:pPr>
      <w:outlineLvl w:val="1"/>
    </w:pPr>
    <w:rPr>
      <w:rFonts w:ascii="Franklin Gothic Book" w:hAnsi="Franklin Gothic Book"/>
      <w:b w:val="0"/>
      <w:color w:val="5F497A" w:themeColor="accent4" w:themeShade="BF"/>
      <w:sz w:val="28"/>
      <w:szCs w:val="28"/>
    </w:rPr>
  </w:style>
  <w:style w:type="paragraph" w:styleId="Heading3">
    <w:name w:val="heading 3"/>
    <w:basedOn w:val="Normal"/>
    <w:next w:val="Normal"/>
    <w:link w:val="Heading3Char"/>
    <w:uiPriority w:val="9"/>
    <w:unhideWhenUsed/>
    <w:qFormat/>
    <w:rsid w:val="0022405F"/>
    <w:pPr>
      <w:spacing w:before="480" w:after="240"/>
      <w:outlineLvl w:val="2"/>
    </w:pPr>
    <w:rPr>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43295D"/>
    <w:rPr>
      <w:rFonts w:ascii="Franklin Gothic Medium" w:eastAsia="MS Mincho" w:hAnsi="Franklin Gothic Medium" w:cs="Calibri"/>
      <w:color w:val="5F497A" w:themeColor="accent4" w:themeShade="BF"/>
      <w:sz w:val="44"/>
      <w:szCs w:val="44"/>
      <w:lang w:val="en-GB" w:eastAsia="ja-JP"/>
    </w:rPr>
  </w:style>
  <w:style w:type="character" w:customStyle="1" w:styleId="Heading3Char">
    <w:name w:val="Heading 3 Char"/>
    <w:basedOn w:val="DefaultParagraphFont"/>
    <w:link w:val="Heading3"/>
    <w:uiPriority w:val="9"/>
    <w:rsid w:val="0022405F"/>
    <w:rPr>
      <w:rFonts w:ascii="Calibri" w:eastAsia="MS Mincho" w:hAnsi="Calibri" w:cs="Calibri"/>
      <w:b/>
      <w:smallCaps/>
      <w:sz w:val="24"/>
      <w:szCs w:val="24"/>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3295D"/>
    <w:rPr>
      <w:rFonts w:ascii="Franklin Gothic Book" w:eastAsia="MS Mincho" w:hAnsi="Franklin Gothic Book" w:cs="Calibri"/>
      <w:color w:val="5F497A" w:themeColor="accent4" w:themeShade="BF"/>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8990A-8A7B-494A-985B-44CC83EA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8</cp:revision>
  <cp:lastPrinted>2014-03-28T01:20:00Z</cp:lastPrinted>
  <dcterms:created xsi:type="dcterms:W3CDTF">2014-03-20T02:54:00Z</dcterms:created>
  <dcterms:modified xsi:type="dcterms:W3CDTF">2014-03-28T01:20:00Z</dcterms:modified>
</cp:coreProperties>
</file>