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589CFF7" w:rsidR="00A93F91" w:rsidRPr="00E53506" w:rsidRDefault="00103478" w:rsidP="00227D40">
      <w:pPr>
        <w:pStyle w:val="SCSATitle1"/>
        <w:rPr>
          <w:rFonts w:ascii="Calibri" w:hAnsi="Calibri"/>
        </w:rPr>
      </w:pPr>
      <w:r w:rsidRPr="00E53506">
        <w:rPr>
          <w:noProof/>
        </w:rPr>
        <w:drawing>
          <wp:anchor distT="0" distB="0" distL="114300" distR="114300" simplePos="0" relativeHeight="251659264" behindDoc="1" locked="0" layoutInCell="1" allowOverlap="1" wp14:anchorId="46F3D630" wp14:editId="0055FED7">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086571">
        <w:rPr>
          <w:noProof/>
        </w:rPr>
        <w:t>Materials Design</w:t>
      </w:r>
      <w:r w:rsidR="00AC565C">
        <w:rPr>
          <w:noProof/>
        </w:rPr>
        <w:t xml:space="preserve"> and Technology</w:t>
      </w:r>
    </w:p>
    <w:p w14:paraId="48A9D027" w14:textId="6C2A0478" w:rsidR="00AA2B0D" w:rsidRPr="00A93F91" w:rsidRDefault="00086571" w:rsidP="00227D40">
      <w:pPr>
        <w:pStyle w:val="SCSATitle2"/>
      </w:pPr>
      <w:r>
        <w:t>ATAR</w:t>
      </w:r>
      <w:r w:rsidR="00AC565C">
        <w:t xml:space="preserve"> </w:t>
      </w:r>
      <w:r w:rsidR="00AA2B0D" w:rsidRPr="00A93F91">
        <w:t>course</w:t>
      </w:r>
    </w:p>
    <w:p w14:paraId="48E1D5DD" w14:textId="0529BA5E" w:rsidR="001F2E53" w:rsidRDefault="00326EAC" w:rsidP="00227D40">
      <w:pPr>
        <w:pStyle w:val="SCSATitle3"/>
      </w:pPr>
      <w:r w:rsidRPr="00B41296">
        <w:t xml:space="preserve">Year </w:t>
      </w:r>
      <w:r w:rsidR="00516F12">
        <w:t>1</w:t>
      </w:r>
      <w:r w:rsidR="00D5356D">
        <w:t>2</w:t>
      </w:r>
      <w:r w:rsidR="00F06A09">
        <w:t xml:space="preserve"> </w:t>
      </w:r>
      <w:r w:rsidR="00FC77F4">
        <w:t>s</w:t>
      </w:r>
      <w:r w:rsidRPr="00B41296">
        <w:t xml:space="preserve">yllabus </w:t>
      </w:r>
      <w:r w:rsidR="00FE6119">
        <w:t xml:space="preserve">– What’s changing: General capabilities </w:t>
      </w:r>
    </w:p>
    <w:p w14:paraId="35A356C3" w14:textId="0CEAFBE8" w:rsidR="002C05E5" w:rsidRPr="00B41296" w:rsidRDefault="001F2E53" w:rsidP="00227D40">
      <w:pPr>
        <w:pStyle w:val="SCSATitle3"/>
      </w:pPr>
      <w:bookmarkStart w:id="0" w:name="_Hlk197502329"/>
      <w:r>
        <w:t xml:space="preserve">For teaching in </w:t>
      </w:r>
      <w:bookmarkEnd w:id="0"/>
      <w:r w:rsidR="00516F12">
        <w:t>202</w:t>
      </w:r>
      <w:r w:rsidR="00D5356D">
        <w:t>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4C8AFDAF" w14:textId="77777777" w:rsidR="00D12E77" w:rsidRPr="00D12E77" w:rsidRDefault="00D12E77" w:rsidP="00D12E77">
      <w:pPr>
        <w:spacing w:after="160" w:line="259" w:lineRule="auto"/>
        <w:rPr>
          <w:rFonts w:ascii="Calibri" w:eastAsia="DengXian" w:hAnsi="Calibri" w:cs="Calibri"/>
          <w:b/>
          <w:bCs/>
          <w:lang w:eastAsia="zh-CN"/>
          <w14:ligatures w14:val="standardContextual"/>
        </w:rPr>
      </w:pPr>
      <w:r w:rsidRPr="00D12E77">
        <w:rPr>
          <w:rFonts w:ascii="Calibri" w:eastAsia="DengXian" w:hAnsi="Calibri" w:cs="Calibri"/>
          <w:b/>
          <w:bCs/>
          <w:lang w:eastAsia="zh-CN"/>
          <w14:ligatures w14:val="standardContextual"/>
        </w:rPr>
        <w:t xml:space="preserve">Background </w:t>
      </w:r>
    </w:p>
    <w:p w14:paraId="0B330628" w14:textId="77777777" w:rsidR="00D12E77" w:rsidRPr="00D12E77" w:rsidRDefault="00D12E77" w:rsidP="00D12E77">
      <w:pPr>
        <w:spacing w:after="160" w:line="259" w:lineRule="auto"/>
        <w:rPr>
          <w:rFonts w:ascii="Calibri" w:eastAsia="DengXian" w:hAnsi="Calibri" w:cs="Calibri"/>
          <w:lang w:eastAsia="zh-CN"/>
          <w14:ligatures w14:val="standardContextual"/>
        </w:rPr>
      </w:pPr>
      <w:r w:rsidRPr="00D12E77">
        <w:rPr>
          <w:rFonts w:ascii="Calibri" w:eastAsia="DengXian" w:hAnsi="Calibri" w:cs="Calibri"/>
          <w:lang w:eastAsia="zh-CN"/>
          <w14:ligatures w14:val="standardContextual"/>
        </w:rPr>
        <w:t xml:space="preserve">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 </w:t>
      </w:r>
    </w:p>
    <w:p w14:paraId="3F7FEF5E" w14:textId="77777777" w:rsidR="00D12E77" w:rsidRPr="00D12E77" w:rsidRDefault="00D12E77" w:rsidP="00D12E77">
      <w:pPr>
        <w:spacing w:after="1440" w:line="259" w:lineRule="auto"/>
        <w:rPr>
          <w:rFonts w:ascii="Calibri" w:eastAsia="DengXian" w:hAnsi="Calibri" w:cs="Calibri"/>
          <w:lang w:eastAsia="zh-CN"/>
          <w14:ligatures w14:val="standardContextual"/>
        </w:rPr>
      </w:pPr>
      <w:r w:rsidRPr="00D12E77">
        <w:rPr>
          <w:rFonts w:ascii="Calibri" w:eastAsia="DengXian" w:hAnsi="Calibri" w:cs="Calibri"/>
          <w:lang w:eastAsia="zh-CN"/>
          <w14:ligatures w14:val="standardContextual"/>
        </w:rPr>
        <w:t xml:space="preserve">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 </w:t>
      </w:r>
    </w:p>
    <w:p w14:paraId="2A0EC3E3" w14:textId="77777777" w:rsidR="00D12E77" w:rsidRPr="00D12E77" w:rsidRDefault="00D12E77" w:rsidP="00D12E77">
      <w:pPr>
        <w:spacing w:after="160" w:line="259" w:lineRule="auto"/>
        <w:rPr>
          <w:rFonts w:ascii="Calibri" w:eastAsia="DengXian" w:hAnsi="Calibri" w:cs="Calibri"/>
          <w:b/>
          <w:bCs/>
          <w:sz w:val="20"/>
          <w:szCs w:val="20"/>
          <w:lang w:eastAsia="zh-CN"/>
          <w14:ligatures w14:val="standardContextual"/>
        </w:rPr>
      </w:pPr>
      <w:r w:rsidRPr="00D12E77">
        <w:rPr>
          <w:rFonts w:ascii="Calibri" w:eastAsia="DengXian" w:hAnsi="Calibri" w:cs="Calibri"/>
          <w:b/>
          <w:bCs/>
          <w:sz w:val="20"/>
          <w:szCs w:val="20"/>
          <w:lang w:eastAsia="zh-CN"/>
          <w14:ligatures w14:val="standardContextual"/>
        </w:rPr>
        <w:t xml:space="preserve">Important information </w:t>
      </w:r>
    </w:p>
    <w:p w14:paraId="137DB408" w14:textId="77777777" w:rsidR="00D12E77" w:rsidRPr="00D12E77" w:rsidRDefault="00D12E77" w:rsidP="00D12E77">
      <w:pPr>
        <w:spacing w:after="160" w:line="259" w:lineRule="auto"/>
        <w:rPr>
          <w:rFonts w:ascii="Calibri" w:eastAsia="DengXian" w:hAnsi="Calibri" w:cs="Calibri"/>
          <w:b/>
          <w:bCs/>
          <w:sz w:val="20"/>
          <w:szCs w:val="20"/>
          <w:lang w:eastAsia="zh-CN"/>
          <w14:ligatures w14:val="standardContextual"/>
        </w:rPr>
      </w:pPr>
      <w:r w:rsidRPr="00D12E77">
        <w:rPr>
          <w:rFonts w:ascii="Calibri" w:eastAsia="DengXian" w:hAnsi="Calibri" w:cs="Calibri"/>
          <w:b/>
          <w:bCs/>
          <w:sz w:val="20"/>
          <w:szCs w:val="20"/>
          <w:lang w:eastAsia="zh-CN"/>
          <w14:ligatures w14:val="standardContextual"/>
        </w:rPr>
        <w:t xml:space="preserve">WACE Refreshment: Investigating the assessment and reporting of the general capabilities on the Western Australian Statement of Student Achievement (WASSA) </w:t>
      </w:r>
    </w:p>
    <w:p w14:paraId="58706535" w14:textId="77777777" w:rsidR="00D12E77" w:rsidRPr="00D12E77" w:rsidRDefault="00D12E77" w:rsidP="00D12E77">
      <w:pPr>
        <w:spacing w:after="160" w:line="259" w:lineRule="auto"/>
        <w:rPr>
          <w:rFonts w:ascii="Calibri" w:eastAsia="DengXian" w:hAnsi="Calibri" w:cs="Calibri"/>
          <w:sz w:val="20"/>
          <w:szCs w:val="20"/>
          <w:lang w:eastAsia="zh-CN"/>
          <w14:ligatures w14:val="standardContextual"/>
        </w:rPr>
      </w:pPr>
      <w:r w:rsidRPr="00D12E77">
        <w:rPr>
          <w:rFonts w:ascii="Calibri" w:eastAsia="DengXian" w:hAnsi="Calibri" w:cs="Calibri"/>
          <w:sz w:val="20"/>
          <w:szCs w:val="20"/>
          <w:lang w:eastAsia="zh-CN"/>
          <w14:ligatures w14:val="standardContextual"/>
        </w:rPr>
        <w:t xml:space="preserve">This document contains information that will be included in the syllabus effective from 1 January 2027. </w:t>
      </w:r>
    </w:p>
    <w:p w14:paraId="6AE774F9" w14:textId="77777777" w:rsidR="00D12E77" w:rsidRPr="00D12E77" w:rsidRDefault="00D12E77" w:rsidP="00D12E77">
      <w:pPr>
        <w:spacing w:after="160" w:line="259" w:lineRule="auto"/>
        <w:rPr>
          <w:rFonts w:ascii="Calibri" w:eastAsia="DengXian" w:hAnsi="Calibri" w:cs="Calibri"/>
          <w:sz w:val="20"/>
          <w:szCs w:val="20"/>
          <w:lang w:eastAsia="zh-CN"/>
          <w14:ligatures w14:val="standardContextual"/>
        </w:rPr>
      </w:pPr>
      <w:r w:rsidRPr="00D12E77">
        <w:rPr>
          <w:rFonts w:ascii="Calibri" w:eastAsia="DengXian" w:hAnsi="Calibri" w:cs="Calibri"/>
          <w:sz w:val="20"/>
          <w:szCs w:val="20"/>
          <w:lang w:eastAsia="zh-CN"/>
          <w14:ligatures w14:val="standardContextual"/>
        </w:rPr>
        <w:t xml:space="preserve">Users of the syllabus are responsible for checking its currency. </w:t>
      </w:r>
    </w:p>
    <w:p w14:paraId="4C7F62AD" w14:textId="77777777" w:rsidR="00D12E77" w:rsidRPr="00D12E77" w:rsidRDefault="00D12E77" w:rsidP="00D12E77">
      <w:pPr>
        <w:spacing w:after="160" w:line="259" w:lineRule="auto"/>
        <w:rPr>
          <w:rFonts w:ascii="Calibri" w:eastAsia="DengXian" w:hAnsi="Calibri" w:cs="Calibri"/>
          <w:sz w:val="20"/>
          <w:szCs w:val="20"/>
          <w:lang w:eastAsia="zh-CN"/>
          <w14:ligatures w14:val="standardContextual"/>
        </w:rPr>
      </w:pPr>
      <w:r w:rsidRPr="00D12E77">
        <w:rPr>
          <w:rFonts w:ascii="Calibri" w:eastAsia="DengXian" w:hAnsi="Calibri" w:cs="Calibri"/>
          <w:sz w:val="20"/>
          <w:szCs w:val="20"/>
          <w:lang w:eastAsia="zh-CN"/>
          <w14:ligatures w14:val="standardContextual"/>
        </w:rPr>
        <w:t xml:space="preserve">Syllabuses are formally reviewed by the Authority on a cyclical basis, typically every five years. </w:t>
      </w:r>
    </w:p>
    <w:p w14:paraId="4DF9682E" w14:textId="77777777" w:rsidR="00D12E77" w:rsidRPr="00D12E77" w:rsidRDefault="00D12E77" w:rsidP="00D12E77">
      <w:pPr>
        <w:spacing w:after="160" w:line="259" w:lineRule="auto"/>
        <w:jc w:val="both"/>
        <w:rPr>
          <w:rFonts w:ascii="Calibri" w:eastAsia="DengXian" w:hAnsi="Calibri" w:cs="Calibri"/>
          <w:b/>
          <w:sz w:val="20"/>
          <w:szCs w:val="20"/>
          <w:lang w:eastAsia="zh-CN"/>
          <w14:ligatures w14:val="standardContextual"/>
        </w:rPr>
      </w:pPr>
      <w:r w:rsidRPr="00D12E77">
        <w:rPr>
          <w:rFonts w:ascii="Calibri" w:eastAsia="DengXian" w:hAnsi="Calibri" w:cs="Calibri"/>
          <w:b/>
          <w:sz w:val="20"/>
          <w:szCs w:val="20"/>
          <w:lang w:eastAsia="zh-CN"/>
          <w14:ligatures w14:val="standardContextual"/>
        </w:rPr>
        <w:t>Copyright</w:t>
      </w:r>
    </w:p>
    <w:p w14:paraId="741E84AD" w14:textId="77777777" w:rsidR="00D12E77" w:rsidRPr="00D12E77" w:rsidRDefault="00D12E77" w:rsidP="00D12E77">
      <w:pPr>
        <w:jc w:val="both"/>
        <w:rPr>
          <w:rFonts w:ascii="Calibri" w:eastAsia="DengXian" w:hAnsi="Calibri" w:cs="Calibri"/>
          <w:sz w:val="20"/>
          <w:szCs w:val="20"/>
          <w:lang w:val="en-GB" w:eastAsia="zh-CN"/>
          <w14:ligatures w14:val="standardContextual"/>
        </w:rPr>
      </w:pPr>
      <w:r w:rsidRPr="00D12E77">
        <w:rPr>
          <w:rFonts w:ascii="Calibri" w:eastAsia="DengXian" w:hAnsi="Calibri" w:cs="Calibri"/>
          <w:sz w:val="20"/>
          <w:szCs w:val="20"/>
          <w:lang w:val="en-GB" w:eastAsia="zh-CN"/>
          <w14:ligatures w14:val="standardContextual"/>
        </w:rPr>
        <w:t>© School Curriculum and Standards Authority, 2025</w:t>
      </w:r>
    </w:p>
    <w:p w14:paraId="51D4C420" w14:textId="77777777" w:rsidR="00D12E77" w:rsidRPr="00D12E77" w:rsidRDefault="00D12E77" w:rsidP="00D12E77">
      <w:pPr>
        <w:rPr>
          <w:rFonts w:ascii="Calibri" w:eastAsia="DengXian" w:hAnsi="Calibri" w:cs="Calibri"/>
          <w:sz w:val="20"/>
          <w:szCs w:val="20"/>
          <w:lang w:eastAsia="zh-CN"/>
          <w14:ligatures w14:val="standardContextual"/>
        </w:rPr>
      </w:pPr>
      <w:r w:rsidRPr="00D12E77">
        <w:rPr>
          <w:rFonts w:ascii="Calibri" w:eastAsia="DengXian" w:hAnsi="Calibri" w:cs="Calibri"/>
          <w:sz w:val="20"/>
          <w:szCs w:val="20"/>
          <w:lang w:eastAsia="zh-CN"/>
          <w14:ligatures w14:val="standardContextual"/>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6A74F363" w14:textId="77777777" w:rsidR="00D12E77" w:rsidRPr="00D12E77" w:rsidRDefault="00D12E77" w:rsidP="00D12E77">
      <w:pPr>
        <w:rPr>
          <w:rFonts w:ascii="Calibri" w:eastAsia="DengXian" w:hAnsi="Calibri" w:cs="Calibri"/>
          <w:sz w:val="20"/>
          <w:szCs w:val="20"/>
          <w:lang w:eastAsia="zh-CN"/>
          <w14:ligatures w14:val="standardContextual"/>
        </w:rPr>
      </w:pPr>
      <w:r w:rsidRPr="00D12E77">
        <w:rPr>
          <w:rFonts w:ascii="Calibri" w:eastAsia="DengXian" w:hAnsi="Calibri" w:cs="Calibri"/>
          <w:sz w:val="20"/>
          <w:szCs w:val="20"/>
          <w:lang w:eastAsia="zh-CN"/>
          <w14:ligatures w14:val="standardContextual"/>
        </w:rPr>
        <w:t>Copying or communication for any other purpose can be done only within the terms of the</w:t>
      </w:r>
      <w:r w:rsidRPr="00D12E77">
        <w:rPr>
          <w:rFonts w:ascii="Calibri" w:eastAsia="DengXian" w:hAnsi="Calibri" w:cs="Calibri"/>
          <w:i/>
          <w:iCs/>
          <w:sz w:val="20"/>
          <w:szCs w:val="20"/>
          <w:lang w:eastAsia="zh-CN"/>
          <w14:ligatures w14:val="standardContextual"/>
        </w:rPr>
        <w:t xml:space="preserve"> Copyright Act 1968</w:t>
      </w:r>
      <w:r w:rsidRPr="00D12E77">
        <w:rPr>
          <w:rFonts w:ascii="Calibri" w:eastAsia="DengXian" w:hAnsi="Calibri" w:cs="Calibri"/>
          <w:sz w:val="20"/>
          <w:szCs w:val="20"/>
          <w:lang w:eastAsia="zh-CN"/>
          <w14:ligatures w14:val="standardContextual"/>
        </w:rPr>
        <w:t xml:space="preserve"> or with prior written permission of the Authority. Copying or communication of any third-party copyright material can be done only within the terms of the </w:t>
      </w:r>
      <w:r w:rsidRPr="00D12E77">
        <w:rPr>
          <w:rFonts w:ascii="Calibri" w:eastAsia="DengXian" w:hAnsi="Calibri" w:cs="Calibri"/>
          <w:i/>
          <w:iCs/>
          <w:sz w:val="20"/>
          <w:szCs w:val="20"/>
          <w:lang w:eastAsia="zh-CN"/>
          <w14:ligatures w14:val="standardContextual"/>
        </w:rPr>
        <w:t>Copyright Act 1968</w:t>
      </w:r>
      <w:r w:rsidRPr="00D12E77">
        <w:rPr>
          <w:rFonts w:ascii="Calibri" w:eastAsia="DengXian" w:hAnsi="Calibri" w:cs="Calibri"/>
          <w:sz w:val="20"/>
          <w:szCs w:val="20"/>
          <w:lang w:eastAsia="zh-CN"/>
          <w14:ligatures w14:val="standardContextual"/>
        </w:rPr>
        <w:t xml:space="preserve"> or with permission of the copyright owners.</w:t>
      </w:r>
    </w:p>
    <w:p w14:paraId="23AA0F28" w14:textId="77777777" w:rsidR="00D12E77" w:rsidRPr="00D12E77" w:rsidRDefault="00D12E77" w:rsidP="00D12E77">
      <w:pPr>
        <w:rPr>
          <w:rFonts w:ascii="Calibri" w:eastAsia="DengXian" w:hAnsi="Calibri" w:cs="Calibri"/>
          <w:lang w:eastAsia="zh-CN"/>
          <w14:ligatures w14:val="standardContextual"/>
        </w:rPr>
      </w:pPr>
      <w:r w:rsidRPr="00D12E77">
        <w:rPr>
          <w:rFonts w:ascii="Calibri" w:eastAsia="DengXian" w:hAnsi="Calibri" w:cs="Calibri"/>
          <w:sz w:val="20"/>
          <w:szCs w:val="20"/>
          <w:lang w:eastAsia="zh-CN"/>
          <w14:ligatures w14:val="standardContextual"/>
        </w:rPr>
        <w:t xml:space="preserve">Any content in this document that has been derived from the Australian Curriculum may be used under the terms of the </w:t>
      </w:r>
      <w:hyperlink r:id="rId9" w:tgtFrame="_blank" w:history="1">
        <w:r w:rsidRPr="00D12E77">
          <w:rPr>
            <w:rFonts w:ascii="Calibri" w:eastAsia="DengXian" w:hAnsi="Calibri" w:cs="Calibri"/>
            <w:color w:val="580F8B"/>
            <w:sz w:val="20"/>
            <w:szCs w:val="20"/>
            <w:u w:val="single"/>
            <w:lang w:eastAsia="zh-CN"/>
            <w14:ligatures w14:val="standardContextual"/>
          </w:rPr>
          <w:t>Creative Commons Attribution 4.0 International licence</w:t>
        </w:r>
      </w:hyperlink>
      <w:r w:rsidRPr="00D12E77">
        <w:rPr>
          <w:rFonts w:ascii="Arial" w:eastAsia="DengXian" w:hAnsi="Arial" w:cs="Latha"/>
          <w:lang w:eastAsia="zh-CN"/>
          <w14:ligatures w14:val="standardContextual"/>
        </w:rPr>
        <w:t>.</w:t>
      </w:r>
    </w:p>
    <w:p w14:paraId="56FE8065" w14:textId="77777777" w:rsidR="00AC28E1" w:rsidRPr="00A93F91" w:rsidRDefault="00AC28E1" w:rsidP="006E2558">
      <w:pPr>
        <w:rPr>
          <w:sz w:val="14"/>
        </w:rPr>
        <w:sectPr w:rsidR="00AC28E1" w:rsidRPr="00A93F91" w:rsidSect="00282898">
          <w:footerReference w:type="even" r:id="rId10"/>
          <w:pgSz w:w="11906" w:h="16838"/>
          <w:pgMar w:top="1644" w:right="1418" w:bottom="1276" w:left="1418" w:header="680" w:footer="567" w:gutter="0"/>
          <w:cols w:space="708"/>
          <w:titlePg/>
          <w:docGrid w:linePitch="360"/>
        </w:sectPr>
      </w:pPr>
    </w:p>
    <w:p w14:paraId="5C5DB4DD" w14:textId="77777777" w:rsidR="00FB0D15" w:rsidRPr="006054A2" w:rsidRDefault="00FB0D15" w:rsidP="00FB0D15">
      <w:pPr>
        <w:pStyle w:val="SCSAHeading2"/>
      </w:pPr>
      <w:r w:rsidRPr="006054A2">
        <w:lastRenderedPageBreak/>
        <w:t>Representation of the general capabilities</w:t>
      </w:r>
      <w:r>
        <w:t xml:space="preserve"> </w:t>
      </w:r>
    </w:p>
    <w:p w14:paraId="11F0723B" w14:textId="0230EA23" w:rsidR="00FB0D15" w:rsidRPr="009C3CBD" w:rsidRDefault="00CF420B" w:rsidP="005924C4">
      <w:bookmarkStart w:id="1" w:name="_Hlk209529645"/>
      <w:r w:rsidRPr="009C3CBD">
        <w:t xml:space="preserve">The general capabilities encompass the knowledge, skills, behaviours and dispositions that will </w:t>
      </w:r>
      <w:r>
        <w:t>support</w:t>
      </w:r>
      <w:r w:rsidRPr="009C3CBD">
        <w:t xml:space="preserve"> students to live and work successfully </w:t>
      </w:r>
      <w:r>
        <w:t>now and into the future</w:t>
      </w:r>
      <w:r w:rsidRPr="009C3CBD">
        <w:t>.</w:t>
      </w:r>
      <w:bookmarkEnd w:id="1"/>
      <w:r>
        <w:t xml:space="preserve"> </w:t>
      </w:r>
      <w:r w:rsidR="00FB0D15" w:rsidRPr="009C3CBD">
        <w:t xml:space="preserve">Teachers should find opportunities to incorporate the following capabilities into the teaching and learning program for the </w:t>
      </w:r>
      <w:bookmarkStart w:id="2" w:name="_Hlk197498480"/>
      <w:r w:rsidR="00FB0D15">
        <w:t>Materials Design and Technology ATAR</w:t>
      </w:r>
      <w:r w:rsidR="00FB0D15" w:rsidRPr="009C3CBD">
        <w:t xml:space="preserve"> </w:t>
      </w:r>
      <w:bookmarkEnd w:id="2"/>
      <w:r w:rsidR="00FB0D15" w:rsidRPr="009C3CBD">
        <w:t>course. The general capabilities are not assessed unless they are identified within the specified unit content.</w:t>
      </w:r>
    </w:p>
    <w:p w14:paraId="2FEAD9DE" w14:textId="77777777" w:rsidR="00027E5F" w:rsidRPr="009C3CBD" w:rsidRDefault="00027E5F" w:rsidP="00027E5F">
      <w:pPr>
        <w:pStyle w:val="SCSAHeading3"/>
      </w:pPr>
      <w:r w:rsidRPr="009C3CBD">
        <w:t>Critical and creative thinking</w:t>
      </w:r>
    </w:p>
    <w:p w14:paraId="5FB4D417" w14:textId="77777777" w:rsidR="00027E5F" w:rsidRPr="00E57A20" w:rsidRDefault="00027E5F" w:rsidP="00027E5F">
      <w:r w:rsidRPr="00E57A20">
        <w:t xml:space="preserve">The </w:t>
      </w:r>
      <w:r>
        <w:t xml:space="preserve">course </w:t>
      </w:r>
      <w:r w:rsidRPr="00E57A20">
        <w:t xml:space="preserve">fosters </w:t>
      </w:r>
      <w:r w:rsidRPr="00E57A20">
        <w:rPr>
          <w:bCs/>
        </w:rPr>
        <w:t>critical and creative thinking</w:t>
      </w:r>
      <w:r w:rsidRPr="00E57A20">
        <w:t xml:space="preserve"> </w:t>
      </w:r>
      <w:r w:rsidRPr="00E57A20">
        <w:rPr>
          <w:kern w:val="0"/>
        </w:rPr>
        <w:t>through implementation of an iterative design process.</w:t>
      </w:r>
      <w:r>
        <w:t xml:space="preserve"> </w:t>
      </w:r>
      <w:r w:rsidRPr="00E57A20">
        <w:t xml:space="preserve">Through inquiry, </w:t>
      </w:r>
      <w:r>
        <w:t xml:space="preserve">students </w:t>
      </w:r>
      <w:r w:rsidRPr="00E57A20">
        <w:t>consider alternatives and modify</w:t>
      </w:r>
      <w:r>
        <w:rPr>
          <w:strike/>
        </w:rPr>
        <w:t xml:space="preserve"> </w:t>
      </w:r>
      <w:r w:rsidRPr="00E57A20">
        <w:t>design ideas and the development of a production plan for the manufacture of a product</w:t>
      </w:r>
      <w:r>
        <w:t>.</w:t>
      </w:r>
      <w:r w:rsidRPr="00E57A20">
        <w:t xml:space="preserve"> </w:t>
      </w:r>
      <w:r>
        <w:t>They</w:t>
      </w:r>
      <w:r w:rsidRPr="00E57A20">
        <w:t xml:space="preserve"> develop understanding and skills in </w:t>
      </w:r>
      <w:r w:rsidRPr="00E57A20">
        <w:rPr>
          <w:bCs/>
          <w:iCs/>
        </w:rPr>
        <w:t xml:space="preserve">critical and creative thinking to achieve their designed solution. </w:t>
      </w:r>
      <w:r w:rsidRPr="00E57A20">
        <w:t>In the generating phase, students creatively develop innovative and practical solutions using a variety of materials and techniques.</w:t>
      </w:r>
    </w:p>
    <w:p w14:paraId="37396A45" w14:textId="77777777" w:rsidR="00027E5F" w:rsidRPr="00E57A20" w:rsidRDefault="00027E5F" w:rsidP="00027E5F">
      <w:r w:rsidRPr="00E57A20">
        <w:t>The course promotes analytical thinking as students evaluate design options</w:t>
      </w:r>
      <w:r>
        <w:t>;</w:t>
      </w:r>
      <w:r w:rsidRPr="00E57A20">
        <w:t xml:space="preserve"> consider functionality, sustainability</w:t>
      </w:r>
      <w:r>
        <w:t xml:space="preserve"> and</w:t>
      </w:r>
      <w:r w:rsidRPr="00E57A20">
        <w:t xml:space="preserve"> aesthetic factors</w:t>
      </w:r>
      <w:r>
        <w:t xml:space="preserve">; </w:t>
      </w:r>
      <w:r w:rsidRPr="00E57A20">
        <w:t xml:space="preserve">and make informed decisions. Reflection is embedded throughout, encouraging students to critique their processes, justify choices and identify areas for improvement. This iterative approach supports the development of transferable thinking skills </w:t>
      </w:r>
      <w:r w:rsidRPr="00350BFF">
        <w:t xml:space="preserve">and </w:t>
      </w:r>
      <w:r>
        <w:t>problem-solving abilities that</w:t>
      </w:r>
      <w:r w:rsidRPr="00350BFF">
        <w:t xml:space="preserve"> students </w:t>
      </w:r>
      <w:r>
        <w:t xml:space="preserve">will use </w:t>
      </w:r>
      <w:r w:rsidRPr="00350BFF">
        <w:t>to navigate factors of complex design with creativity and critical insight to develop design solutions</w:t>
      </w:r>
      <w:r>
        <w:t xml:space="preserve">. </w:t>
      </w:r>
    </w:p>
    <w:p w14:paraId="505B0325" w14:textId="492A8E2F" w:rsidR="00FB0D15" w:rsidRPr="009C3CBD" w:rsidRDefault="00FB0D15" w:rsidP="00FB0D15">
      <w:pPr>
        <w:pStyle w:val="SCSAHeading3"/>
      </w:pPr>
      <w:r w:rsidRPr="009C3CBD">
        <w:t>Digital literacy</w:t>
      </w:r>
    </w:p>
    <w:p w14:paraId="4E9487BE" w14:textId="51B0F3BE" w:rsidR="00FB0D15" w:rsidRPr="00883057" w:rsidRDefault="0083069C" w:rsidP="005924C4">
      <w:r>
        <w:t>This</w:t>
      </w:r>
      <w:r w:rsidR="00025A95">
        <w:t xml:space="preserve"> </w:t>
      </w:r>
      <w:r w:rsidR="00025A95" w:rsidRPr="00E57A20">
        <w:t>course</w:t>
      </w:r>
      <w:r w:rsidR="00FB0D15" w:rsidRPr="00883057">
        <w:t xml:space="preserve"> encourages the application and development of digital literacy skills by engaging students in activities that involve opportunities for investigating, creating and exchanging information through digital means. Students apply skills, strategies and techniques through the application of digital tools to research and develop ideas, demonstrate innovation and communicate their design ideas and solutions effectively using digital platforms.</w:t>
      </w:r>
      <w:r w:rsidR="00FB0D15">
        <w:t xml:space="preserve"> </w:t>
      </w:r>
      <w:r w:rsidR="00FB0D15" w:rsidRPr="00883057">
        <w:t>Students apply design thinking processes that incorporate digital technologies to present, refine, develop and modify design solutions and presentation</w:t>
      </w:r>
      <w:r>
        <w:t>s</w:t>
      </w:r>
      <w:r w:rsidR="00FB0D15" w:rsidRPr="00883057">
        <w:t>.</w:t>
      </w:r>
      <w:r w:rsidR="00FB0D15">
        <w:t xml:space="preserve"> </w:t>
      </w:r>
      <w:r w:rsidR="00FB0D15" w:rsidRPr="00883057">
        <w:t>Students research and source information from a variety of digital platforms to locate, access, process and analyse information.</w:t>
      </w:r>
    </w:p>
    <w:p w14:paraId="68AF74EF" w14:textId="77777777" w:rsidR="00FB0D15" w:rsidRPr="00E57A20" w:rsidRDefault="00FB0D15" w:rsidP="00FB0D15">
      <w:pPr>
        <w:pStyle w:val="SCSAHeading3"/>
      </w:pPr>
      <w:r w:rsidRPr="00E57A20">
        <w:t>Personal and social capability</w:t>
      </w:r>
    </w:p>
    <w:p w14:paraId="2E25E059" w14:textId="03C12CD3" w:rsidR="00FB0D15" w:rsidRPr="00E57A20" w:rsidRDefault="00FB0D15" w:rsidP="005924C4">
      <w:r w:rsidRPr="00E57A20">
        <w:t xml:space="preserve">The course supports the development of personal and social capabilities by encouraging students to </w:t>
      </w:r>
      <w:r w:rsidRPr="00E57A20">
        <w:rPr>
          <w:kern w:val="0"/>
        </w:rPr>
        <w:t>develop</w:t>
      </w:r>
      <w:r w:rsidRPr="00E57A20">
        <w:t xml:space="preserve"> self-management and social management throughout the design and production process. Students develop communication skills and independent self-management skills by safely and effectively managing their time and resources, demonstrating resilience when faced with challenges and achieving quality production outcomes.  </w:t>
      </w:r>
    </w:p>
    <w:p w14:paraId="7E1C82E8" w14:textId="648E3402" w:rsidR="00FB0D15" w:rsidRDefault="00FB0D15" w:rsidP="005924C4">
      <w:r w:rsidRPr="00E57A20">
        <w:t>Social awareness is fostered by exploring the impact of materials selection, product design and manufacturing technologies on the society and the environment.</w:t>
      </w:r>
      <w:r>
        <w:t xml:space="preserve"> </w:t>
      </w:r>
      <w:r w:rsidRPr="00E57A20">
        <w:rPr>
          <w:iCs/>
          <w:lang w:eastAsia="en-AU"/>
        </w:rPr>
        <w:t xml:space="preserve">Students develop increasing social awareness </w:t>
      </w:r>
      <w:r w:rsidRPr="00E57A20">
        <w:rPr>
          <w:lang w:eastAsia="en-AU"/>
        </w:rPr>
        <w:t>through the study of the impact of the use of materials, and manufacturing technology in society and on the environment</w:t>
      </w:r>
      <w:r>
        <w:rPr>
          <w:lang w:eastAsia="en-AU"/>
        </w:rPr>
        <w:t>.</w:t>
      </w:r>
    </w:p>
    <w:p w14:paraId="26D6F08C" w14:textId="77777777" w:rsidR="00FB0D15" w:rsidRPr="009C3CBD" w:rsidRDefault="00FB0D15" w:rsidP="00FB0D15">
      <w:r w:rsidRPr="009C3CBD">
        <w:br w:type="page"/>
      </w:r>
    </w:p>
    <w:p w14:paraId="1ED704DA" w14:textId="77777777" w:rsidR="00FB0D15" w:rsidRPr="009C3CBD" w:rsidRDefault="00FB0D15" w:rsidP="00FB0D15">
      <w:pPr>
        <w:pStyle w:val="SCSAHeading3"/>
      </w:pPr>
      <w:r w:rsidRPr="009C3CBD">
        <w:lastRenderedPageBreak/>
        <w:t>Addressing the other general capabilities</w:t>
      </w:r>
    </w:p>
    <w:p w14:paraId="39E1D871" w14:textId="23357D5B" w:rsidR="00FB0D15" w:rsidRPr="009C3CBD" w:rsidRDefault="00FB0D15" w:rsidP="005924C4">
      <w:r w:rsidRPr="009C3CBD">
        <w:t xml:space="preserve">Although the following general capabilities have not been identified as a focus in the </w:t>
      </w:r>
      <w:r w:rsidRPr="005325C0">
        <w:t xml:space="preserve">Materials Design and Technology ATAR </w:t>
      </w:r>
      <w:r w:rsidR="00027E5F">
        <w:t>Year 12 syllabus</w:t>
      </w:r>
      <w:r w:rsidRPr="009C3CBD">
        <w:t>, teachers may find opportunities to incorporate these capabilities into the teaching and learning program.</w:t>
      </w:r>
    </w:p>
    <w:p w14:paraId="47618B27" w14:textId="77777777" w:rsidR="00027E5F" w:rsidRPr="009C3CBD" w:rsidRDefault="00027E5F" w:rsidP="00027E5F">
      <w:pPr>
        <w:pStyle w:val="ListParagraph"/>
        <w:numPr>
          <w:ilvl w:val="0"/>
          <w:numId w:val="21"/>
        </w:numPr>
      </w:pPr>
      <w:r w:rsidRPr="009C3CBD">
        <w:t>Ethical understanding</w:t>
      </w:r>
    </w:p>
    <w:p w14:paraId="04242B77" w14:textId="77777777" w:rsidR="00027E5F" w:rsidRPr="009C3CBD" w:rsidRDefault="00027E5F" w:rsidP="00027E5F">
      <w:pPr>
        <w:pStyle w:val="ListParagraph"/>
        <w:numPr>
          <w:ilvl w:val="0"/>
          <w:numId w:val="21"/>
        </w:numPr>
      </w:pPr>
      <w:r w:rsidRPr="009C3CBD">
        <w:t>Intercultural understanding</w:t>
      </w:r>
    </w:p>
    <w:p w14:paraId="28393833" w14:textId="61C365F7" w:rsidR="00FB0D15" w:rsidRPr="009C3CBD" w:rsidRDefault="00FB0D15" w:rsidP="005924C4">
      <w:pPr>
        <w:pStyle w:val="ListParagraph"/>
        <w:numPr>
          <w:ilvl w:val="0"/>
          <w:numId w:val="21"/>
        </w:numPr>
      </w:pPr>
      <w:r w:rsidRPr="009C3CBD">
        <w:t>Literacy</w:t>
      </w:r>
    </w:p>
    <w:p w14:paraId="362DCB81" w14:textId="77777777" w:rsidR="00FB0D15" w:rsidRDefault="00FB0D15" w:rsidP="005924C4">
      <w:pPr>
        <w:pStyle w:val="ListParagraph"/>
        <w:numPr>
          <w:ilvl w:val="0"/>
          <w:numId w:val="21"/>
        </w:numPr>
      </w:pPr>
      <w:r w:rsidRPr="009C3CBD">
        <w:t>Numeracy</w:t>
      </w:r>
    </w:p>
    <w:p w14:paraId="6DCC6E08" w14:textId="77777777" w:rsidR="00FB0D15" w:rsidRPr="009C3CBD" w:rsidRDefault="00FB0D15" w:rsidP="00FB0D15">
      <w:r w:rsidRPr="009C3CBD">
        <w:t>Such opportunities may occur through the application of different contexts, pedagogical practices and/or assessment strategies that relate to the syllabus as part of the teaching and learning program.</w:t>
      </w:r>
    </w:p>
    <w:p w14:paraId="56A626EF" w14:textId="619D80AC" w:rsidR="00FB0D15" w:rsidRPr="009C3CBD" w:rsidRDefault="00FB0D15" w:rsidP="00FB0D15">
      <w:pPr>
        <w:pStyle w:val="SCSAHeading3"/>
      </w:pPr>
      <w:r w:rsidRPr="009C3CBD">
        <w:t xml:space="preserve">Summary representation of the </w:t>
      </w:r>
      <w:r>
        <w:t>g</w:t>
      </w:r>
      <w:r w:rsidRPr="009C3CBD">
        <w:t xml:space="preserve">eneral </w:t>
      </w:r>
      <w:r>
        <w:t>c</w:t>
      </w:r>
      <w:r w:rsidRPr="009C3CBD">
        <w:t xml:space="preserve">apabilities in the </w:t>
      </w:r>
      <w:r>
        <w:t xml:space="preserve">Materials Design and Technology ATAR </w:t>
      </w:r>
      <w:r w:rsidRPr="009C3CBD">
        <w:t>course</w:t>
      </w:r>
    </w:p>
    <w:p w14:paraId="3F308CBF" w14:textId="432CD7BB" w:rsidR="00FB0D15" w:rsidRDefault="0053565B" w:rsidP="00FB0D15">
      <w:bookmarkStart w:id="3" w:name="_Hlk204186686"/>
      <w:bookmarkStart w:id="4" w:name="_Hlk202708722"/>
      <w:r>
        <w:t>A representation of the general capabilities for the two years is summarised in the table below</w:t>
      </w:r>
      <w:bookmarkEnd w:id="3"/>
      <w:r>
        <w:t>.</w:t>
      </w:r>
      <w:bookmarkEnd w:id="4"/>
    </w:p>
    <w:tbl>
      <w:tblPr>
        <w:tblStyle w:val="SCSATableclearstyle"/>
        <w:tblW w:w="5000" w:type="pct"/>
        <w:tblLook w:val="04A0" w:firstRow="1" w:lastRow="0" w:firstColumn="1" w:lastColumn="0" w:noHBand="0" w:noVBand="1"/>
      </w:tblPr>
      <w:tblGrid>
        <w:gridCol w:w="817"/>
        <w:gridCol w:w="3600"/>
        <w:gridCol w:w="786"/>
        <w:gridCol w:w="551"/>
        <w:gridCol w:w="551"/>
        <w:gridCol w:w="551"/>
        <w:gridCol w:w="551"/>
        <w:gridCol w:w="551"/>
        <w:gridCol w:w="551"/>
        <w:gridCol w:w="551"/>
      </w:tblGrid>
      <w:tr w:rsidR="00027E5F" w:rsidRPr="006A76EA" w14:paraId="0EBDA60E" w14:textId="77777777" w:rsidTr="00BA5380">
        <w:trPr>
          <w:cnfStyle w:val="100000000000" w:firstRow="1" w:lastRow="0" w:firstColumn="0" w:lastColumn="0" w:oddVBand="0" w:evenVBand="0" w:oddHBand="0" w:evenHBand="0" w:firstRowFirstColumn="0" w:firstRowLastColumn="0" w:lastRowFirstColumn="0" w:lastRowLastColumn="0"/>
          <w:trHeight w:val="261"/>
        </w:trPr>
        <w:tc>
          <w:tcPr>
            <w:tcW w:w="817" w:type="dxa"/>
            <w:vMerge w:val="restart"/>
          </w:tcPr>
          <w:p w14:paraId="42C12338" w14:textId="77777777" w:rsidR="00027E5F" w:rsidRPr="006A76EA" w:rsidRDefault="00027E5F" w:rsidP="00BA5380">
            <w:pPr>
              <w:spacing w:after="100" w:afterAutospacing="1"/>
              <w:rPr>
                <w:b w:val="0"/>
                <w:bCs/>
              </w:rPr>
            </w:pPr>
            <w:r w:rsidRPr="006A76EA">
              <w:rPr>
                <w:bCs/>
              </w:rPr>
              <w:t>Year</w:t>
            </w:r>
          </w:p>
        </w:tc>
        <w:tc>
          <w:tcPr>
            <w:tcW w:w="3600" w:type="dxa"/>
            <w:vMerge w:val="restart"/>
          </w:tcPr>
          <w:p w14:paraId="0670FE41" w14:textId="77777777" w:rsidR="00027E5F" w:rsidRPr="006A76EA" w:rsidRDefault="00027E5F" w:rsidP="00BA5380">
            <w:pPr>
              <w:spacing w:after="100" w:afterAutospacing="1"/>
              <w:rPr>
                <w:b w:val="0"/>
                <w:bCs/>
              </w:rPr>
            </w:pPr>
            <w:r w:rsidRPr="006A76EA">
              <w:rPr>
                <w:bCs/>
              </w:rPr>
              <w:t>Course</w:t>
            </w:r>
          </w:p>
        </w:tc>
        <w:tc>
          <w:tcPr>
            <w:tcW w:w="786" w:type="dxa"/>
            <w:vMerge w:val="restart"/>
          </w:tcPr>
          <w:p w14:paraId="37D6AE19" w14:textId="77777777" w:rsidR="00027E5F" w:rsidRPr="006A76EA" w:rsidRDefault="00027E5F" w:rsidP="00BA5380">
            <w:pPr>
              <w:spacing w:after="100" w:afterAutospacing="1"/>
              <w:rPr>
                <w:b w:val="0"/>
                <w:bCs/>
              </w:rPr>
            </w:pPr>
            <w:r w:rsidRPr="006A76EA">
              <w:rPr>
                <w:bCs/>
              </w:rPr>
              <w:t xml:space="preserve">Course </w:t>
            </w:r>
            <w:r>
              <w:rPr>
                <w:bCs/>
              </w:rPr>
              <w:t>t</w:t>
            </w:r>
            <w:r w:rsidRPr="006A76EA">
              <w:rPr>
                <w:bCs/>
              </w:rPr>
              <w:t>ype</w:t>
            </w:r>
          </w:p>
        </w:tc>
        <w:tc>
          <w:tcPr>
            <w:tcW w:w="3857" w:type="dxa"/>
            <w:gridSpan w:val="7"/>
          </w:tcPr>
          <w:p w14:paraId="41E1CE8C" w14:textId="77777777" w:rsidR="00027E5F" w:rsidRPr="006A76EA" w:rsidRDefault="00027E5F" w:rsidP="00BA5380">
            <w:pPr>
              <w:spacing w:after="100" w:afterAutospacing="1"/>
              <w:jc w:val="center"/>
              <w:rPr>
                <w:b w:val="0"/>
                <w:bCs/>
              </w:rPr>
            </w:pPr>
            <w:r w:rsidRPr="006A76EA">
              <w:rPr>
                <w:bCs/>
              </w:rPr>
              <w:t xml:space="preserve">General </w:t>
            </w:r>
            <w:r>
              <w:rPr>
                <w:bCs/>
              </w:rPr>
              <w:t>c</w:t>
            </w:r>
            <w:r w:rsidRPr="006A76EA">
              <w:rPr>
                <w:bCs/>
              </w:rPr>
              <w:t>apabilities</w:t>
            </w:r>
          </w:p>
        </w:tc>
      </w:tr>
      <w:tr w:rsidR="00027E5F" w:rsidRPr="006A76EA" w14:paraId="4CF7D071" w14:textId="77777777" w:rsidTr="00AE2A9A">
        <w:trPr>
          <w:trHeight w:val="142"/>
        </w:trPr>
        <w:tc>
          <w:tcPr>
            <w:tcW w:w="817" w:type="dxa"/>
            <w:vMerge/>
          </w:tcPr>
          <w:p w14:paraId="1C982EB8" w14:textId="77777777" w:rsidR="00027E5F" w:rsidRPr="006A76EA" w:rsidRDefault="00027E5F" w:rsidP="00BA5380">
            <w:pPr>
              <w:spacing w:after="100" w:afterAutospacing="1"/>
              <w:rPr>
                <w:b/>
                <w:bCs/>
              </w:rPr>
            </w:pPr>
          </w:p>
        </w:tc>
        <w:tc>
          <w:tcPr>
            <w:tcW w:w="3600" w:type="dxa"/>
            <w:vMerge/>
          </w:tcPr>
          <w:p w14:paraId="15451533" w14:textId="77777777" w:rsidR="00027E5F" w:rsidRPr="006A76EA" w:rsidRDefault="00027E5F" w:rsidP="00BA5380">
            <w:pPr>
              <w:spacing w:after="100" w:afterAutospacing="1"/>
              <w:rPr>
                <w:b/>
                <w:bCs/>
              </w:rPr>
            </w:pPr>
          </w:p>
        </w:tc>
        <w:tc>
          <w:tcPr>
            <w:tcW w:w="786" w:type="dxa"/>
            <w:vMerge/>
          </w:tcPr>
          <w:p w14:paraId="164AFC87" w14:textId="77777777" w:rsidR="00027E5F" w:rsidRPr="006A76EA" w:rsidRDefault="00027E5F" w:rsidP="00BA5380">
            <w:pPr>
              <w:spacing w:after="100" w:afterAutospacing="1"/>
              <w:rPr>
                <w:b/>
                <w:bCs/>
              </w:rPr>
            </w:pPr>
          </w:p>
        </w:tc>
        <w:tc>
          <w:tcPr>
            <w:tcW w:w="551" w:type="dxa"/>
          </w:tcPr>
          <w:p w14:paraId="55C686F5" w14:textId="77777777" w:rsidR="00027E5F" w:rsidRPr="006A76EA" w:rsidRDefault="00027E5F" w:rsidP="00BA5380">
            <w:pPr>
              <w:spacing w:after="100" w:afterAutospacing="1"/>
              <w:jc w:val="center"/>
              <w:rPr>
                <w:b/>
                <w:bCs/>
              </w:rPr>
            </w:pPr>
            <w:r>
              <w:rPr>
                <w:b/>
                <w:bCs/>
              </w:rPr>
              <w:t>CCT</w:t>
            </w:r>
          </w:p>
        </w:tc>
        <w:tc>
          <w:tcPr>
            <w:tcW w:w="551" w:type="dxa"/>
          </w:tcPr>
          <w:p w14:paraId="3C343C85" w14:textId="77777777" w:rsidR="00027E5F" w:rsidRPr="006A76EA" w:rsidRDefault="00027E5F" w:rsidP="00BA5380">
            <w:pPr>
              <w:spacing w:after="100" w:afterAutospacing="1"/>
              <w:jc w:val="center"/>
              <w:rPr>
                <w:b/>
                <w:bCs/>
              </w:rPr>
            </w:pPr>
            <w:r>
              <w:rPr>
                <w:b/>
                <w:bCs/>
              </w:rPr>
              <w:t>DL</w:t>
            </w:r>
          </w:p>
        </w:tc>
        <w:tc>
          <w:tcPr>
            <w:tcW w:w="551" w:type="dxa"/>
          </w:tcPr>
          <w:p w14:paraId="3B029A26" w14:textId="77777777" w:rsidR="00027E5F" w:rsidRPr="006A76EA" w:rsidRDefault="00027E5F" w:rsidP="00BA5380">
            <w:pPr>
              <w:spacing w:after="100" w:afterAutospacing="1"/>
              <w:jc w:val="center"/>
              <w:rPr>
                <w:b/>
                <w:bCs/>
              </w:rPr>
            </w:pPr>
            <w:r>
              <w:rPr>
                <w:b/>
                <w:bCs/>
              </w:rPr>
              <w:t>EU</w:t>
            </w:r>
          </w:p>
        </w:tc>
        <w:tc>
          <w:tcPr>
            <w:tcW w:w="551" w:type="dxa"/>
          </w:tcPr>
          <w:p w14:paraId="6DE089DB" w14:textId="77777777" w:rsidR="00027E5F" w:rsidRPr="006A76EA" w:rsidRDefault="00027E5F" w:rsidP="00BA5380">
            <w:pPr>
              <w:spacing w:after="100" w:afterAutospacing="1"/>
              <w:jc w:val="center"/>
              <w:rPr>
                <w:b/>
                <w:bCs/>
              </w:rPr>
            </w:pPr>
            <w:r>
              <w:rPr>
                <w:b/>
                <w:bCs/>
              </w:rPr>
              <w:t>IU</w:t>
            </w:r>
          </w:p>
        </w:tc>
        <w:tc>
          <w:tcPr>
            <w:tcW w:w="551" w:type="dxa"/>
          </w:tcPr>
          <w:p w14:paraId="5A157F88" w14:textId="77777777" w:rsidR="00027E5F" w:rsidRPr="006A76EA" w:rsidRDefault="00027E5F" w:rsidP="00BA5380">
            <w:pPr>
              <w:spacing w:after="100" w:afterAutospacing="1"/>
              <w:jc w:val="center"/>
              <w:rPr>
                <w:b/>
                <w:bCs/>
              </w:rPr>
            </w:pPr>
            <w:r>
              <w:rPr>
                <w:b/>
                <w:bCs/>
              </w:rPr>
              <w:t>L</w:t>
            </w:r>
          </w:p>
        </w:tc>
        <w:tc>
          <w:tcPr>
            <w:tcW w:w="551" w:type="dxa"/>
          </w:tcPr>
          <w:p w14:paraId="05CA70AE" w14:textId="77777777" w:rsidR="00027E5F" w:rsidRPr="006A76EA" w:rsidRDefault="00027E5F" w:rsidP="00BA5380">
            <w:pPr>
              <w:spacing w:after="100" w:afterAutospacing="1"/>
              <w:jc w:val="center"/>
              <w:rPr>
                <w:b/>
                <w:bCs/>
              </w:rPr>
            </w:pPr>
            <w:r>
              <w:rPr>
                <w:b/>
                <w:bCs/>
              </w:rPr>
              <w:t>N</w:t>
            </w:r>
          </w:p>
        </w:tc>
        <w:tc>
          <w:tcPr>
            <w:tcW w:w="551" w:type="dxa"/>
          </w:tcPr>
          <w:p w14:paraId="425188BF" w14:textId="77777777" w:rsidR="00027E5F" w:rsidRPr="006A76EA" w:rsidRDefault="00027E5F" w:rsidP="00BA5380">
            <w:pPr>
              <w:spacing w:after="100" w:afterAutospacing="1"/>
              <w:jc w:val="center"/>
              <w:rPr>
                <w:b/>
                <w:bCs/>
              </w:rPr>
            </w:pPr>
            <w:r>
              <w:rPr>
                <w:b/>
                <w:bCs/>
              </w:rPr>
              <w:t>PSC</w:t>
            </w:r>
          </w:p>
        </w:tc>
      </w:tr>
      <w:tr w:rsidR="00027E5F" w14:paraId="01DB9AB8" w14:textId="77777777" w:rsidTr="005615A1">
        <w:trPr>
          <w:trHeight w:val="261"/>
        </w:trPr>
        <w:tc>
          <w:tcPr>
            <w:tcW w:w="817" w:type="dxa"/>
          </w:tcPr>
          <w:p w14:paraId="5A045CB6" w14:textId="77777777" w:rsidR="00027E5F" w:rsidRDefault="00027E5F" w:rsidP="00BA5380">
            <w:pPr>
              <w:spacing w:after="100" w:afterAutospacing="1"/>
            </w:pPr>
            <w:r>
              <w:t>Year 11</w:t>
            </w:r>
          </w:p>
        </w:tc>
        <w:tc>
          <w:tcPr>
            <w:tcW w:w="3600" w:type="dxa"/>
          </w:tcPr>
          <w:p w14:paraId="74658DE7" w14:textId="77777777" w:rsidR="00027E5F" w:rsidRDefault="00027E5F" w:rsidP="00BA5380">
            <w:pPr>
              <w:pStyle w:val="Default"/>
              <w:rPr>
                <w:sz w:val="20"/>
                <w:szCs w:val="20"/>
              </w:rPr>
            </w:pPr>
            <w:r>
              <w:rPr>
                <w:sz w:val="20"/>
                <w:szCs w:val="20"/>
              </w:rPr>
              <w:t>Materials Design and Technology (Metals) (AEMDTM, A1MDTM, A2MDTM)</w:t>
            </w:r>
          </w:p>
          <w:p w14:paraId="19D51266" w14:textId="0C83937F" w:rsidR="00027E5F" w:rsidRDefault="00027E5F" w:rsidP="00BA5380">
            <w:pPr>
              <w:pStyle w:val="Default"/>
              <w:rPr>
                <w:sz w:val="20"/>
                <w:szCs w:val="20"/>
              </w:rPr>
            </w:pPr>
            <w:r>
              <w:rPr>
                <w:sz w:val="20"/>
                <w:szCs w:val="20"/>
              </w:rPr>
              <w:t>Materials Design and Technology (Textiles)</w:t>
            </w:r>
            <w:r w:rsidR="00572156">
              <w:rPr>
                <w:sz w:val="20"/>
                <w:szCs w:val="20"/>
              </w:rPr>
              <w:t xml:space="preserve"> </w:t>
            </w:r>
            <w:r>
              <w:rPr>
                <w:sz w:val="20"/>
                <w:szCs w:val="20"/>
              </w:rPr>
              <w:t>(AEMDTT, A1MDT, A2MDTT)</w:t>
            </w:r>
          </w:p>
          <w:p w14:paraId="1E2F84BC" w14:textId="77777777" w:rsidR="00027E5F" w:rsidRDefault="00027E5F" w:rsidP="00BA5380">
            <w:pPr>
              <w:pStyle w:val="Default"/>
              <w:rPr>
                <w:sz w:val="20"/>
                <w:szCs w:val="20"/>
              </w:rPr>
            </w:pPr>
            <w:r>
              <w:rPr>
                <w:sz w:val="20"/>
                <w:szCs w:val="20"/>
              </w:rPr>
              <w:t>Materials Design and Technology (Wood)</w:t>
            </w:r>
          </w:p>
          <w:p w14:paraId="2003E42F" w14:textId="77777777" w:rsidR="00027E5F" w:rsidRPr="009A0D28" w:rsidRDefault="00027E5F" w:rsidP="00BA5380">
            <w:pPr>
              <w:pStyle w:val="Default"/>
              <w:rPr>
                <w:sz w:val="20"/>
                <w:szCs w:val="20"/>
              </w:rPr>
            </w:pPr>
            <w:r>
              <w:rPr>
                <w:sz w:val="20"/>
                <w:szCs w:val="20"/>
              </w:rPr>
              <w:t xml:space="preserve">(AEMDTW, A1MDTW, A2MDTW) </w:t>
            </w:r>
          </w:p>
        </w:tc>
        <w:tc>
          <w:tcPr>
            <w:tcW w:w="786" w:type="dxa"/>
          </w:tcPr>
          <w:p w14:paraId="5055A847" w14:textId="77777777" w:rsidR="00027E5F" w:rsidRPr="009A0D28" w:rsidRDefault="00027E5F" w:rsidP="00BA5380">
            <w:pPr>
              <w:spacing w:after="100" w:afterAutospacing="1"/>
            </w:pPr>
            <w:r w:rsidRPr="009A0D28">
              <w:t>ATAR</w:t>
            </w:r>
          </w:p>
        </w:tc>
        <w:tc>
          <w:tcPr>
            <w:tcW w:w="551" w:type="dxa"/>
          </w:tcPr>
          <w:p w14:paraId="01259765" w14:textId="77777777" w:rsidR="00027E5F" w:rsidRPr="009A0D28" w:rsidRDefault="00027E5F" w:rsidP="005615A1">
            <w:pPr>
              <w:spacing w:after="100" w:afterAutospacing="1"/>
              <w:jc w:val="center"/>
            </w:pPr>
            <w:r w:rsidRPr="00E57A20">
              <w:sym w:font="Wingdings" w:char="F0FC"/>
            </w:r>
          </w:p>
        </w:tc>
        <w:tc>
          <w:tcPr>
            <w:tcW w:w="551" w:type="dxa"/>
          </w:tcPr>
          <w:p w14:paraId="1A2DAAE0" w14:textId="77777777" w:rsidR="00027E5F" w:rsidRPr="009A0D28" w:rsidRDefault="00027E5F" w:rsidP="005615A1">
            <w:pPr>
              <w:spacing w:after="100" w:afterAutospacing="1"/>
              <w:jc w:val="center"/>
            </w:pPr>
            <w:r w:rsidRPr="00E57A20">
              <w:sym w:font="Wingdings" w:char="F0FC"/>
            </w:r>
          </w:p>
        </w:tc>
        <w:tc>
          <w:tcPr>
            <w:tcW w:w="551" w:type="dxa"/>
            <w:shd w:val="clear" w:color="auto" w:fill="DECFE8" w:themeFill="accent5"/>
          </w:tcPr>
          <w:p w14:paraId="65011B28" w14:textId="77777777" w:rsidR="00027E5F" w:rsidRPr="009A0D28" w:rsidRDefault="00027E5F" w:rsidP="005615A1">
            <w:pPr>
              <w:spacing w:after="100" w:afterAutospacing="1"/>
              <w:jc w:val="center"/>
            </w:pPr>
          </w:p>
        </w:tc>
        <w:tc>
          <w:tcPr>
            <w:tcW w:w="551" w:type="dxa"/>
            <w:shd w:val="clear" w:color="auto" w:fill="DECFE8" w:themeFill="accent5"/>
          </w:tcPr>
          <w:p w14:paraId="767BB351" w14:textId="77777777" w:rsidR="00027E5F" w:rsidRPr="009A0D28" w:rsidRDefault="00027E5F" w:rsidP="005615A1">
            <w:pPr>
              <w:spacing w:after="100" w:afterAutospacing="1"/>
              <w:jc w:val="center"/>
            </w:pPr>
          </w:p>
        </w:tc>
        <w:tc>
          <w:tcPr>
            <w:tcW w:w="551" w:type="dxa"/>
            <w:shd w:val="clear" w:color="auto" w:fill="DECFE8" w:themeFill="accent5"/>
          </w:tcPr>
          <w:p w14:paraId="029B3499" w14:textId="4312CAA6" w:rsidR="00027E5F" w:rsidRPr="009A0D28" w:rsidRDefault="00027E5F" w:rsidP="005615A1">
            <w:pPr>
              <w:spacing w:after="100" w:afterAutospacing="1"/>
              <w:jc w:val="center"/>
            </w:pPr>
          </w:p>
        </w:tc>
        <w:tc>
          <w:tcPr>
            <w:tcW w:w="551" w:type="dxa"/>
            <w:shd w:val="clear" w:color="auto" w:fill="DECFE8" w:themeFill="accent5"/>
          </w:tcPr>
          <w:p w14:paraId="173D82F6" w14:textId="77777777" w:rsidR="00027E5F" w:rsidRPr="009A0D28" w:rsidRDefault="00027E5F" w:rsidP="005615A1">
            <w:pPr>
              <w:spacing w:after="100" w:afterAutospacing="1"/>
              <w:jc w:val="center"/>
            </w:pPr>
          </w:p>
        </w:tc>
        <w:tc>
          <w:tcPr>
            <w:tcW w:w="551" w:type="dxa"/>
          </w:tcPr>
          <w:p w14:paraId="2DD5E5BF" w14:textId="77777777" w:rsidR="00027E5F" w:rsidRPr="009A0D28" w:rsidRDefault="00027E5F" w:rsidP="005615A1">
            <w:pPr>
              <w:spacing w:after="100" w:afterAutospacing="1"/>
              <w:jc w:val="center"/>
            </w:pPr>
            <w:r w:rsidRPr="00E57A20">
              <w:sym w:font="Wingdings" w:char="F0FC"/>
            </w:r>
          </w:p>
        </w:tc>
      </w:tr>
      <w:tr w:rsidR="00027E5F" w14:paraId="56F043F6" w14:textId="77777777" w:rsidTr="005615A1">
        <w:trPr>
          <w:trHeight w:val="261"/>
        </w:trPr>
        <w:tc>
          <w:tcPr>
            <w:tcW w:w="817" w:type="dxa"/>
          </w:tcPr>
          <w:p w14:paraId="60CB3F83" w14:textId="77777777" w:rsidR="00027E5F" w:rsidRDefault="00027E5F" w:rsidP="00BA5380">
            <w:pPr>
              <w:spacing w:after="100" w:afterAutospacing="1"/>
            </w:pPr>
            <w:r>
              <w:t>Year 12</w:t>
            </w:r>
          </w:p>
        </w:tc>
        <w:tc>
          <w:tcPr>
            <w:tcW w:w="3600" w:type="dxa"/>
          </w:tcPr>
          <w:p w14:paraId="7050670C" w14:textId="77777777" w:rsidR="00027E5F" w:rsidRDefault="00027E5F" w:rsidP="00BA5380">
            <w:pPr>
              <w:pStyle w:val="Default"/>
              <w:rPr>
                <w:sz w:val="20"/>
                <w:szCs w:val="20"/>
              </w:rPr>
            </w:pPr>
            <w:r>
              <w:rPr>
                <w:sz w:val="20"/>
                <w:szCs w:val="20"/>
              </w:rPr>
              <w:t>Materials Design and Technology (Metals) (AEMDTM)</w:t>
            </w:r>
          </w:p>
          <w:p w14:paraId="01CBF0F8" w14:textId="2EBE2FF3" w:rsidR="00027E5F" w:rsidRDefault="00027E5F" w:rsidP="00BA5380">
            <w:pPr>
              <w:pStyle w:val="Default"/>
              <w:rPr>
                <w:sz w:val="20"/>
                <w:szCs w:val="20"/>
              </w:rPr>
            </w:pPr>
            <w:r>
              <w:rPr>
                <w:sz w:val="20"/>
                <w:szCs w:val="20"/>
              </w:rPr>
              <w:t>Materials Design and Technology (Textiles)</w:t>
            </w:r>
            <w:r w:rsidR="00D169F5">
              <w:rPr>
                <w:sz w:val="20"/>
                <w:szCs w:val="20"/>
              </w:rPr>
              <w:t xml:space="preserve"> </w:t>
            </w:r>
            <w:r>
              <w:rPr>
                <w:sz w:val="20"/>
                <w:szCs w:val="20"/>
              </w:rPr>
              <w:t xml:space="preserve">(AEMDTT) </w:t>
            </w:r>
          </w:p>
          <w:p w14:paraId="07E80781" w14:textId="77777777" w:rsidR="00027E5F" w:rsidRDefault="00027E5F" w:rsidP="00BA5380">
            <w:pPr>
              <w:pStyle w:val="Default"/>
              <w:rPr>
                <w:sz w:val="20"/>
                <w:szCs w:val="20"/>
              </w:rPr>
            </w:pPr>
            <w:r>
              <w:rPr>
                <w:sz w:val="20"/>
                <w:szCs w:val="20"/>
              </w:rPr>
              <w:t>Materials Design and Technology (Wood)</w:t>
            </w:r>
          </w:p>
          <w:p w14:paraId="6B749630" w14:textId="77777777" w:rsidR="00027E5F" w:rsidRPr="009A0D28" w:rsidRDefault="00027E5F" w:rsidP="00BA5380">
            <w:pPr>
              <w:pStyle w:val="Default"/>
              <w:rPr>
                <w:sz w:val="20"/>
                <w:szCs w:val="20"/>
              </w:rPr>
            </w:pPr>
            <w:r>
              <w:rPr>
                <w:sz w:val="20"/>
                <w:szCs w:val="20"/>
              </w:rPr>
              <w:t>(AEMDTW)</w:t>
            </w:r>
          </w:p>
        </w:tc>
        <w:tc>
          <w:tcPr>
            <w:tcW w:w="786" w:type="dxa"/>
          </w:tcPr>
          <w:p w14:paraId="72B2945B" w14:textId="77777777" w:rsidR="00027E5F" w:rsidRPr="009A0D28" w:rsidRDefault="00027E5F" w:rsidP="00BA5380">
            <w:pPr>
              <w:spacing w:after="100" w:afterAutospacing="1"/>
            </w:pPr>
            <w:r w:rsidRPr="009A0D28">
              <w:t>ATAR</w:t>
            </w:r>
          </w:p>
        </w:tc>
        <w:tc>
          <w:tcPr>
            <w:tcW w:w="551" w:type="dxa"/>
          </w:tcPr>
          <w:p w14:paraId="47F24B63" w14:textId="77777777" w:rsidR="00027E5F" w:rsidRPr="009A0D28" w:rsidRDefault="00027E5F" w:rsidP="005615A1">
            <w:pPr>
              <w:spacing w:after="100" w:afterAutospacing="1"/>
              <w:jc w:val="center"/>
            </w:pPr>
            <w:r w:rsidRPr="00E57A20">
              <w:sym w:font="Wingdings" w:char="F0FC"/>
            </w:r>
          </w:p>
        </w:tc>
        <w:tc>
          <w:tcPr>
            <w:tcW w:w="551" w:type="dxa"/>
          </w:tcPr>
          <w:p w14:paraId="3542F732" w14:textId="77777777" w:rsidR="00027E5F" w:rsidRPr="009A0D28" w:rsidRDefault="00027E5F" w:rsidP="005615A1">
            <w:pPr>
              <w:spacing w:after="100" w:afterAutospacing="1"/>
              <w:jc w:val="center"/>
            </w:pPr>
            <w:r w:rsidRPr="00E57A20">
              <w:sym w:font="Wingdings" w:char="F0FC"/>
            </w:r>
          </w:p>
        </w:tc>
        <w:tc>
          <w:tcPr>
            <w:tcW w:w="551" w:type="dxa"/>
            <w:shd w:val="clear" w:color="auto" w:fill="DECFE8" w:themeFill="accent5"/>
          </w:tcPr>
          <w:p w14:paraId="65121805" w14:textId="77777777" w:rsidR="00027E5F" w:rsidRPr="009A0D28" w:rsidRDefault="00027E5F" w:rsidP="005615A1">
            <w:pPr>
              <w:spacing w:after="100" w:afterAutospacing="1"/>
              <w:jc w:val="center"/>
            </w:pPr>
          </w:p>
        </w:tc>
        <w:tc>
          <w:tcPr>
            <w:tcW w:w="551" w:type="dxa"/>
            <w:shd w:val="clear" w:color="auto" w:fill="DECFE8" w:themeFill="accent5"/>
          </w:tcPr>
          <w:p w14:paraId="02307660" w14:textId="77777777" w:rsidR="00027E5F" w:rsidRPr="009A0D28" w:rsidRDefault="00027E5F" w:rsidP="005615A1">
            <w:pPr>
              <w:spacing w:after="100" w:afterAutospacing="1"/>
              <w:jc w:val="center"/>
            </w:pPr>
          </w:p>
        </w:tc>
        <w:tc>
          <w:tcPr>
            <w:tcW w:w="551" w:type="dxa"/>
            <w:shd w:val="clear" w:color="auto" w:fill="DECFE8" w:themeFill="accent5"/>
          </w:tcPr>
          <w:p w14:paraId="1839EC56" w14:textId="77777777" w:rsidR="00027E5F" w:rsidRPr="009A0D28" w:rsidRDefault="00027E5F" w:rsidP="005615A1">
            <w:pPr>
              <w:spacing w:after="100" w:afterAutospacing="1"/>
              <w:jc w:val="center"/>
            </w:pPr>
          </w:p>
        </w:tc>
        <w:tc>
          <w:tcPr>
            <w:tcW w:w="551" w:type="dxa"/>
            <w:shd w:val="clear" w:color="auto" w:fill="DECFE8" w:themeFill="accent5"/>
          </w:tcPr>
          <w:p w14:paraId="012C6036" w14:textId="77777777" w:rsidR="00027E5F" w:rsidRPr="009A0D28" w:rsidRDefault="00027E5F" w:rsidP="005615A1">
            <w:pPr>
              <w:spacing w:after="100" w:afterAutospacing="1"/>
              <w:jc w:val="center"/>
            </w:pPr>
          </w:p>
        </w:tc>
        <w:tc>
          <w:tcPr>
            <w:tcW w:w="551" w:type="dxa"/>
          </w:tcPr>
          <w:p w14:paraId="1E73AE3E" w14:textId="77777777" w:rsidR="00027E5F" w:rsidRPr="009A0D28" w:rsidRDefault="00027E5F" w:rsidP="005615A1">
            <w:pPr>
              <w:spacing w:after="100" w:afterAutospacing="1"/>
              <w:jc w:val="center"/>
            </w:pPr>
            <w:r w:rsidRPr="00E57A20">
              <w:sym w:font="Wingdings" w:char="F0FC"/>
            </w:r>
          </w:p>
        </w:tc>
      </w:tr>
    </w:tbl>
    <w:p w14:paraId="3B1AA679" w14:textId="77777777" w:rsidR="00FB0D15" w:rsidRPr="009C3CBD" w:rsidRDefault="00FB0D15" w:rsidP="00FB0D15">
      <w:pPr>
        <w:spacing w:before="120" w:after="0"/>
        <w:rPr>
          <w:b/>
          <w:bCs/>
        </w:rPr>
      </w:pPr>
      <w:r w:rsidRPr="009C3CBD">
        <w:rPr>
          <w:b/>
          <w:bCs/>
        </w:rPr>
        <w:t>Key</w:t>
      </w:r>
    </w:p>
    <w:p w14:paraId="0D4C71F9" w14:textId="2E560565" w:rsidR="009F5CD5" w:rsidRPr="009C3CBD" w:rsidRDefault="00027E5F" w:rsidP="00027E5F">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282898">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E1CBC" w14:textId="77777777" w:rsidR="00CD0535" w:rsidRDefault="00CD0535" w:rsidP="00742128">
      <w:pPr>
        <w:spacing w:after="0" w:line="240" w:lineRule="auto"/>
      </w:pPr>
      <w:r>
        <w:separator/>
      </w:r>
    </w:p>
  </w:endnote>
  <w:endnote w:type="continuationSeparator" w:id="0">
    <w:p w14:paraId="4E563105" w14:textId="77777777" w:rsidR="00CD0535" w:rsidRDefault="00CD0535"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661D66F9" w:rsidR="00F86F26" w:rsidRPr="008324A6" w:rsidRDefault="00F86F26" w:rsidP="00227D40">
    <w:pPr>
      <w:pStyle w:val="SCSAFootereven"/>
    </w:pPr>
    <w:r>
      <w:rPr>
        <w:noProof/>
      </w:rPr>
      <w:t>20</w:t>
    </w:r>
    <w:r w:rsidR="00C63FF4">
      <w:rPr>
        <w:noProof/>
      </w:rPr>
      <w:t>25</w:t>
    </w:r>
    <w:r>
      <w:rPr>
        <w:noProof/>
      </w:rPr>
      <w:t>/</w:t>
    </w:r>
    <w:r w:rsidR="00516F12">
      <w:rPr>
        <w:noProof/>
      </w:rPr>
      <w:t>3</w:t>
    </w:r>
    <w:r w:rsidR="00AC565C">
      <w:rPr>
        <w:noProof/>
      </w:rPr>
      <w:t>3</w:t>
    </w:r>
    <w:r w:rsidR="00086571">
      <w:rPr>
        <w:noProof/>
      </w:rPr>
      <w:t>5</w:t>
    </w:r>
    <w:r w:rsidR="00D5356D">
      <w:rPr>
        <w:noProof/>
      </w:rPr>
      <w:t>11</w:t>
    </w:r>
    <w:r w:rsidR="0053565B">
      <w:rPr>
        <w:noProof/>
      </w:rPr>
      <w:t>[</w:t>
    </w:r>
    <w:r w:rsidR="009E2C7E">
      <w:rPr>
        <w:noProof/>
      </w:rPr>
      <w:t>v</w:t>
    </w:r>
    <w:r w:rsidR="00AE016C">
      <w:rPr>
        <w:noProof/>
      </w:rPr>
      <w:t>4</w:t>
    </w:r>
    <w:r w:rsidR="0053565B">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05820DE" w:rsidR="00F86F26" w:rsidRPr="00777AF3" w:rsidRDefault="00086571" w:rsidP="00227D40">
    <w:pPr>
      <w:pStyle w:val="SCSAFootereven"/>
    </w:pPr>
    <w:r>
      <w:rPr>
        <w:noProof/>
      </w:rPr>
      <w:t>Materials Design</w:t>
    </w:r>
    <w:r w:rsidR="00AC565C">
      <w:rPr>
        <w:noProof/>
      </w:rPr>
      <w:t xml:space="preserve"> and Technology </w:t>
    </w:r>
    <w:r w:rsidR="00777AF3">
      <w:rPr>
        <w:noProof/>
      </w:rPr>
      <w:t xml:space="preserve">| </w:t>
    </w:r>
    <w:r>
      <w:rPr>
        <w:noProof/>
      </w:rPr>
      <w:t>ATAR</w:t>
    </w:r>
    <w:r w:rsidR="00257232">
      <w:rPr>
        <w:noProof/>
      </w:rPr>
      <w:t xml:space="preserve"> </w:t>
    </w:r>
    <w:r w:rsidR="00777AF3">
      <w:rPr>
        <w:noProof/>
      </w:rPr>
      <w:t xml:space="preserve">| Year </w:t>
    </w:r>
    <w:r w:rsidR="00516F12">
      <w:rPr>
        <w:noProof/>
      </w:rPr>
      <w:t>1</w:t>
    </w:r>
    <w:r w:rsidR="00D5356D">
      <w:rPr>
        <w:noProof/>
      </w:rPr>
      <w:t>2</w:t>
    </w:r>
    <w:r w:rsidR="00A82050">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76BDCA20" w:rsidR="00F86F26" w:rsidRPr="00AA2B0D" w:rsidRDefault="00086571" w:rsidP="00227D40">
    <w:pPr>
      <w:pStyle w:val="SCSAFooterodd"/>
    </w:pPr>
    <w:r>
      <w:rPr>
        <w:noProof/>
      </w:rPr>
      <w:t xml:space="preserve">Materials Design </w:t>
    </w:r>
    <w:r w:rsidR="00AC565C">
      <w:rPr>
        <w:noProof/>
      </w:rPr>
      <w:t xml:space="preserve">and Technology </w:t>
    </w:r>
    <w:r w:rsidR="00F86F26">
      <w:rPr>
        <w:noProof/>
      </w:rPr>
      <w:t xml:space="preserve">| </w:t>
    </w:r>
    <w:r>
      <w:rPr>
        <w:noProof/>
      </w:rPr>
      <w:t>ATAR</w:t>
    </w:r>
    <w:r w:rsidR="00AC565C">
      <w:rPr>
        <w:noProof/>
      </w:rPr>
      <w:t xml:space="preserve"> </w:t>
    </w:r>
    <w:r w:rsidR="00F86F26">
      <w:rPr>
        <w:noProof/>
      </w:rPr>
      <w:t xml:space="preserve">| Year </w:t>
    </w:r>
    <w:r w:rsidR="00516F12">
      <w:rPr>
        <w:noProof/>
      </w:rPr>
      <w:t>1</w:t>
    </w:r>
    <w:r w:rsidR="00D5356D">
      <w:rPr>
        <w:noProof/>
      </w:rPr>
      <w:t>2</w:t>
    </w:r>
    <w:r w:rsidR="0003185C">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1594E" w14:textId="77777777" w:rsidR="00CD0535" w:rsidRDefault="00CD0535" w:rsidP="00742128">
      <w:pPr>
        <w:spacing w:after="0" w:line="240" w:lineRule="auto"/>
      </w:pPr>
      <w:r>
        <w:separator/>
      </w:r>
    </w:p>
  </w:footnote>
  <w:footnote w:type="continuationSeparator" w:id="0">
    <w:p w14:paraId="1614C1C0" w14:textId="77777777" w:rsidR="00CD0535" w:rsidRDefault="00CD0535"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223003A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D1AC" w14:textId="2709D453" w:rsidR="00F86F26" w:rsidRPr="00AD2EBD" w:rsidRDefault="00CB34B7" w:rsidP="00227D40">
    <w:pPr>
      <w:pStyle w:val="SCSAHeaderodd"/>
      <w:rPr>
        <w:noProof/>
      </w:rPr>
    </w:pPr>
    <w:sdt>
      <w:sdtPr>
        <w:rPr>
          <w:noProof/>
        </w:rPr>
        <w:id w:val="1440406839"/>
        <w:docPartObj>
          <w:docPartGallery w:val="Page Numbers (Top of Page)"/>
          <w:docPartUnique/>
        </w:docPartObj>
      </w:sdtPr>
      <w:sdtEndPr/>
      <w:sdtContent>
        <w:r w:rsidR="00AD2EBD" w:rsidRPr="00AD2EBD">
          <w:rPr>
            <w:noProof/>
          </w:rPr>
          <w:fldChar w:fldCharType="begin"/>
        </w:r>
        <w:r w:rsidR="00AD2EBD" w:rsidRPr="00AD2EBD">
          <w:rPr>
            <w:noProof/>
          </w:rPr>
          <w:instrText xml:space="preserve"> PAGE   \* MERGEFORMAT </w:instrText>
        </w:r>
        <w:r w:rsidR="00AD2EBD" w:rsidRPr="00AD2EBD">
          <w:rPr>
            <w:noProof/>
          </w:rPr>
          <w:fldChar w:fldCharType="separate"/>
        </w:r>
        <w:r w:rsidR="00AD2EBD" w:rsidRPr="00AD2EBD">
          <w:rPr>
            <w:noProof/>
          </w:rPr>
          <w:t>2</w:t>
        </w:r>
        <w:r w:rsidR="00AD2EBD" w:rsidRPr="00AD2EBD">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243BB8DF"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203411DB"/>
    <w:multiLevelType w:val="multilevel"/>
    <w:tmpl w:val="762853C8"/>
    <w:numStyleLink w:val="SCSABulletList"/>
  </w:abstractNum>
  <w:abstractNum w:abstractNumId="7" w15:restartNumberingAfterBreak="0">
    <w:nsid w:val="263E513C"/>
    <w:multiLevelType w:val="hybridMultilevel"/>
    <w:tmpl w:val="4F56F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C162B00"/>
    <w:multiLevelType w:val="singleLevel"/>
    <w:tmpl w:val="FB26AA9E"/>
    <w:lvl w:ilvl="0">
      <w:numFmt w:val="decimal"/>
      <w:lvlText w:val=""/>
      <w:lvlJc w:val="left"/>
    </w:lvl>
  </w:abstractNum>
  <w:abstractNum w:abstractNumId="11"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10"/>
  </w:num>
  <w:num w:numId="2" w16cid:durableId="512889061">
    <w:abstractNumId w:val="20"/>
  </w:num>
  <w:num w:numId="3" w16cid:durableId="1660381090">
    <w:abstractNumId w:val="15"/>
  </w:num>
  <w:num w:numId="4" w16cid:durableId="179441877">
    <w:abstractNumId w:val="8"/>
  </w:num>
  <w:num w:numId="5" w16cid:durableId="1481263936">
    <w:abstractNumId w:val="13"/>
  </w:num>
  <w:num w:numId="6" w16cid:durableId="1809275971">
    <w:abstractNumId w:val="11"/>
  </w:num>
  <w:num w:numId="7" w16cid:durableId="634065546">
    <w:abstractNumId w:val="1"/>
  </w:num>
  <w:num w:numId="8" w16cid:durableId="810444534">
    <w:abstractNumId w:val="16"/>
  </w:num>
  <w:num w:numId="9" w16cid:durableId="1972594163">
    <w:abstractNumId w:val="17"/>
  </w:num>
  <w:num w:numId="10" w16cid:durableId="1396468084">
    <w:abstractNumId w:val="3"/>
  </w:num>
  <w:num w:numId="11" w16cid:durableId="1878735755">
    <w:abstractNumId w:val="14"/>
  </w:num>
  <w:num w:numId="12" w16cid:durableId="1507793237">
    <w:abstractNumId w:val="4"/>
  </w:num>
  <w:num w:numId="13" w16cid:durableId="1701055140">
    <w:abstractNumId w:val="9"/>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9"/>
  </w:num>
  <w:num w:numId="17" w16cid:durableId="394860004">
    <w:abstractNumId w:val="18"/>
  </w:num>
  <w:num w:numId="18" w16cid:durableId="1540387779">
    <w:abstractNumId w:val="5"/>
  </w:num>
  <w:num w:numId="19" w16cid:durableId="2026057853">
    <w:abstractNumId w:val="12"/>
  </w:num>
  <w:num w:numId="20" w16cid:durableId="1163621527">
    <w:abstractNumId w:val="7"/>
  </w:num>
  <w:num w:numId="21" w16cid:durableId="1640188433">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42"/>
    <w:rsid w:val="000128A1"/>
    <w:rsid w:val="00015EC5"/>
    <w:rsid w:val="00017D9C"/>
    <w:rsid w:val="00020B62"/>
    <w:rsid w:val="0002336A"/>
    <w:rsid w:val="00025A95"/>
    <w:rsid w:val="00027E5F"/>
    <w:rsid w:val="0003185C"/>
    <w:rsid w:val="00033751"/>
    <w:rsid w:val="000358C4"/>
    <w:rsid w:val="00036500"/>
    <w:rsid w:val="00041B44"/>
    <w:rsid w:val="00044FDD"/>
    <w:rsid w:val="00047063"/>
    <w:rsid w:val="00053A6C"/>
    <w:rsid w:val="000555D3"/>
    <w:rsid w:val="000577DF"/>
    <w:rsid w:val="00066145"/>
    <w:rsid w:val="00086571"/>
    <w:rsid w:val="000877CB"/>
    <w:rsid w:val="0009024C"/>
    <w:rsid w:val="00090558"/>
    <w:rsid w:val="0009076A"/>
    <w:rsid w:val="000926C3"/>
    <w:rsid w:val="00094E92"/>
    <w:rsid w:val="00097134"/>
    <w:rsid w:val="000A3D77"/>
    <w:rsid w:val="000A441D"/>
    <w:rsid w:val="000A6ABE"/>
    <w:rsid w:val="000A7B41"/>
    <w:rsid w:val="000B1346"/>
    <w:rsid w:val="000B135B"/>
    <w:rsid w:val="000B2B61"/>
    <w:rsid w:val="000B4506"/>
    <w:rsid w:val="000C1E2C"/>
    <w:rsid w:val="000C69C8"/>
    <w:rsid w:val="000C6E0F"/>
    <w:rsid w:val="000C6F75"/>
    <w:rsid w:val="000D22E2"/>
    <w:rsid w:val="000D35A8"/>
    <w:rsid w:val="000D5DBB"/>
    <w:rsid w:val="000E2A1E"/>
    <w:rsid w:val="000E7350"/>
    <w:rsid w:val="000E7B34"/>
    <w:rsid w:val="000F404F"/>
    <w:rsid w:val="00103478"/>
    <w:rsid w:val="00105D81"/>
    <w:rsid w:val="001072D5"/>
    <w:rsid w:val="00111DB8"/>
    <w:rsid w:val="001176E8"/>
    <w:rsid w:val="00120D7F"/>
    <w:rsid w:val="001216AA"/>
    <w:rsid w:val="0012754D"/>
    <w:rsid w:val="0013465E"/>
    <w:rsid w:val="001352A1"/>
    <w:rsid w:val="001408CD"/>
    <w:rsid w:val="001451B9"/>
    <w:rsid w:val="00151AEA"/>
    <w:rsid w:val="001567D0"/>
    <w:rsid w:val="0015752A"/>
    <w:rsid w:val="00157E06"/>
    <w:rsid w:val="00163C64"/>
    <w:rsid w:val="00164D2E"/>
    <w:rsid w:val="001702DE"/>
    <w:rsid w:val="00181B95"/>
    <w:rsid w:val="00192A18"/>
    <w:rsid w:val="0019340B"/>
    <w:rsid w:val="00194F1D"/>
    <w:rsid w:val="001953C6"/>
    <w:rsid w:val="00195B60"/>
    <w:rsid w:val="001A39D0"/>
    <w:rsid w:val="001A7DBB"/>
    <w:rsid w:val="001C0FCC"/>
    <w:rsid w:val="001D25BA"/>
    <w:rsid w:val="001D5394"/>
    <w:rsid w:val="001D56E3"/>
    <w:rsid w:val="001D717F"/>
    <w:rsid w:val="001D76C5"/>
    <w:rsid w:val="001E0FD9"/>
    <w:rsid w:val="001E186E"/>
    <w:rsid w:val="001E3CB5"/>
    <w:rsid w:val="001E5904"/>
    <w:rsid w:val="001E6612"/>
    <w:rsid w:val="001F279B"/>
    <w:rsid w:val="001F2E53"/>
    <w:rsid w:val="001F34CB"/>
    <w:rsid w:val="001F5D5D"/>
    <w:rsid w:val="001F6411"/>
    <w:rsid w:val="001F6CF6"/>
    <w:rsid w:val="0020225A"/>
    <w:rsid w:val="00204F73"/>
    <w:rsid w:val="00206787"/>
    <w:rsid w:val="002071E7"/>
    <w:rsid w:val="00212894"/>
    <w:rsid w:val="002145EE"/>
    <w:rsid w:val="0021493D"/>
    <w:rsid w:val="00217901"/>
    <w:rsid w:val="00223D1B"/>
    <w:rsid w:val="00226C3D"/>
    <w:rsid w:val="00227D40"/>
    <w:rsid w:val="00232E88"/>
    <w:rsid w:val="00236BF3"/>
    <w:rsid w:val="0024125D"/>
    <w:rsid w:val="0024439F"/>
    <w:rsid w:val="002451B5"/>
    <w:rsid w:val="002502AE"/>
    <w:rsid w:val="00257232"/>
    <w:rsid w:val="002603A6"/>
    <w:rsid w:val="00264DBE"/>
    <w:rsid w:val="00270163"/>
    <w:rsid w:val="0027335A"/>
    <w:rsid w:val="00274804"/>
    <w:rsid w:val="0027540C"/>
    <w:rsid w:val="0027595E"/>
    <w:rsid w:val="002773EE"/>
    <w:rsid w:val="00281E6B"/>
    <w:rsid w:val="00282898"/>
    <w:rsid w:val="00285893"/>
    <w:rsid w:val="0028622D"/>
    <w:rsid w:val="00290C4A"/>
    <w:rsid w:val="002A2970"/>
    <w:rsid w:val="002A2D2B"/>
    <w:rsid w:val="002A471E"/>
    <w:rsid w:val="002A4A58"/>
    <w:rsid w:val="002A5092"/>
    <w:rsid w:val="002B57DA"/>
    <w:rsid w:val="002B6CB3"/>
    <w:rsid w:val="002B6FEE"/>
    <w:rsid w:val="002C05E5"/>
    <w:rsid w:val="002C254C"/>
    <w:rsid w:val="002C28FB"/>
    <w:rsid w:val="002C61E6"/>
    <w:rsid w:val="002C6BB2"/>
    <w:rsid w:val="002D01AF"/>
    <w:rsid w:val="002D5E93"/>
    <w:rsid w:val="002D5F35"/>
    <w:rsid w:val="002E00C0"/>
    <w:rsid w:val="002E06EC"/>
    <w:rsid w:val="002E0746"/>
    <w:rsid w:val="002E08D2"/>
    <w:rsid w:val="002E35C2"/>
    <w:rsid w:val="002E78F4"/>
    <w:rsid w:val="002F133A"/>
    <w:rsid w:val="00300116"/>
    <w:rsid w:val="00304E41"/>
    <w:rsid w:val="003069C1"/>
    <w:rsid w:val="00306C56"/>
    <w:rsid w:val="00306EC0"/>
    <w:rsid w:val="00307696"/>
    <w:rsid w:val="003128DE"/>
    <w:rsid w:val="003149FE"/>
    <w:rsid w:val="00315ED7"/>
    <w:rsid w:val="0031683E"/>
    <w:rsid w:val="00317C7F"/>
    <w:rsid w:val="003215A4"/>
    <w:rsid w:val="00326EAC"/>
    <w:rsid w:val="003303E5"/>
    <w:rsid w:val="00332D24"/>
    <w:rsid w:val="0033552B"/>
    <w:rsid w:val="00337356"/>
    <w:rsid w:val="00343469"/>
    <w:rsid w:val="00343B25"/>
    <w:rsid w:val="00344BF2"/>
    <w:rsid w:val="003502BC"/>
    <w:rsid w:val="00350F52"/>
    <w:rsid w:val="0035168F"/>
    <w:rsid w:val="00352652"/>
    <w:rsid w:val="003526F6"/>
    <w:rsid w:val="0036440F"/>
    <w:rsid w:val="00364BF8"/>
    <w:rsid w:val="00365121"/>
    <w:rsid w:val="00367ADC"/>
    <w:rsid w:val="00374938"/>
    <w:rsid w:val="00374CEC"/>
    <w:rsid w:val="0037621A"/>
    <w:rsid w:val="003815BD"/>
    <w:rsid w:val="003841EB"/>
    <w:rsid w:val="00390442"/>
    <w:rsid w:val="0039509D"/>
    <w:rsid w:val="00395A7A"/>
    <w:rsid w:val="00395F68"/>
    <w:rsid w:val="00396693"/>
    <w:rsid w:val="003A00B3"/>
    <w:rsid w:val="003A2EB4"/>
    <w:rsid w:val="003A30C5"/>
    <w:rsid w:val="003A6194"/>
    <w:rsid w:val="003A69C8"/>
    <w:rsid w:val="003C0879"/>
    <w:rsid w:val="003D3CBD"/>
    <w:rsid w:val="003D3E71"/>
    <w:rsid w:val="003D5277"/>
    <w:rsid w:val="003D667A"/>
    <w:rsid w:val="003E056E"/>
    <w:rsid w:val="003E0BBB"/>
    <w:rsid w:val="003E5B0B"/>
    <w:rsid w:val="003F1C41"/>
    <w:rsid w:val="003F7FB2"/>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00F6"/>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098D"/>
    <w:rsid w:val="004C64D3"/>
    <w:rsid w:val="004D0002"/>
    <w:rsid w:val="004D26A7"/>
    <w:rsid w:val="004D3427"/>
    <w:rsid w:val="004D3542"/>
    <w:rsid w:val="004D682E"/>
    <w:rsid w:val="004E0AD6"/>
    <w:rsid w:val="004E429A"/>
    <w:rsid w:val="004E517B"/>
    <w:rsid w:val="004F3012"/>
    <w:rsid w:val="004F3801"/>
    <w:rsid w:val="004F51EA"/>
    <w:rsid w:val="00504046"/>
    <w:rsid w:val="0050411E"/>
    <w:rsid w:val="0050721D"/>
    <w:rsid w:val="00516487"/>
    <w:rsid w:val="00516F12"/>
    <w:rsid w:val="00521808"/>
    <w:rsid w:val="005240D9"/>
    <w:rsid w:val="00525B58"/>
    <w:rsid w:val="005309A4"/>
    <w:rsid w:val="005309EA"/>
    <w:rsid w:val="0053382D"/>
    <w:rsid w:val="0053565B"/>
    <w:rsid w:val="00537F6A"/>
    <w:rsid w:val="00540775"/>
    <w:rsid w:val="00541C5A"/>
    <w:rsid w:val="00542E80"/>
    <w:rsid w:val="00554AC8"/>
    <w:rsid w:val="00557D1B"/>
    <w:rsid w:val="005615A1"/>
    <w:rsid w:val="005627B9"/>
    <w:rsid w:val="00564B14"/>
    <w:rsid w:val="005700C6"/>
    <w:rsid w:val="00571B49"/>
    <w:rsid w:val="00572156"/>
    <w:rsid w:val="00573C05"/>
    <w:rsid w:val="00573DAB"/>
    <w:rsid w:val="0058749E"/>
    <w:rsid w:val="00590B71"/>
    <w:rsid w:val="00591074"/>
    <w:rsid w:val="005924C4"/>
    <w:rsid w:val="005A3395"/>
    <w:rsid w:val="005A501F"/>
    <w:rsid w:val="005A6E68"/>
    <w:rsid w:val="005B2FC1"/>
    <w:rsid w:val="005B4E42"/>
    <w:rsid w:val="005C18A7"/>
    <w:rsid w:val="005D0214"/>
    <w:rsid w:val="005D023D"/>
    <w:rsid w:val="005D122B"/>
    <w:rsid w:val="005D1726"/>
    <w:rsid w:val="005E18DA"/>
    <w:rsid w:val="005E1F65"/>
    <w:rsid w:val="005E22E6"/>
    <w:rsid w:val="005E26A0"/>
    <w:rsid w:val="005E2BAF"/>
    <w:rsid w:val="005E475E"/>
    <w:rsid w:val="005E4B8A"/>
    <w:rsid w:val="005E6287"/>
    <w:rsid w:val="005E6AAA"/>
    <w:rsid w:val="005E6FBE"/>
    <w:rsid w:val="005F038C"/>
    <w:rsid w:val="005F342C"/>
    <w:rsid w:val="00603E51"/>
    <w:rsid w:val="00604DE7"/>
    <w:rsid w:val="006054A2"/>
    <w:rsid w:val="006077A5"/>
    <w:rsid w:val="00620733"/>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817C5"/>
    <w:rsid w:val="006835FB"/>
    <w:rsid w:val="00691A72"/>
    <w:rsid w:val="00693261"/>
    <w:rsid w:val="00694129"/>
    <w:rsid w:val="0069421A"/>
    <w:rsid w:val="006A59A2"/>
    <w:rsid w:val="006B64CD"/>
    <w:rsid w:val="006C230A"/>
    <w:rsid w:val="006C633A"/>
    <w:rsid w:val="006C6F42"/>
    <w:rsid w:val="006D045B"/>
    <w:rsid w:val="006D0C8A"/>
    <w:rsid w:val="006D6474"/>
    <w:rsid w:val="006E122E"/>
    <w:rsid w:val="006E1D80"/>
    <w:rsid w:val="006E2558"/>
    <w:rsid w:val="006E2B8F"/>
    <w:rsid w:val="006F0237"/>
    <w:rsid w:val="006F544F"/>
    <w:rsid w:val="007013C9"/>
    <w:rsid w:val="0071572C"/>
    <w:rsid w:val="0071660C"/>
    <w:rsid w:val="00716616"/>
    <w:rsid w:val="007167A4"/>
    <w:rsid w:val="007171E7"/>
    <w:rsid w:val="00717735"/>
    <w:rsid w:val="0072351C"/>
    <w:rsid w:val="00731AAB"/>
    <w:rsid w:val="007342C4"/>
    <w:rsid w:val="00737E63"/>
    <w:rsid w:val="007410DD"/>
    <w:rsid w:val="00741565"/>
    <w:rsid w:val="00741822"/>
    <w:rsid w:val="00742128"/>
    <w:rsid w:val="00750094"/>
    <w:rsid w:val="0075009C"/>
    <w:rsid w:val="00752C47"/>
    <w:rsid w:val="00756EF7"/>
    <w:rsid w:val="00760FC0"/>
    <w:rsid w:val="007669E8"/>
    <w:rsid w:val="00766AC1"/>
    <w:rsid w:val="007741AF"/>
    <w:rsid w:val="007766C5"/>
    <w:rsid w:val="00776DD8"/>
    <w:rsid w:val="00777AF3"/>
    <w:rsid w:val="00780D69"/>
    <w:rsid w:val="00784D1C"/>
    <w:rsid w:val="00786DAD"/>
    <w:rsid w:val="007913B7"/>
    <w:rsid w:val="00793207"/>
    <w:rsid w:val="00793BA5"/>
    <w:rsid w:val="007A4144"/>
    <w:rsid w:val="007A5272"/>
    <w:rsid w:val="007B19D2"/>
    <w:rsid w:val="007B19E8"/>
    <w:rsid w:val="007B7AA0"/>
    <w:rsid w:val="007C3C9C"/>
    <w:rsid w:val="007C609E"/>
    <w:rsid w:val="007D1AA6"/>
    <w:rsid w:val="007D4452"/>
    <w:rsid w:val="007D4CB3"/>
    <w:rsid w:val="007D6DF6"/>
    <w:rsid w:val="007E1AFD"/>
    <w:rsid w:val="007E4139"/>
    <w:rsid w:val="007E6C9B"/>
    <w:rsid w:val="007E7AA9"/>
    <w:rsid w:val="007F0A11"/>
    <w:rsid w:val="007F140D"/>
    <w:rsid w:val="007F15E2"/>
    <w:rsid w:val="007F4112"/>
    <w:rsid w:val="007F47C4"/>
    <w:rsid w:val="007F493F"/>
    <w:rsid w:val="007F694F"/>
    <w:rsid w:val="007F7A7F"/>
    <w:rsid w:val="00801F1C"/>
    <w:rsid w:val="00802791"/>
    <w:rsid w:val="00803803"/>
    <w:rsid w:val="00806012"/>
    <w:rsid w:val="008079E9"/>
    <w:rsid w:val="00810CAB"/>
    <w:rsid w:val="00814C35"/>
    <w:rsid w:val="00820206"/>
    <w:rsid w:val="00825D81"/>
    <w:rsid w:val="0082766F"/>
    <w:rsid w:val="00830063"/>
    <w:rsid w:val="0083069C"/>
    <w:rsid w:val="008324A6"/>
    <w:rsid w:val="00840F51"/>
    <w:rsid w:val="00842A1A"/>
    <w:rsid w:val="00842F4B"/>
    <w:rsid w:val="00843D36"/>
    <w:rsid w:val="00846AF5"/>
    <w:rsid w:val="008562C6"/>
    <w:rsid w:val="00861855"/>
    <w:rsid w:val="00873C7B"/>
    <w:rsid w:val="008761FA"/>
    <w:rsid w:val="0088053A"/>
    <w:rsid w:val="00882099"/>
    <w:rsid w:val="008822B5"/>
    <w:rsid w:val="008832AF"/>
    <w:rsid w:val="00884DDC"/>
    <w:rsid w:val="0088649B"/>
    <w:rsid w:val="00892DD2"/>
    <w:rsid w:val="00895530"/>
    <w:rsid w:val="008958FE"/>
    <w:rsid w:val="00895FF4"/>
    <w:rsid w:val="008A02F7"/>
    <w:rsid w:val="008A2014"/>
    <w:rsid w:val="008A4D60"/>
    <w:rsid w:val="008A59A8"/>
    <w:rsid w:val="008A6E49"/>
    <w:rsid w:val="008A7111"/>
    <w:rsid w:val="008A7555"/>
    <w:rsid w:val="008C1D6B"/>
    <w:rsid w:val="008C38F7"/>
    <w:rsid w:val="008C66A5"/>
    <w:rsid w:val="008D334C"/>
    <w:rsid w:val="008D46F9"/>
    <w:rsid w:val="008D5098"/>
    <w:rsid w:val="008D55A5"/>
    <w:rsid w:val="008E03B1"/>
    <w:rsid w:val="008E144B"/>
    <w:rsid w:val="008E597E"/>
    <w:rsid w:val="008E7746"/>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305F"/>
    <w:rsid w:val="009645AE"/>
    <w:rsid w:val="00964696"/>
    <w:rsid w:val="009671C8"/>
    <w:rsid w:val="009712BF"/>
    <w:rsid w:val="009732C7"/>
    <w:rsid w:val="00976CB4"/>
    <w:rsid w:val="00977698"/>
    <w:rsid w:val="009803BE"/>
    <w:rsid w:val="00981A93"/>
    <w:rsid w:val="009833D4"/>
    <w:rsid w:val="009900A1"/>
    <w:rsid w:val="0099499A"/>
    <w:rsid w:val="00995294"/>
    <w:rsid w:val="009A1F8B"/>
    <w:rsid w:val="009A64DF"/>
    <w:rsid w:val="009A78D6"/>
    <w:rsid w:val="009B4799"/>
    <w:rsid w:val="009C2653"/>
    <w:rsid w:val="009C3CBD"/>
    <w:rsid w:val="009C70AC"/>
    <w:rsid w:val="009C77B6"/>
    <w:rsid w:val="009D16CA"/>
    <w:rsid w:val="009D19DB"/>
    <w:rsid w:val="009D4316"/>
    <w:rsid w:val="009D503D"/>
    <w:rsid w:val="009D6101"/>
    <w:rsid w:val="009D793E"/>
    <w:rsid w:val="009D7CB1"/>
    <w:rsid w:val="009E18D9"/>
    <w:rsid w:val="009E2C7E"/>
    <w:rsid w:val="009E31A1"/>
    <w:rsid w:val="009E5087"/>
    <w:rsid w:val="009E72EE"/>
    <w:rsid w:val="009E7635"/>
    <w:rsid w:val="009E76C6"/>
    <w:rsid w:val="009F31EB"/>
    <w:rsid w:val="009F4E64"/>
    <w:rsid w:val="009F5CD5"/>
    <w:rsid w:val="00A01B33"/>
    <w:rsid w:val="00A027D5"/>
    <w:rsid w:val="00A02C9C"/>
    <w:rsid w:val="00A0425A"/>
    <w:rsid w:val="00A076CF"/>
    <w:rsid w:val="00A15FE7"/>
    <w:rsid w:val="00A2126F"/>
    <w:rsid w:val="00A218D7"/>
    <w:rsid w:val="00A243E1"/>
    <w:rsid w:val="00A24944"/>
    <w:rsid w:val="00A27208"/>
    <w:rsid w:val="00A3298F"/>
    <w:rsid w:val="00A33ED4"/>
    <w:rsid w:val="00A42E97"/>
    <w:rsid w:val="00A43597"/>
    <w:rsid w:val="00A43A54"/>
    <w:rsid w:val="00A548E7"/>
    <w:rsid w:val="00A57BE7"/>
    <w:rsid w:val="00A620A7"/>
    <w:rsid w:val="00A63099"/>
    <w:rsid w:val="00A6457F"/>
    <w:rsid w:val="00A645F2"/>
    <w:rsid w:val="00A64B11"/>
    <w:rsid w:val="00A65DDB"/>
    <w:rsid w:val="00A70344"/>
    <w:rsid w:val="00A72264"/>
    <w:rsid w:val="00A7392D"/>
    <w:rsid w:val="00A77D1C"/>
    <w:rsid w:val="00A82050"/>
    <w:rsid w:val="00A8257B"/>
    <w:rsid w:val="00A833A1"/>
    <w:rsid w:val="00A85FD4"/>
    <w:rsid w:val="00A87827"/>
    <w:rsid w:val="00A93F91"/>
    <w:rsid w:val="00A9622A"/>
    <w:rsid w:val="00AA2B0D"/>
    <w:rsid w:val="00AA5985"/>
    <w:rsid w:val="00AA650B"/>
    <w:rsid w:val="00AB00F3"/>
    <w:rsid w:val="00AB158A"/>
    <w:rsid w:val="00AB5CC5"/>
    <w:rsid w:val="00AC1492"/>
    <w:rsid w:val="00AC28E1"/>
    <w:rsid w:val="00AC565C"/>
    <w:rsid w:val="00AD00B8"/>
    <w:rsid w:val="00AD2EBD"/>
    <w:rsid w:val="00AE0106"/>
    <w:rsid w:val="00AE016C"/>
    <w:rsid w:val="00AE0CDE"/>
    <w:rsid w:val="00AE2A9A"/>
    <w:rsid w:val="00AE57D9"/>
    <w:rsid w:val="00AF067F"/>
    <w:rsid w:val="00AF3D3A"/>
    <w:rsid w:val="00B01420"/>
    <w:rsid w:val="00B04173"/>
    <w:rsid w:val="00B112AF"/>
    <w:rsid w:val="00B11963"/>
    <w:rsid w:val="00B11EDE"/>
    <w:rsid w:val="00B12BF0"/>
    <w:rsid w:val="00B13C8F"/>
    <w:rsid w:val="00B15444"/>
    <w:rsid w:val="00B1607E"/>
    <w:rsid w:val="00B21FD7"/>
    <w:rsid w:val="00B22C3C"/>
    <w:rsid w:val="00B22F69"/>
    <w:rsid w:val="00B248D5"/>
    <w:rsid w:val="00B25036"/>
    <w:rsid w:val="00B26CBB"/>
    <w:rsid w:val="00B33F11"/>
    <w:rsid w:val="00B35123"/>
    <w:rsid w:val="00B36745"/>
    <w:rsid w:val="00B41296"/>
    <w:rsid w:val="00B4193F"/>
    <w:rsid w:val="00B44C60"/>
    <w:rsid w:val="00B46973"/>
    <w:rsid w:val="00B5058D"/>
    <w:rsid w:val="00B52F79"/>
    <w:rsid w:val="00B60ACE"/>
    <w:rsid w:val="00B6583C"/>
    <w:rsid w:val="00B65976"/>
    <w:rsid w:val="00B65D3D"/>
    <w:rsid w:val="00B7002A"/>
    <w:rsid w:val="00B71BF3"/>
    <w:rsid w:val="00B71C2D"/>
    <w:rsid w:val="00B8058F"/>
    <w:rsid w:val="00B8117E"/>
    <w:rsid w:val="00B85DAE"/>
    <w:rsid w:val="00B86B49"/>
    <w:rsid w:val="00B935B0"/>
    <w:rsid w:val="00B937EB"/>
    <w:rsid w:val="00B949B9"/>
    <w:rsid w:val="00B97F16"/>
    <w:rsid w:val="00BB0A97"/>
    <w:rsid w:val="00BB0E87"/>
    <w:rsid w:val="00BB4454"/>
    <w:rsid w:val="00BB77D6"/>
    <w:rsid w:val="00BC1F96"/>
    <w:rsid w:val="00BC6041"/>
    <w:rsid w:val="00BC6F34"/>
    <w:rsid w:val="00BC77B8"/>
    <w:rsid w:val="00BD0125"/>
    <w:rsid w:val="00BD037E"/>
    <w:rsid w:val="00BD21C5"/>
    <w:rsid w:val="00BD2693"/>
    <w:rsid w:val="00BE277F"/>
    <w:rsid w:val="00BE31B5"/>
    <w:rsid w:val="00BF0672"/>
    <w:rsid w:val="00BF52DB"/>
    <w:rsid w:val="00BF7B64"/>
    <w:rsid w:val="00BF7D5E"/>
    <w:rsid w:val="00C001A9"/>
    <w:rsid w:val="00C02D53"/>
    <w:rsid w:val="00C04DF1"/>
    <w:rsid w:val="00C1017E"/>
    <w:rsid w:val="00C14767"/>
    <w:rsid w:val="00C1764E"/>
    <w:rsid w:val="00C20EE6"/>
    <w:rsid w:val="00C2292B"/>
    <w:rsid w:val="00C22F6F"/>
    <w:rsid w:val="00C23C88"/>
    <w:rsid w:val="00C23E91"/>
    <w:rsid w:val="00C24F89"/>
    <w:rsid w:val="00C258D2"/>
    <w:rsid w:val="00C25C97"/>
    <w:rsid w:val="00C26945"/>
    <w:rsid w:val="00C33978"/>
    <w:rsid w:val="00C363F7"/>
    <w:rsid w:val="00C371C7"/>
    <w:rsid w:val="00C40915"/>
    <w:rsid w:val="00C41F53"/>
    <w:rsid w:val="00C423A5"/>
    <w:rsid w:val="00C4398D"/>
    <w:rsid w:val="00C43A9A"/>
    <w:rsid w:val="00C45164"/>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34B7"/>
    <w:rsid w:val="00CB6690"/>
    <w:rsid w:val="00CC3F47"/>
    <w:rsid w:val="00CD0535"/>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420B"/>
    <w:rsid w:val="00CF6AB8"/>
    <w:rsid w:val="00D0034F"/>
    <w:rsid w:val="00D03FE5"/>
    <w:rsid w:val="00D0711B"/>
    <w:rsid w:val="00D101E0"/>
    <w:rsid w:val="00D10B77"/>
    <w:rsid w:val="00D12A2F"/>
    <w:rsid w:val="00D12E77"/>
    <w:rsid w:val="00D169F5"/>
    <w:rsid w:val="00D17A5D"/>
    <w:rsid w:val="00D22D8F"/>
    <w:rsid w:val="00D2505E"/>
    <w:rsid w:val="00D26F00"/>
    <w:rsid w:val="00D27775"/>
    <w:rsid w:val="00D3015F"/>
    <w:rsid w:val="00D3186C"/>
    <w:rsid w:val="00D472E1"/>
    <w:rsid w:val="00D479BD"/>
    <w:rsid w:val="00D5217D"/>
    <w:rsid w:val="00D5356D"/>
    <w:rsid w:val="00D610D9"/>
    <w:rsid w:val="00D62E94"/>
    <w:rsid w:val="00D63B27"/>
    <w:rsid w:val="00D65C5C"/>
    <w:rsid w:val="00D66A4A"/>
    <w:rsid w:val="00D73F3E"/>
    <w:rsid w:val="00D83942"/>
    <w:rsid w:val="00D90DBA"/>
    <w:rsid w:val="00D92D10"/>
    <w:rsid w:val="00D96C8B"/>
    <w:rsid w:val="00DA0E77"/>
    <w:rsid w:val="00DA34F0"/>
    <w:rsid w:val="00DB41B4"/>
    <w:rsid w:val="00DB4B3C"/>
    <w:rsid w:val="00DB6D74"/>
    <w:rsid w:val="00DC2E31"/>
    <w:rsid w:val="00DC3A58"/>
    <w:rsid w:val="00DD0EDA"/>
    <w:rsid w:val="00DD1D21"/>
    <w:rsid w:val="00DD2C49"/>
    <w:rsid w:val="00DD51A8"/>
    <w:rsid w:val="00DD584B"/>
    <w:rsid w:val="00DE1ABE"/>
    <w:rsid w:val="00DF1A03"/>
    <w:rsid w:val="00E00C60"/>
    <w:rsid w:val="00E0593E"/>
    <w:rsid w:val="00E05CE6"/>
    <w:rsid w:val="00E1108A"/>
    <w:rsid w:val="00E13B15"/>
    <w:rsid w:val="00E23B7B"/>
    <w:rsid w:val="00E24639"/>
    <w:rsid w:val="00E31C3D"/>
    <w:rsid w:val="00E327A3"/>
    <w:rsid w:val="00E33CC5"/>
    <w:rsid w:val="00E33DBC"/>
    <w:rsid w:val="00E35DB7"/>
    <w:rsid w:val="00E41C0A"/>
    <w:rsid w:val="00E465E9"/>
    <w:rsid w:val="00E53506"/>
    <w:rsid w:val="00E545D5"/>
    <w:rsid w:val="00E5522A"/>
    <w:rsid w:val="00E5610A"/>
    <w:rsid w:val="00E56833"/>
    <w:rsid w:val="00E56853"/>
    <w:rsid w:val="00E6401A"/>
    <w:rsid w:val="00E663FA"/>
    <w:rsid w:val="00E721B6"/>
    <w:rsid w:val="00E72E9E"/>
    <w:rsid w:val="00E73BA6"/>
    <w:rsid w:val="00E8021D"/>
    <w:rsid w:val="00E812BD"/>
    <w:rsid w:val="00E81B31"/>
    <w:rsid w:val="00E92715"/>
    <w:rsid w:val="00E943B5"/>
    <w:rsid w:val="00E94C88"/>
    <w:rsid w:val="00EA0A4B"/>
    <w:rsid w:val="00EA10DC"/>
    <w:rsid w:val="00EA36D7"/>
    <w:rsid w:val="00EB3416"/>
    <w:rsid w:val="00EB3C04"/>
    <w:rsid w:val="00EB4E3E"/>
    <w:rsid w:val="00EC637E"/>
    <w:rsid w:val="00EC65E0"/>
    <w:rsid w:val="00ED3A00"/>
    <w:rsid w:val="00ED5E76"/>
    <w:rsid w:val="00EE2E1D"/>
    <w:rsid w:val="00EE42A5"/>
    <w:rsid w:val="00EE45F2"/>
    <w:rsid w:val="00EF0533"/>
    <w:rsid w:val="00EF6131"/>
    <w:rsid w:val="00F02AED"/>
    <w:rsid w:val="00F06A09"/>
    <w:rsid w:val="00F13BBE"/>
    <w:rsid w:val="00F16805"/>
    <w:rsid w:val="00F17E64"/>
    <w:rsid w:val="00F232C6"/>
    <w:rsid w:val="00F265D6"/>
    <w:rsid w:val="00F306D5"/>
    <w:rsid w:val="00F326E7"/>
    <w:rsid w:val="00F35D7C"/>
    <w:rsid w:val="00F43ADC"/>
    <w:rsid w:val="00F46135"/>
    <w:rsid w:val="00F52ED1"/>
    <w:rsid w:val="00F62879"/>
    <w:rsid w:val="00F63D11"/>
    <w:rsid w:val="00F6558B"/>
    <w:rsid w:val="00F81088"/>
    <w:rsid w:val="00F8129B"/>
    <w:rsid w:val="00F81569"/>
    <w:rsid w:val="00F83152"/>
    <w:rsid w:val="00F836EF"/>
    <w:rsid w:val="00F8436C"/>
    <w:rsid w:val="00F86530"/>
    <w:rsid w:val="00F86F26"/>
    <w:rsid w:val="00F95038"/>
    <w:rsid w:val="00FA0805"/>
    <w:rsid w:val="00FA1694"/>
    <w:rsid w:val="00FA17D9"/>
    <w:rsid w:val="00FA5498"/>
    <w:rsid w:val="00FA5C19"/>
    <w:rsid w:val="00FB0D15"/>
    <w:rsid w:val="00FC09E7"/>
    <w:rsid w:val="00FC2705"/>
    <w:rsid w:val="00FC5DA1"/>
    <w:rsid w:val="00FC77F4"/>
    <w:rsid w:val="00FD167A"/>
    <w:rsid w:val="00FD1803"/>
    <w:rsid w:val="00FD692D"/>
    <w:rsid w:val="00FD73A8"/>
    <w:rsid w:val="00FE054A"/>
    <w:rsid w:val="00FE1EB2"/>
    <w:rsid w:val="00FE2FC5"/>
    <w:rsid w:val="00FE6119"/>
    <w:rsid w:val="00FF13F3"/>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customStyle="1" w:styleId="Default">
    <w:name w:val="Default"/>
    <w:rsid w:val="005D122B"/>
    <w:pPr>
      <w:autoSpaceDE w:val="0"/>
      <w:autoSpaceDN w:val="0"/>
      <w:adjustRightInd w:val="0"/>
      <w:spacing w:after="0" w:line="240" w:lineRule="auto"/>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4</Pages>
  <Words>987</Words>
  <Characters>6223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85</cp:revision>
  <cp:lastPrinted>2025-09-25T04:59:00Z</cp:lastPrinted>
  <dcterms:created xsi:type="dcterms:W3CDTF">2025-05-14T03:29:00Z</dcterms:created>
  <dcterms:modified xsi:type="dcterms:W3CDTF">2025-09-25T04:59:00Z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42919cf2-8065-4545-90c7-a53380ab0a07</vt:lpwstr>
  </property>
</Properties>
</file>