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FE19" w14:textId="77777777" w:rsidR="00820A53" w:rsidRPr="006508D0" w:rsidRDefault="00820A53" w:rsidP="00BF5E63">
      <w:pPr>
        <w:pStyle w:val="SCSATitle1"/>
      </w:pPr>
      <w:r w:rsidRPr="006508D0">
        <w:drawing>
          <wp:anchor distT="0" distB="0" distL="114300" distR="114300" simplePos="0" relativeHeight="251658240" behindDoc="1" locked="1" layoutInCell="1" allowOverlap="1" wp14:anchorId="3BAC765F" wp14:editId="3A34DC48">
            <wp:simplePos x="0" y="0"/>
            <wp:positionH relativeFrom="column">
              <wp:posOffset>-6105525</wp:posOffset>
            </wp:positionH>
            <wp:positionV relativeFrom="paragraph">
              <wp:posOffset>476885</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508D0">
        <w:t>Sample Course Outline</w:t>
      </w:r>
    </w:p>
    <w:p w14:paraId="3B7AD7BB" w14:textId="77777777" w:rsidR="00820A53" w:rsidRPr="006508D0" w:rsidRDefault="00820A53" w:rsidP="00BF5E63">
      <w:pPr>
        <w:pStyle w:val="SCSATitle2"/>
      </w:pPr>
      <w:r w:rsidRPr="006508D0">
        <w:t>Automotive Engineering and Technology</w:t>
      </w:r>
    </w:p>
    <w:p w14:paraId="72B2E1D2" w14:textId="77777777" w:rsidR="00820A53" w:rsidRPr="006508D0" w:rsidRDefault="00820A53" w:rsidP="00BF5E63">
      <w:pPr>
        <w:pStyle w:val="SCSATitle3"/>
      </w:pPr>
      <w:r w:rsidRPr="006508D0">
        <w:t xml:space="preserve">General Year </w:t>
      </w:r>
      <w:r w:rsidR="001D6CCC" w:rsidRPr="006508D0">
        <w:t>12</w:t>
      </w:r>
    </w:p>
    <w:p w14:paraId="538E1AAB" w14:textId="77777777" w:rsidR="00820A53" w:rsidRPr="006508D0" w:rsidRDefault="00820A53" w:rsidP="00820A53">
      <w:pPr>
        <w:rPr>
          <w:b/>
          <w:sz w:val="28"/>
          <w:szCs w:val="28"/>
        </w:rPr>
      </w:pPr>
    </w:p>
    <w:p w14:paraId="5E7F0CAD" w14:textId="77777777" w:rsidR="00BF5E63" w:rsidRPr="006508D0" w:rsidRDefault="00BF5E63">
      <w:pPr>
        <w:spacing w:after="200"/>
        <w:rPr>
          <w:rFonts w:eastAsia="SimHei" w:cs="Calibri"/>
          <w:b/>
        </w:rPr>
      </w:pPr>
      <w:r w:rsidRPr="006508D0">
        <w:rPr>
          <w:rFonts w:eastAsia="SimHei" w:cs="Calibri"/>
          <w:b/>
        </w:rPr>
        <w:br w:type="page"/>
      </w:r>
    </w:p>
    <w:p w14:paraId="6AB01354" w14:textId="2699347B" w:rsidR="00BF5E63" w:rsidRPr="006508D0" w:rsidRDefault="00BF5E63" w:rsidP="00BF5E63">
      <w:pPr>
        <w:keepNext/>
        <w:rPr>
          <w:rFonts w:eastAsia="SimHei" w:cs="Calibri"/>
          <w:b/>
        </w:rPr>
      </w:pPr>
      <w:r w:rsidRPr="006508D0">
        <w:rPr>
          <w:rFonts w:eastAsia="SimHei" w:cs="Calibri"/>
          <w:b/>
        </w:rPr>
        <w:lastRenderedPageBreak/>
        <w:t>Acknowledgement of Country</w:t>
      </w:r>
    </w:p>
    <w:p w14:paraId="7FE25AB9" w14:textId="77777777" w:rsidR="00BF5E63" w:rsidRPr="006508D0" w:rsidRDefault="00BF5E63" w:rsidP="00BF5E63">
      <w:pPr>
        <w:spacing w:after="6480"/>
        <w:rPr>
          <w:b/>
          <w:sz w:val="16"/>
        </w:rPr>
      </w:pPr>
      <w:r w:rsidRPr="006508D0">
        <w:rPr>
          <w:rFonts w:eastAsia="SimHei" w:cs="Calibri"/>
        </w:rPr>
        <w:t xml:space="preserve">Kaya. The School Curriculum and Standards Authority (the Authority) acknowledges that our offices are on </w:t>
      </w:r>
      <w:proofErr w:type="spellStart"/>
      <w:r w:rsidRPr="006508D0">
        <w:rPr>
          <w:rFonts w:eastAsia="SimHei" w:cs="Calibri"/>
        </w:rPr>
        <w:t>Whadjuk</w:t>
      </w:r>
      <w:proofErr w:type="spellEnd"/>
      <w:r w:rsidRPr="006508D0">
        <w:rPr>
          <w:rFonts w:eastAsia="SimHei" w:cs="Calibri"/>
        </w:rPr>
        <w:t xml:space="preserve"> Noongar </w:t>
      </w:r>
      <w:proofErr w:type="spellStart"/>
      <w:r w:rsidRPr="006508D0">
        <w:rPr>
          <w:rFonts w:eastAsia="SimHei" w:cs="Calibri"/>
        </w:rPr>
        <w:t>boodjar</w:t>
      </w:r>
      <w:proofErr w:type="spellEnd"/>
      <w:r w:rsidRPr="006508D0">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9BF69EA" w14:textId="77777777" w:rsidR="00BF5E63" w:rsidRPr="006508D0" w:rsidRDefault="00BF5E63" w:rsidP="00BF5E63">
      <w:pPr>
        <w:jc w:val="both"/>
        <w:rPr>
          <w:rFonts w:cstheme="minorHAnsi"/>
          <w:b/>
          <w:sz w:val="20"/>
          <w:szCs w:val="20"/>
        </w:rPr>
      </w:pPr>
      <w:r w:rsidRPr="006508D0">
        <w:rPr>
          <w:rFonts w:cstheme="minorHAnsi"/>
          <w:b/>
          <w:sz w:val="20"/>
          <w:szCs w:val="20"/>
        </w:rPr>
        <w:t>Copyright</w:t>
      </w:r>
    </w:p>
    <w:p w14:paraId="2F4EEF7B" w14:textId="5D9B5C39" w:rsidR="00BF5E63" w:rsidRPr="006508D0" w:rsidRDefault="00BF5E63" w:rsidP="00BF5E63">
      <w:pPr>
        <w:jc w:val="both"/>
        <w:rPr>
          <w:rFonts w:cstheme="minorHAnsi"/>
          <w:sz w:val="20"/>
          <w:szCs w:val="20"/>
        </w:rPr>
      </w:pPr>
      <w:r w:rsidRPr="006508D0">
        <w:rPr>
          <w:rFonts w:cstheme="minorHAnsi"/>
          <w:sz w:val="20"/>
          <w:szCs w:val="20"/>
        </w:rPr>
        <w:t>© School Curriculum and Standards Authority, 2015</w:t>
      </w:r>
    </w:p>
    <w:p w14:paraId="02460160" w14:textId="77777777" w:rsidR="00BF5E63" w:rsidRPr="006508D0" w:rsidRDefault="00BF5E63" w:rsidP="00BF5E63">
      <w:pPr>
        <w:rPr>
          <w:rFonts w:cstheme="minorHAnsi"/>
          <w:sz w:val="20"/>
          <w:szCs w:val="20"/>
        </w:rPr>
      </w:pPr>
      <w:r w:rsidRPr="006508D0">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2AF827C" w14:textId="77777777" w:rsidR="00BF5E63" w:rsidRPr="006508D0" w:rsidRDefault="00BF5E63" w:rsidP="00BF5E63">
      <w:pPr>
        <w:rPr>
          <w:rFonts w:cstheme="minorHAnsi"/>
          <w:sz w:val="20"/>
          <w:szCs w:val="20"/>
        </w:rPr>
      </w:pPr>
      <w:r w:rsidRPr="006508D0">
        <w:rPr>
          <w:rFonts w:cstheme="minorHAnsi"/>
          <w:sz w:val="20"/>
          <w:szCs w:val="20"/>
        </w:rPr>
        <w:t>Copying or communication for any other purpose can be done only within the terms of the</w:t>
      </w:r>
      <w:r w:rsidRPr="006508D0">
        <w:rPr>
          <w:rFonts w:cstheme="minorHAnsi"/>
          <w:i/>
          <w:iCs/>
          <w:sz w:val="20"/>
          <w:szCs w:val="20"/>
        </w:rPr>
        <w:t xml:space="preserve"> Copyright Act 1968</w:t>
      </w:r>
      <w:r w:rsidRPr="006508D0">
        <w:rPr>
          <w:rFonts w:cstheme="minorHAnsi"/>
          <w:sz w:val="20"/>
          <w:szCs w:val="20"/>
        </w:rPr>
        <w:t xml:space="preserve"> or with prior written permission of the Authority. Copying or communication of any third-party copyright material can be done only within the terms of the </w:t>
      </w:r>
      <w:r w:rsidRPr="006508D0">
        <w:rPr>
          <w:rFonts w:cstheme="minorHAnsi"/>
          <w:i/>
          <w:iCs/>
          <w:sz w:val="20"/>
          <w:szCs w:val="20"/>
        </w:rPr>
        <w:t>Copyright Act 1968</w:t>
      </w:r>
      <w:r w:rsidRPr="006508D0">
        <w:rPr>
          <w:rFonts w:cstheme="minorHAnsi"/>
          <w:sz w:val="20"/>
          <w:szCs w:val="20"/>
        </w:rPr>
        <w:t xml:space="preserve"> or with permission of the copyright owners.</w:t>
      </w:r>
    </w:p>
    <w:p w14:paraId="322DBB3F" w14:textId="77777777" w:rsidR="00BF5E63" w:rsidRPr="006508D0" w:rsidRDefault="00BF5E63" w:rsidP="00BF5E63">
      <w:pPr>
        <w:rPr>
          <w:rFonts w:cstheme="minorHAnsi"/>
          <w:sz w:val="20"/>
          <w:szCs w:val="20"/>
        </w:rPr>
      </w:pPr>
      <w:r w:rsidRPr="006508D0">
        <w:rPr>
          <w:rFonts w:cstheme="minorHAnsi"/>
          <w:sz w:val="20"/>
          <w:szCs w:val="20"/>
        </w:rPr>
        <w:t xml:space="preserve">Any content in this document that has been derived from the Australian Curriculum may be used under the terms of the </w:t>
      </w:r>
      <w:hyperlink r:id="rId9" w:tgtFrame="_blank" w:history="1">
        <w:r w:rsidRPr="006508D0">
          <w:rPr>
            <w:rFonts w:cstheme="minorHAnsi"/>
            <w:color w:val="580F8B"/>
            <w:sz w:val="20"/>
            <w:szCs w:val="20"/>
            <w:u w:val="single"/>
          </w:rPr>
          <w:t>Creative Commons Attribution 4.0 International licence</w:t>
        </w:r>
      </w:hyperlink>
      <w:r w:rsidRPr="006508D0">
        <w:rPr>
          <w:rFonts w:cstheme="minorHAnsi"/>
          <w:sz w:val="20"/>
          <w:szCs w:val="20"/>
        </w:rPr>
        <w:t>.</w:t>
      </w:r>
    </w:p>
    <w:p w14:paraId="1F753575" w14:textId="77777777" w:rsidR="00BF5E63" w:rsidRPr="006508D0" w:rsidRDefault="00BF5E63" w:rsidP="00BF5E63">
      <w:pPr>
        <w:jc w:val="both"/>
        <w:rPr>
          <w:rFonts w:cstheme="minorHAnsi"/>
          <w:b/>
          <w:sz w:val="20"/>
          <w:szCs w:val="20"/>
        </w:rPr>
      </w:pPr>
      <w:r w:rsidRPr="006508D0">
        <w:rPr>
          <w:rFonts w:cstheme="minorHAnsi"/>
          <w:b/>
          <w:sz w:val="20"/>
          <w:szCs w:val="20"/>
        </w:rPr>
        <w:t>Disclaimer</w:t>
      </w:r>
    </w:p>
    <w:p w14:paraId="6E908D9C" w14:textId="77777777" w:rsidR="00BF5E63" w:rsidRPr="006508D0" w:rsidRDefault="00BF5E63" w:rsidP="00BF5E63">
      <w:pPr>
        <w:rPr>
          <w:rFonts w:cstheme="minorHAnsi"/>
          <w:sz w:val="20"/>
          <w:szCs w:val="20"/>
        </w:rPr>
      </w:pPr>
      <w:r w:rsidRPr="006508D0">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63836CD" w14:textId="77777777" w:rsidR="00820A53" w:rsidRPr="006508D0" w:rsidRDefault="00820A53" w:rsidP="00820A53">
      <w:pPr>
        <w:spacing w:line="264" w:lineRule="auto"/>
        <w:jc w:val="both"/>
        <w:rPr>
          <w:sz w:val="16"/>
        </w:rPr>
        <w:sectPr w:rsidR="00820A53" w:rsidRPr="006508D0" w:rsidSect="00BF5E63">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59B29CB" w14:textId="77777777" w:rsidR="00820A53" w:rsidRPr="006508D0" w:rsidRDefault="00820A53" w:rsidP="00BF5E63">
      <w:pPr>
        <w:pStyle w:val="SCSAHeading1"/>
        <w:rPr>
          <w:rFonts w:eastAsia="MS Mincho"/>
        </w:rPr>
      </w:pPr>
      <w:r w:rsidRPr="006508D0">
        <w:rPr>
          <w:rFonts w:eastAsia="MS Mincho"/>
        </w:rPr>
        <w:lastRenderedPageBreak/>
        <w:t>Sample course outline</w:t>
      </w:r>
    </w:p>
    <w:p w14:paraId="6C9F29FC" w14:textId="77777777" w:rsidR="00820A53" w:rsidRPr="006508D0" w:rsidRDefault="00820A53" w:rsidP="00BF5E63">
      <w:pPr>
        <w:pStyle w:val="SCSAHeading1"/>
        <w:rPr>
          <w:rFonts w:eastAsia="MS Mincho"/>
        </w:rPr>
      </w:pPr>
      <w:r w:rsidRPr="006508D0">
        <w:rPr>
          <w:rFonts w:eastAsia="MS Mincho"/>
        </w:rPr>
        <w:t xml:space="preserve">Automotive Engineering and Technology – General Year </w:t>
      </w:r>
      <w:r w:rsidR="001D6CCC" w:rsidRPr="006508D0">
        <w:rPr>
          <w:rFonts w:eastAsia="MS Mincho"/>
        </w:rPr>
        <w:t>12</w:t>
      </w:r>
    </w:p>
    <w:p w14:paraId="4357586A" w14:textId="77777777" w:rsidR="00BF5E63" w:rsidRPr="006508D0" w:rsidRDefault="00820A53" w:rsidP="00BF5E63">
      <w:pPr>
        <w:pStyle w:val="SCSAHeading2"/>
        <w:spacing w:after="0"/>
        <w:rPr>
          <w:rFonts w:eastAsia="MS Mincho"/>
        </w:rPr>
      </w:pPr>
      <w:r w:rsidRPr="006508D0">
        <w:rPr>
          <w:rFonts w:eastAsia="MS Mincho"/>
        </w:rPr>
        <w:t xml:space="preserve">Unit </w:t>
      </w:r>
      <w:r w:rsidR="003A1DFA" w:rsidRPr="006508D0">
        <w:rPr>
          <w:rFonts w:eastAsia="MS Mincho"/>
        </w:rPr>
        <w:t>3</w:t>
      </w:r>
      <w:r w:rsidRPr="006508D0">
        <w:rPr>
          <w:rFonts w:eastAsia="MS Mincho"/>
        </w:rPr>
        <w:t xml:space="preserve"> and Unit </w:t>
      </w:r>
      <w:r w:rsidR="003A1DFA" w:rsidRPr="006508D0">
        <w:rPr>
          <w:rFonts w:eastAsia="MS Mincho"/>
        </w:rPr>
        <w:t>4</w:t>
      </w:r>
    </w:p>
    <w:p w14:paraId="62F46BAC" w14:textId="53822878" w:rsidR="004565EB" w:rsidRPr="006508D0" w:rsidRDefault="004565EB" w:rsidP="006508D0">
      <w:pPr>
        <w:pStyle w:val="SCSAHeading2"/>
        <w:spacing w:after="80"/>
        <w:rPr>
          <w:rFonts w:eastAsia="MS Mincho"/>
        </w:rPr>
      </w:pPr>
      <w:r w:rsidRPr="006508D0">
        <w:rPr>
          <w:rFonts w:eastAsia="MS Mincho"/>
        </w:rPr>
        <w:t>Semester 1</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48"/>
        <w:gridCol w:w="8112"/>
      </w:tblGrid>
      <w:tr w:rsidR="004565EB" w:rsidRPr="006508D0" w14:paraId="1B571307" w14:textId="77777777" w:rsidTr="0079105E">
        <w:trPr>
          <w:trHeight w:val="23"/>
          <w:tblHeader/>
        </w:trPr>
        <w:tc>
          <w:tcPr>
            <w:tcW w:w="523" w:type="pct"/>
            <w:tcBorders>
              <w:bottom w:val="single" w:sz="4" w:space="0" w:color="BD9FCF"/>
              <w:right w:val="single" w:sz="4" w:space="0" w:color="FFFFFF" w:themeColor="background1"/>
            </w:tcBorders>
            <w:shd w:val="clear" w:color="auto" w:fill="BD9FCF"/>
            <w:vAlign w:val="center"/>
            <w:hideMark/>
          </w:tcPr>
          <w:p w14:paraId="55D37EA6" w14:textId="77777777" w:rsidR="004565EB" w:rsidRPr="006508D0" w:rsidRDefault="004565EB" w:rsidP="00BF5E63">
            <w:pPr>
              <w:spacing w:after="0"/>
              <w:jc w:val="center"/>
              <w:rPr>
                <w:rFonts w:cs="Calibri"/>
                <w:b/>
                <w:szCs w:val="20"/>
              </w:rPr>
            </w:pPr>
            <w:r w:rsidRPr="006508D0">
              <w:rPr>
                <w:rFonts w:cs="Calibri"/>
                <w:b/>
                <w:szCs w:val="20"/>
              </w:rPr>
              <w:t>Week</w:t>
            </w:r>
          </w:p>
        </w:tc>
        <w:tc>
          <w:tcPr>
            <w:tcW w:w="4477" w:type="pct"/>
            <w:tcBorders>
              <w:left w:val="single" w:sz="4" w:space="0" w:color="FFFFFF" w:themeColor="background1"/>
            </w:tcBorders>
            <w:shd w:val="clear" w:color="auto" w:fill="BD9FCF"/>
            <w:vAlign w:val="center"/>
            <w:hideMark/>
          </w:tcPr>
          <w:p w14:paraId="2DAE85FD" w14:textId="77777777" w:rsidR="004565EB" w:rsidRPr="006508D0" w:rsidRDefault="004565EB" w:rsidP="00BF5E63">
            <w:pPr>
              <w:spacing w:after="0"/>
              <w:jc w:val="center"/>
              <w:rPr>
                <w:rFonts w:cs="Calibri"/>
                <w:b/>
                <w:szCs w:val="20"/>
              </w:rPr>
            </w:pPr>
            <w:r w:rsidRPr="006508D0">
              <w:rPr>
                <w:rFonts w:cs="Calibri"/>
                <w:b/>
                <w:szCs w:val="20"/>
              </w:rPr>
              <w:t>Key teaching points</w:t>
            </w:r>
          </w:p>
        </w:tc>
      </w:tr>
      <w:tr w:rsidR="004565EB" w:rsidRPr="006508D0" w14:paraId="7084B1A2" w14:textId="77777777" w:rsidTr="0079105E">
        <w:trPr>
          <w:trHeight w:val="23"/>
        </w:trPr>
        <w:tc>
          <w:tcPr>
            <w:tcW w:w="523" w:type="pct"/>
            <w:shd w:val="clear" w:color="auto" w:fill="E4D8EB"/>
            <w:vAlign w:val="center"/>
            <w:hideMark/>
          </w:tcPr>
          <w:p w14:paraId="7681BE65" w14:textId="77777777" w:rsidR="004565EB" w:rsidRPr="006508D0" w:rsidRDefault="004565EB" w:rsidP="00BF5E63">
            <w:pPr>
              <w:spacing w:after="0"/>
              <w:jc w:val="center"/>
              <w:rPr>
                <w:rFonts w:cs="Calibri"/>
                <w:szCs w:val="20"/>
              </w:rPr>
            </w:pPr>
            <w:r w:rsidRPr="006508D0">
              <w:rPr>
                <w:rFonts w:cs="Calibri"/>
                <w:szCs w:val="20"/>
              </w:rPr>
              <w:t>1–</w:t>
            </w:r>
            <w:r w:rsidR="00975DC1" w:rsidRPr="006508D0">
              <w:rPr>
                <w:rFonts w:cs="Calibri"/>
                <w:szCs w:val="20"/>
              </w:rPr>
              <w:t>2</w:t>
            </w:r>
          </w:p>
        </w:tc>
        <w:tc>
          <w:tcPr>
            <w:tcW w:w="4477" w:type="pct"/>
          </w:tcPr>
          <w:p w14:paraId="5B57E5B3" w14:textId="77777777" w:rsidR="007F0950" w:rsidRPr="006508D0" w:rsidRDefault="007F0950" w:rsidP="006508D0">
            <w:pPr>
              <w:pStyle w:val="SCSATableHeading"/>
            </w:pPr>
            <w:r w:rsidRPr="006508D0">
              <w:t>Maintenance and repair</w:t>
            </w:r>
          </w:p>
          <w:p w14:paraId="665546A9" w14:textId="59C4251C" w:rsidR="00430063" w:rsidRPr="006508D0" w:rsidRDefault="004565EB" w:rsidP="006508D0">
            <w:pPr>
              <w:pStyle w:val="ListParagraph"/>
              <w:numPr>
                <w:ilvl w:val="0"/>
                <w:numId w:val="12"/>
              </w:numPr>
              <w:spacing w:after="0"/>
            </w:pPr>
            <w:r w:rsidRPr="006508D0">
              <w:t xml:space="preserve">apply safety data information and workshop </w:t>
            </w:r>
            <w:r w:rsidR="00656D5F" w:rsidRPr="006508D0">
              <w:t xml:space="preserve">work health and </w:t>
            </w:r>
            <w:r w:rsidR="00477C6E" w:rsidRPr="006508D0">
              <w:t>safety</w:t>
            </w:r>
            <w:r w:rsidRPr="006508D0">
              <w:t xml:space="preserve"> regulations to both individuals and small groups</w:t>
            </w:r>
            <w:r w:rsidR="00CB39B8" w:rsidRPr="006508D0">
              <w:t>.</w:t>
            </w:r>
          </w:p>
        </w:tc>
      </w:tr>
      <w:tr w:rsidR="004565EB" w:rsidRPr="006508D0" w14:paraId="5791CFDD" w14:textId="77777777" w:rsidTr="0079105E">
        <w:trPr>
          <w:trHeight w:val="23"/>
        </w:trPr>
        <w:tc>
          <w:tcPr>
            <w:tcW w:w="523" w:type="pct"/>
            <w:shd w:val="clear" w:color="auto" w:fill="E4D8EB"/>
            <w:vAlign w:val="center"/>
            <w:hideMark/>
          </w:tcPr>
          <w:p w14:paraId="2D9F97CD" w14:textId="77777777" w:rsidR="004565EB" w:rsidRPr="006508D0" w:rsidRDefault="00012FD4" w:rsidP="00BF5E63">
            <w:pPr>
              <w:spacing w:after="0"/>
              <w:jc w:val="center"/>
              <w:rPr>
                <w:rFonts w:cs="Calibri"/>
                <w:szCs w:val="20"/>
              </w:rPr>
            </w:pPr>
            <w:r w:rsidRPr="006508D0">
              <w:rPr>
                <w:rFonts w:cs="Calibri"/>
                <w:szCs w:val="20"/>
              </w:rPr>
              <w:t>3</w:t>
            </w:r>
            <w:r w:rsidR="004565EB" w:rsidRPr="006508D0">
              <w:rPr>
                <w:rFonts w:cs="Calibri"/>
                <w:szCs w:val="20"/>
              </w:rPr>
              <w:t>–6</w:t>
            </w:r>
          </w:p>
        </w:tc>
        <w:tc>
          <w:tcPr>
            <w:tcW w:w="4477" w:type="pct"/>
          </w:tcPr>
          <w:p w14:paraId="5E8F685D" w14:textId="77777777" w:rsidR="004565EB" w:rsidRPr="006508D0" w:rsidRDefault="004565EB" w:rsidP="006508D0">
            <w:pPr>
              <w:pStyle w:val="SCSATableHeading"/>
            </w:pPr>
            <w:r w:rsidRPr="006508D0">
              <w:t>Principles</w:t>
            </w:r>
          </w:p>
          <w:p w14:paraId="3EA3B045" w14:textId="0124E9B1" w:rsidR="007F0950" w:rsidRPr="006508D0" w:rsidRDefault="004565EB" w:rsidP="00505A85">
            <w:pPr>
              <w:numPr>
                <w:ilvl w:val="0"/>
                <w:numId w:val="4"/>
              </w:numPr>
              <w:spacing w:after="0"/>
              <w:ind w:left="357" w:hanging="357"/>
              <w:rPr>
                <w:rFonts w:cs="Calibri"/>
                <w:b/>
                <w:szCs w:val="20"/>
              </w:rPr>
            </w:pPr>
            <w:r w:rsidRPr="006508D0">
              <w:rPr>
                <w:rFonts w:cs="Calibri"/>
                <w:szCs w:val="20"/>
              </w:rPr>
              <w:t>scientific principles</w:t>
            </w:r>
          </w:p>
          <w:tbl>
            <w:tblPr>
              <w:tblStyle w:val="TableGrid"/>
              <w:tblW w:w="7646" w:type="dxa"/>
              <w:tblLook w:val="04A0" w:firstRow="1" w:lastRow="0" w:firstColumn="1" w:lastColumn="0" w:noHBand="0" w:noVBand="1"/>
            </w:tblPr>
            <w:tblGrid>
              <w:gridCol w:w="3718"/>
              <w:gridCol w:w="3928"/>
            </w:tblGrid>
            <w:tr w:rsidR="007F0950" w:rsidRPr="006508D0" w14:paraId="24F036A9" w14:textId="77777777" w:rsidTr="00505A85">
              <w:tc>
                <w:tcPr>
                  <w:tcW w:w="3718" w:type="dxa"/>
                  <w:tcBorders>
                    <w:top w:val="nil"/>
                    <w:left w:val="nil"/>
                    <w:bottom w:val="nil"/>
                    <w:right w:val="nil"/>
                  </w:tcBorders>
                  <w:tcMar>
                    <w:left w:w="0" w:type="dxa"/>
                  </w:tcMar>
                </w:tcPr>
                <w:p w14:paraId="28AE23E8" w14:textId="77777777" w:rsidR="007F0950" w:rsidRPr="006508D0" w:rsidRDefault="007F0950" w:rsidP="0079105E">
                  <w:pPr>
                    <w:pStyle w:val="ListParagraph"/>
                    <w:numPr>
                      <w:ilvl w:val="0"/>
                      <w:numId w:val="9"/>
                    </w:numPr>
                    <w:spacing w:after="0"/>
                    <w:ind w:left="714" w:hanging="357"/>
                    <w:rPr>
                      <w:rFonts w:cs="Calibri"/>
                      <w:szCs w:val="20"/>
                    </w:rPr>
                  </w:pPr>
                  <w:r w:rsidRPr="006508D0">
                    <w:rPr>
                      <w:rFonts w:cs="Calibri"/>
                      <w:szCs w:val="20"/>
                    </w:rPr>
                    <w:t>chemical and mechanical energy</w:t>
                  </w:r>
                </w:p>
              </w:tc>
              <w:tc>
                <w:tcPr>
                  <w:tcW w:w="3928" w:type="dxa"/>
                  <w:tcBorders>
                    <w:top w:val="nil"/>
                    <w:left w:val="nil"/>
                    <w:bottom w:val="nil"/>
                    <w:right w:val="nil"/>
                  </w:tcBorders>
                  <w:tcMar>
                    <w:left w:w="0" w:type="dxa"/>
                  </w:tcMar>
                </w:tcPr>
                <w:p w14:paraId="3BA430C8" w14:textId="77777777" w:rsidR="007F0950" w:rsidRPr="006508D0" w:rsidRDefault="0050339C" w:rsidP="0079105E">
                  <w:pPr>
                    <w:pStyle w:val="ListParagraph"/>
                    <w:numPr>
                      <w:ilvl w:val="0"/>
                      <w:numId w:val="9"/>
                    </w:numPr>
                    <w:spacing w:after="0"/>
                    <w:ind w:left="714" w:hanging="357"/>
                    <w:rPr>
                      <w:rFonts w:cs="Calibri"/>
                      <w:szCs w:val="20"/>
                    </w:rPr>
                  </w:pPr>
                  <w:r w:rsidRPr="006508D0">
                    <w:rPr>
                      <w:rFonts w:cs="Calibri"/>
                      <w:szCs w:val="20"/>
                    </w:rPr>
                    <w:t>torque</w:t>
                  </w:r>
                </w:p>
              </w:tc>
            </w:tr>
            <w:tr w:rsidR="007F0950" w:rsidRPr="006508D0" w14:paraId="7C65400A" w14:textId="77777777" w:rsidTr="00505A85">
              <w:tc>
                <w:tcPr>
                  <w:tcW w:w="3718" w:type="dxa"/>
                  <w:tcBorders>
                    <w:top w:val="nil"/>
                    <w:left w:val="nil"/>
                    <w:bottom w:val="nil"/>
                    <w:right w:val="nil"/>
                  </w:tcBorders>
                  <w:tcMar>
                    <w:left w:w="0" w:type="dxa"/>
                  </w:tcMar>
                </w:tcPr>
                <w:p w14:paraId="2E6DA83E" w14:textId="77777777" w:rsidR="007F0950" w:rsidRPr="006508D0" w:rsidRDefault="0050339C" w:rsidP="0079105E">
                  <w:pPr>
                    <w:pStyle w:val="ListParagraph"/>
                    <w:numPr>
                      <w:ilvl w:val="0"/>
                      <w:numId w:val="9"/>
                    </w:numPr>
                    <w:spacing w:after="0"/>
                    <w:ind w:left="714" w:hanging="357"/>
                    <w:rPr>
                      <w:rFonts w:cs="Calibri"/>
                      <w:b/>
                      <w:szCs w:val="20"/>
                    </w:rPr>
                  </w:pPr>
                  <w:r w:rsidRPr="006508D0">
                    <w:rPr>
                      <w:rFonts w:cs="Calibri"/>
                      <w:szCs w:val="20"/>
                    </w:rPr>
                    <w:t>energy conversion</w:t>
                  </w:r>
                </w:p>
              </w:tc>
              <w:tc>
                <w:tcPr>
                  <w:tcW w:w="3928" w:type="dxa"/>
                  <w:tcBorders>
                    <w:top w:val="nil"/>
                    <w:left w:val="nil"/>
                    <w:bottom w:val="nil"/>
                    <w:right w:val="nil"/>
                  </w:tcBorders>
                  <w:tcMar>
                    <w:left w:w="0" w:type="dxa"/>
                  </w:tcMar>
                </w:tcPr>
                <w:p w14:paraId="3FDC2ADD" w14:textId="77777777" w:rsidR="007F0950" w:rsidRPr="006508D0" w:rsidRDefault="0050339C" w:rsidP="0079105E">
                  <w:pPr>
                    <w:pStyle w:val="ListParagraph"/>
                    <w:numPr>
                      <w:ilvl w:val="0"/>
                      <w:numId w:val="9"/>
                    </w:numPr>
                    <w:spacing w:after="0"/>
                    <w:ind w:left="714" w:hanging="357"/>
                    <w:rPr>
                      <w:rFonts w:cs="Calibri"/>
                      <w:szCs w:val="20"/>
                    </w:rPr>
                  </w:pPr>
                  <w:r w:rsidRPr="006508D0">
                    <w:rPr>
                      <w:rFonts w:cs="Calibri"/>
                      <w:szCs w:val="20"/>
                    </w:rPr>
                    <w:t>pressure</w:t>
                  </w:r>
                </w:p>
              </w:tc>
            </w:tr>
            <w:tr w:rsidR="0050339C" w:rsidRPr="006508D0" w14:paraId="467FFE1D" w14:textId="77777777" w:rsidTr="00505A85">
              <w:tc>
                <w:tcPr>
                  <w:tcW w:w="3718" w:type="dxa"/>
                  <w:tcBorders>
                    <w:top w:val="nil"/>
                    <w:left w:val="nil"/>
                    <w:bottom w:val="nil"/>
                    <w:right w:val="nil"/>
                  </w:tcBorders>
                  <w:tcMar>
                    <w:left w:w="0" w:type="dxa"/>
                  </w:tcMar>
                </w:tcPr>
                <w:p w14:paraId="5356C514" w14:textId="77777777" w:rsidR="0050339C" w:rsidRPr="006508D0" w:rsidRDefault="0050339C" w:rsidP="0079105E">
                  <w:pPr>
                    <w:pStyle w:val="ListParagraph"/>
                    <w:numPr>
                      <w:ilvl w:val="0"/>
                      <w:numId w:val="9"/>
                    </w:numPr>
                    <w:spacing w:after="0"/>
                    <w:ind w:left="714" w:hanging="357"/>
                    <w:rPr>
                      <w:rFonts w:cs="Calibri"/>
                      <w:b/>
                      <w:szCs w:val="20"/>
                    </w:rPr>
                  </w:pPr>
                  <w:r w:rsidRPr="006508D0">
                    <w:rPr>
                      <w:rFonts w:cs="Calibri"/>
                      <w:szCs w:val="20"/>
                    </w:rPr>
                    <w:t>power</w:t>
                  </w:r>
                </w:p>
              </w:tc>
              <w:tc>
                <w:tcPr>
                  <w:tcW w:w="3928" w:type="dxa"/>
                  <w:vMerge w:val="restart"/>
                  <w:tcBorders>
                    <w:top w:val="nil"/>
                    <w:left w:val="nil"/>
                    <w:bottom w:val="nil"/>
                    <w:right w:val="nil"/>
                  </w:tcBorders>
                  <w:tcMar>
                    <w:left w:w="0" w:type="dxa"/>
                  </w:tcMar>
                </w:tcPr>
                <w:p w14:paraId="42D37D70" w14:textId="17D81239" w:rsidR="0050339C" w:rsidRPr="006508D0" w:rsidRDefault="0050339C" w:rsidP="0079105E">
                  <w:pPr>
                    <w:pStyle w:val="ListParagraph"/>
                    <w:numPr>
                      <w:ilvl w:val="0"/>
                      <w:numId w:val="9"/>
                    </w:numPr>
                    <w:spacing w:after="0"/>
                    <w:ind w:left="714" w:hanging="357"/>
                    <w:rPr>
                      <w:rFonts w:cs="Calibri"/>
                      <w:szCs w:val="20"/>
                    </w:rPr>
                  </w:pPr>
                  <w:r w:rsidRPr="006508D0">
                    <w:rPr>
                      <w:rFonts w:cs="Calibri"/>
                      <w:szCs w:val="20"/>
                    </w:rPr>
                    <w:t>their influence in selecting or modifying automotive technologies for improved performance</w:t>
                  </w:r>
                </w:p>
              </w:tc>
            </w:tr>
            <w:tr w:rsidR="0050339C" w:rsidRPr="006508D0" w14:paraId="4597D8F1" w14:textId="77777777" w:rsidTr="00505A85">
              <w:tc>
                <w:tcPr>
                  <w:tcW w:w="3718" w:type="dxa"/>
                  <w:tcBorders>
                    <w:top w:val="nil"/>
                    <w:left w:val="nil"/>
                    <w:bottom w:val="nil"/>
                    <w:right w:val="nil"/>
                  </w:tcBorders>
                  <w:tcMar>
                    <w:left w:w="0" w:type="dxa"/>
                  </w:tcMar>
                </w:tcPr>
                <w:p w14:paraId="374482DD" w14:textId="77777777" w:rsidR="0050339C" w:rsidRPr="006508D0" w:rsidRDefault="0050339C" w:rsidP="0079105E">
                  <w:pPr>
                    <w:pStyle w:val="ListParagraph"/>
                    <w:numPr>
                      <w:ilvl w:val="0"/>
                      <w:numId w:val="9"/>
                    </w:numPr>
                    <w:spacing w:after="0"/>
                    <w:ind w:left="714" w:hanging="357"/>
                    <w:rPr>
                      <w:rFonts w:cs="Calibri"/>
                      <w:b/>
                      <w:szCs w:val="20"/>
                    </w:rPr>
                  </w:pPr>
                  <w:r w:rsidRPr="006508D0">
                    <w:rPr>
                      <w:rFonts w:cs="Calibri"/>
                      <w:szCs w:val="20"/>
                    </w:rPr>
                    <w:t>motion</w:t>
                  </w:r>
                </w:p>
              </w:tc>
              <w:tc>
                <w:tcPr>
                  <w:tcW w:w="3928" w:type="dxa"/>
                  <w:vMerge/>
                  <w:tcBorders>
                    <w:top w:val="nil"/>
                    <w:left w:val="nil"/>
                    <w:bottom w:val="nil"/>
                    <w:right w:val="nil"/>
                  </w:tcBorders>
                  <w:tcMar>
                    <w:left w:w="0" w:type="dxa"/>
                  </w:tcMar>
                </w:tcPr>
                <w:p w14:paraId="5A5D3A71" w14:textId="77777777" w:rsidR="0050339C" w:rsidRPr="006508D0" w:rsidRDefault="0050339C" w:rsidP="00BF5E63">
                  <w:pPr>
                    <w:pStyle w:val="ListParagraph"/>
                    <w:numPr>
                      <w:ilvl w:val="0"/>
                      <w:numId w:val="9"/>
                    </w:numPr>
                    <w:spacing w:after="0"/>
                    <w:ind w:right="141"/>
                    <w:rPr>
                      <w:rFonts w:cs="Calibri"/>
                      <w:b/>
                      <w:szCs w:val="20"/>
                    </w:rPr>
                  </w:pPr>
                </w:p>
              </w:tc>
            </w:tr>
            <w:tr w:rsidR="0050339C" w:rsidRPr="006508D0" w14:paraId="19527CDC" w14:textId="77777777" w:rsidTr="00505A85">
              <w:tc>
                <w:tcPr>
                  <w:tcW w:w="3718" w:type="dxa"/>
                  <w:tcBorders>
                    <w:top w:val="nil"/>
                    <w:left w:val="nil"/>
                    <w:bottom w:val="nil"/>
                    <w:right w:val="nil"/>
                  </w:tcBorders>
                  <w:tcMar>
                    <w:left w:w="0" w:type="dxa"/>
                  </w:tcMar>
                </w:tcPr>
                <w:p w14:paraId="6D6A71DC" w14:textId="77777777" w:rsidR="0050339C" w:rsidRPr="006508D0" w:rsidRDefault="0050339C" w:rsidP="0079105E">
                  <w:pPr>
                    <w:pStyle w:val="ListParagraph"/>
                    <w:numPr>
                      <w:ilvl w:val="0"/>
                      <w:numId w:val="9"/>
                    </w:numPr>
                    <w:spacing w:after="0"/>
                    <w:ind w:left="714" w:hanging="357"/>
                    <w:rPr>
                      <w:rFonts w:cs="Calibri"/>
                      <w:szCs w:val="20"/>
                    </w:rPr>
                  </w:pPr>
                  <w:r w:rsidRPr="006508D0">
                    <w:rPr>
                      <w:rFonts w:cs="Calibri"/>
                      <w:szCs w:val="20"/>
                    </w:rPr>
                    <w:t>friction and lubrication</w:t>
                  </w:r>
                </w:p>
              </w:tc>
              <w:tc>
                <w:tcPr>
                  <w:tcW w:w="3928" w:type="dxa"/>
                  <w:vMerge/>
                  <w:tcBorders>
                    <w:top w:val="nil"/>
                    <w:left w:val="nil"/>
                    <w:bottom w:val="nil"/>
                    <w:right w:val="nil"/>
                  </w:tcBorders>
                  <w:tcMar>
                    <w:left w:w="0" w:type="dxa"/>
                  </w:tcMar>
                </w:tcPr>
                <w:p w14:paraId="279EFCBC" w14:textId="77777777" w:rsidR="0050339C" w:rsidRPr="006508D0" w:rsidRDefault="0050339C" w:rsidP="00BF5E63">
                  <w:pPr>
                    <w:pStyle w:val="ListParagraph"/>
                    <w:numPr>
                      <w:ilvl w:val="0"/>
                      <w:numId w:val="9"/>
                    </w:numPr>
                    <w:spacing w:after="0"/>
                    <w:ind w:left="454" w:right="141" w:hanging="283"/>
                    <w:rPr>
                      <w:rFonts w:cs="Calibri"/>
                      <w:szCs w:val="20"/>
                    </w:rPr>
                  </w:pPr>
                </w:p>
              </w:tc>
            </w:tr>
          </w:tbl>
          <w:p w14:paraId="0E8CA869" w14:textId="77777777" w:rsidR="00012FD4" w:rsidRPr="006508D0" w:rsidRDefault="00012FD4" w:rsidP="006508D0">
            <w:pPr>
              <w:pStyle w:val="SCSATableHeading"/>
              <w:spacing w:before="120"/>
            </w:pPr>
            <w:r w:rsidRPr="006508D0">
              <w:t>Systems</w:t>
            </w:r>
          </w:p>
          <w:p w14:paraId="452574B3" w14:textId="4F918F38" w:rsidR="00012FD4" w:rsidRPr="006508D0" w:rsidRDefault="00012FD4" w:rsidP="00505A85">
            <w:pPr>
              <w:numPr>
                <w:ilvl w:val="0"/>
                <w:numId w:val="4"/>
              </w:numPr>
              <w:spacing w:after="0"/>
              <w:ind w:left="357" w:hanging="357"/>
              <w:rPr>
                <w:rFonts w:cs="Calibri"/>
                <w:szCs w:val="20"/>
              </w:rPr>
            </w:pPr>
            <w:r w:rsidRPr="006508D0">
              <w:rPr>
                <w:rFonts w:cs="Calibri"/>
                <w:szCs w:val="20"/>
              </w:rPr>
              <w:t>relationships between the various systems that make up an automotive power plant or vehicle</w:t>
            </w:r>
          </w:p>
          <w:tbl>
            <w:tblPr>
              <w:tblStyle w:val="TableGrid"/>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44"/>
            </w:tblGrid>
            <w:tr w:rsidR="00F16B71" w:rsidRPr="006508D0" w14:paraId="00C991CD" w14:textId="77777777" w:rsidTr="00505A85">
              <w:tc>
                <w:tcPr>
                  <w:tcW w:w="3539" w:type="dxa"/>
                  <w:tcMar>
                    <w:left w:w="0" w:type="dxa"/>
                  </w:tcMar>
                </w:tcPr>
                <w:p w14:paraId="48FAC57A"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driveline</w:t>
                  </w:r>
                </w:p>
              </w:tc>
              <w:tc>
                <w:tcPr>
                  <w:tcW w:w="3544" w:type="dxa"/>
                  <w:tcMar>
                    <w:left w:w="0" w:type="dxa"/>
                  </w:tcMar>
                </w:tcPr>
                <w:p w14:paraId="5776B9FA"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electrical systems</w:t>
                  </w:r>
                </w:p>
              </w:tc>
            </w:tr>
            <w:tr w:rsidR="00F16B71" w:rsidRPr="006508D0" w14:paraId="771EAC36" w14:textId="77777777" w:rsidTr="00505A85">
              <w:tc>
                <w:tcPr>
                  <w:tcW w:w="3539" w:type="dxa"/>
                  <w:tcMar>
                    <w:left w:w="0" w:type="dxa"/>
                  </w:tcMar>
                </w:tcPr>
                <w:p w14:paraId="4FEB211D"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wheels and tyres</w:t>
                  </w:r>
                </w:p>
              </w:tc>
              <w:tc>
                <w:tcPr>
                  <w:tcW w:w="3544" w:type="dxa"/>
                  <w:tcMar>
                    <w:left w:w="0" w:type="dxa"/>
                  </w:tcMar>
                </w:tcPr>
                <w:p w14:paraId="0A6245DC"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cooling systems</w:t>
                  </w:r>
                </w:p>
              </w:tc>
            </w:tr>
            <w:tr w:rsidR="00F16B71" w:rsidRPr="006508D0" w14:paraId="74AAAD9C" w14:textId="77777777" w:rsidTr="00505A85">
              <w:tc>
                <w:tcPr>
                  <w:tcW w:w="3539" w:type="dxa"/>
                  <w:tcMar>
                    <w:left w:w="0" w:type="dxa"/>
                  </w:tcMar>
                </w:tcPr>
                <w:p w14:paraId="6EC182A9"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steering and suspension</w:t>
                  </w:r>
                </w:p>
              </w:tc>
              <w:tc>
                <w:tcPr>
                  <w:tcW w:w="3544" w:type="dxa"/>
                  <w:tcMar>
                    <w:left w:w="0" w:type="dxa"/>
                  </w:tcMar>
                </w:tcPr>
                <w:p w14:paraId="10BE6EBB" w14:textId="625A7085"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hydraulic braking systems</w:t>
                  </w:r>
                </w:p>
              </w:tc>
            </w:tr>
            <w:tr w:rsidR="00F16B71" w:rsidRPr="006508D0" w14:paraId="26F5EB87" w14:textId="77777777" w:rsidTr="00505A85">
              <w:tc>
                <w:tcPr>
                  <w:tcW w:w="3539" w:type="dxa"/>
                  <w:tcMar>
                    <w:left w:w="0" w:type="dxa"/>
                  </w:tcMar>
                </w:tcPr>
                <w:p w14:paraId="52D323EB" w14:textId="77777777" w:rsidR="00F16B71" w:rsidRPr="006508D0" w:rsidRDefault="00F16B71" w:rsidP="0079105E">
                  <w:pPr>
                    <w:pStyle w:val="ListParagraph"/>
                    <w:numPr>
                      <w:ilvl w:val="0"/>
                      <w:numId w:val="9"/>
                    </w:numPr>
                    <w:spacing w:after="0"/>
                    <w:ind w:left="714" w:hanging="357"/>
                    <w:rPr>
                      <w:rFonts w:cs="Calibri"/>
                      <w:szCs w:val="20"/>
                    </w:rPr>
                  </w:pPr>
                  <w:r w:rsidRPr="006508D0">
                    <w:rPr>
                      <w:rFonts w:cs="Calibri"/>
                      <w:szCs w:val="20"/>
                    </w:rPr>
                    <w:t>body and frame construction</w:t>
                  </w:r>
                </w:p>
              </w:tc>
              <w:tc>
                <w:tcPr>
                  <w:tcW w:w="3544" w:type="dxa"/>
                  <w:tcMar>
                    <w:left w:w="0" w:type="dxa"/>
                  </w:tcMar>
                </w:tcPr>
                <w:p w14:paraId="0915DE18" w14:textId="77777777" w:rsidR="00F16B71" w:rsidRPr="006508D0" w:rsidRDefault="00F16B71" w:rsidP="00BF5E63">
                  <w:pPr>
                    <w:spacing w:after="0"/>
                    <w:ind w:left="360" w:right="141"/>
                    <w:rPr>
                      <w:rFonts w:cs="Calibri"/>
                      <w:szCs w:val="20"/>
                    </w:rPr>
                  </w:pPr>
                </w:p>
              </w:tc>
            </w:tr>
          </w:tbl>
          <w:p w14:paraId="43596559" w14:textId="77777777" w:rsidR="00012FD4" w:rsidRPr="006508D0" w:rsidRDefault="00012FD4" w:rsidP="00BF5E63">
            <w:pPr>
              <w:spacing w:after="0"/>
              <w:rPr>
                <w:rFonts w:cs="Calibri"/>
                <w:szCs w:val="20"/>
              </w:rPr>
            </w:pPr>
          </w:p>
        </w:tc>
      </w:tr>
      <w:tr w:rsidR="004565EB" w:rsidRPr="006508D0" w14:paraId="127BC837" w14:textId="77777777" w:rsidTr="0079105E">
        <w:trPr>
          <w:trHeight w:val="23"/>
        </w:trPr>
        <w:tc>
          <w:tcPr>
            <w:tcW w:w="523" w:type="pct"/>
            <w:shd w:val="clear" w:color="auto" w:fill="E4D8EB"/>
            <w:vAlign w:val="center"/>
          </w:tcPr>
          <w:p w14:paraId="0FE02489" w14:textId="77777777" w:rsidR="004565EB" w:rsidRPr="006508D0" w:rsidRDefault="004565EB" w:rsidP="00BF5E63">
            <w:pPr>
              <w:spacing w:after="0"/>
              <w:jc w:val="center"/>
              <w:rPr>
                <w:rFonts w:cs="Calibri"/>
                <w:szCs w:val="20"/>
              </w:rPr>
            </w:pPr>
            <w:r w:rsidRPr="006508D0">
              <w:rPr>
                <w:rFonts w:cs="Calibri"/>
                <w:szCs w:val="20"/>
              </w:rPr>
              <w:t>6–8</w:t>
            </w:r>
          </w:p>
        </w:tc>
        <w:tc>
          <w:tcPr>
            <w:tcW w:w="4477" w:type="pct"/>
          </w:tcPr>
          <w:p w14:paraId="24E647AE" w14:textId="77777777" w:rsidR="004565EB" w:rsidRPr="006508D0" w:rsidRDefault="004565EB" w:rsidP="006508D0">
            <w:pPr>
              <w:pStyle w:val="SCSATableHeading"/>
            </w:pPr>
            <w:r w:rsidRPr="006508D0">
              <w:t>Maintenance and repair</w:t>
            </w:r>
          </w:p>
          <w:p w14:paraId="3158A29F" w14:textId="6E250108" w:rsidR="004565EB" w:rsidRPr="006508D0" w:rsidRDefault="004565EB" w:rsidP="006508D0">
            <w:pPr>
              <w:pStyle w:val="ListParagraph"/>
              <w:numPr>
                <w:ilvl w:val="0"/>
                <w:numId w:val="13"/>
              </w:numPr>
            </w:pPr>
            <w:r w:rsidRPr="006508D0">
              <w:t>demonstrate maintenance, testing and repair/replacement of major components in motor vehicle systems</w:t>
            </w:r>
          </w:p>
          <w:p w14:paraId="30638162" w14:textId="77777777" w:rsidR="004565EB" w:rsidRPr="006508D0" w:rsidRDefault="004565EB" w:rsidP="006508D0">
            <w:pPr>
              <w:pStyle w:val="ListParagraph"/>
              <w:numPr>
                <w:ilvl w:val="1"/>
                <w:numId w:val="13"/>
              </w:numPr>
            </w:pPr>
            <w:r w:rsidRPr="006508D0">
              <w:t>electrical system</w:t>
            </w:r>
          </w:p>
          <w:p w14:paraId="74675B59" w14:textId="77777777" w:rsidR="004565EB" w:rsidRPr="006508D0" w:rsidRDefault="004565EB" w:rsidP="006508D0">
            <w:pPr>
              <w:pStyle w:val="ListParagraph"/>
              <w:numPr>
                <w:ilvl w:val="1"/>
                <w:numId w:val="13"/>
              </w:numPr>
            </w:pPr>
            <w:r w:rsidRPr="006508D0">
              <w:t>cooling system</w:t>
            </w:r>
          </w:p>
          <w:p w14:paraId="3C2861DD" w14:textId="1CE47F76" w:rsidR="004565EB" w:rsidRPr="006508D0" w:rsidRDefault="004565EB" w:rsidP="006508D0">
            <w:pPr>
              <w:pStyle w:val="ListParagraph"/>
              <w:numPr>
                <w:ilvl w:val="1"/>
                <w:numId w:val="13"/>
              </w:numPr>
            </w:pPr>
            <w:r w:rsidRPr="006508D0">
              <w:t>fuel and lubrication systems</w:t>
            </w:r>
          </w:p>
          <w:p w14:paraId="743F30ED" w14:textId="16257C92" w:rsidR="004565EB" w:rsidRPr="006508D0" w:rsidRDefault="004565EB" w:rsidP="006508D0">
            <w:pPr>
              <w:pStyle w:val="ListParagraph"/>
              <w:numPr>
                <w:ilvl w:val="0"/>
                <w:numId w:val="13"/>
              </w:numPr>
            </w:pPr>
            <w:r w:rsidRPr="006508D0">
              <w:t>perform adjustment of bearings and removal and repair of motor vehicle components, including wheels, body and mechanical parts</w:t>
            </w:r>
          </w:p>
          <w:p w14:paraId="3744E58A" w14:textId="46103386" w:rsidR="004565EB" w:rsidRPr="006508D0" w:rsidRDefault="004565EB" w:rsidP="006508D0">
            <w:pPr>
              <w:pStyle w:val="ListParagraph"/>
              <w:numPr>
                <w:ilvl w:val="0"/>
                <w:numId w:val="13"/>
              </w:numPr>
            </w:pPr>
            <w:r w:rsidRPr="006508D0">
              <w:t>identify and use flow charts and problem-solving skills to diagnose faults in conjunction with the use of specialised tools and equipment</w:t>
            </w:r>
          </w:p>
          <w:p w14:paraId="6926B945" w14:textId="5B76969D" w:rsidR="004565EB" w:rsidRPr="006508D0" w:rsidRDefault="004565EB" w:rsidP="006508D0">
            <w:pPr>
              <w:pStyle w:val="ListParagraph"/>
              <w:numPr>
                <w:ilvl w:val="0"/>
                <w:numId w:val="13"/>
              </w:numPr>
            </w:pPr>
            <w:r w:rsidRPr="006508D0">
              <w:t>perform servicing, repair and maintenance requirements of various types of engines</w:t>
            </w:r>
          </w:p>
          <w:p w14:paraId="0D9E799D" w14:textId="5499F88C" w:rsidR="004565EB" w:rsidRPr="006508D0" w:rsidRDefault="004565EB" w:rsidP="006508D0">
            <w:pPr>
              <w:pStyle w:val="ListParagraph"/>
              <w:numPr>
                <w:ilvl w:val="0"/>
                <w:numId w:val="13"/>
              </w:numPr>
            </w:pPr>
            <w:r w:rsidRPr="006508D0">
              <w:t>identify materials and parts required for optimising the performance of various types of engines</w:t>
            </w:r>
          </w:p>
          <w:p w14:paraId="76F0E485" w14:textId="18B74729" w:rsidR="004565EB" w:rsidRPr="006508D0" w:rsidRDefault="004565EB" w:rsidP="006508D0">
            <w:pPr>
              <w:pStyle w:val="ListParagraph"/>
              <w:numPr>
                <w:ilvl w:val="0"/>
                <w:numId w:val="13"/>
              </w:numPr>
              <w:spacing w:after="0"/>
              <w:rPr>
                <w:rFonts w:cs="Calibri"/>
                <w:szCs w:val="20"/>
              </w:rPr>
            </w:pPr>
            <w:r w:rsidRPr="006508D0">
              <w:t xml:space="preserve">apply safety data information and workshop </w:t>
            </w:r>
            <w:r w:rsidR="00656D5F" w:rsidRPr="006508D0">
              <w:t xml:space="preserve">work health and safety </w:t>
            </w:r>
            <w:r w:rsidRPr="006508D0">
              <w:t>regulations to both individuals and small groups</w:t>
            </w:r>
          </w:p>
        </w:tc>
      </w:tr>
      <w:tr w:rsidR="004565EB" w:rsidRPr="006508D0" w14:paraId="5EBEC48B" w14:textId="77777777" w:rsidTr="0079105E">
        <w:trPr>
          <w:trHeight w:val="23"/>
        </w:trPr>
        <w:tc>
          <w:tcPr>
            <w:tcW w:w="523" w:type="pct"/>
            <w:shd w:val="clear" w:color="auto" w:fill="E4D8EB"/>
            <w:vAlign w:val="center"/>
            <w:hideMark/>
          </w:tcPr>
          <w:p w14:paraId="2EC1C7DD" w14:textId="77777777" w:rsidR="004565EB" w:rsidRPr="006508D0" w:rsidRDefault="004565EB" w:rsidP="006508D0">
            <w:pPr>
              <w:spacing w:after="0"/>
              <w:jc w:val="center"/>
              <w:rPr>
                <w:rFonts w:cs="Calibri"/>
                <w:szCs w:val="20"/>
              </w:rPr>
            </w:pPr>
            <w:r w:rsidRPr="006508D0">
              <w:rPr>
                <w:rFonts w:cs="Calibri"/>
                <w:szCs w:val="20"/>
              </w:rPr>
              <w:lastRenderedPageBreak/>
              <w:t>9–10</w:t>
            </w:r>
          </w:p>
        </w:tc>
        <w:tc>
          <w:tcPr>
            <w:tcW w:w="4477" w:type="pct"/>
          </w:tcPr>
          <w:p w14:paraId="5B1D297F" w14:textId="519191E0" w:rsidR="004565EB" w:rsidRPr="006508D0" w:rsidRDefault="004565EB" w:rsidP="006508D0">
            <w:pPr>
              <w:pStyle w:val="SCSATableHeading"/>
            </w:pPr>
            <w:r w:rsidRPr="006508D0">
              <w:t>Design</w:t>
            </w:r>
          </w:p>
          <w:p w14:paraId="08CDE088" w14:textId="0566D897" w:rsidR="004565EB" w:rsidRPr="006508D0" w:rsidRDefault="004565EB" w:rsidP="006508D0">
            <w:pPr>
              <w:pStyle w:val="ListParagraph"/>
              <w:numPr>
                <w:ilvl w:val="0"/>
                <w:numId w:val="14"/>
              </w:numPr>
            </w:pPr>
            <w:r w:rsidRPr="006508D0">
              <w:t>elements of design and techniques for generating and communicating design ideas</w:t>
            </w:r>
          </w:p>
          <w:p w14:paraId="5D2B6A64" w14:textId="7B72A489" w:rsidR="004565EB" w:rsidRPr="006508D0" w:rsidRDefault="004565EB" w:rsidP="006508D0">
            <w:pPr>
              <w:pStyle w:val="ListParagraph"/>
              <w:numPr>
                <w:ilvl w:val="0"/>
                <w:numId w:val="14"/>
              </w:numPr>
            </w:pPr>
            <w:r w:rsidRPr="006508D0">
              <w:t>historical changes in design of automotive technologies, and their interaction with changing cultural values</w:t>
            </w:r>
          </w:p>
          <w:p w14:paraId="659D65E1" w14:textId="5E81858A" w:rsidR="004565EB" w:rsidRPr="006508D0" w:rsidRDefault="004565EB" w:rsidP="006508D0">
            <w:pPr>
              <w:pStyle w:val="SCSATableHeading"/>
            </w:pPr>
            <w:r w:rsidRPr="006508D0">
              <w:t>Managing production</w:t>
            </w:r>
          </w:p>
          <w:p w14:paraId="625A43A0" w14:textId="1EF2A103" w:rsidR="004565EB" w:rsidRPr="006508D0" w:rsidRDefault="006E73F4" w:rsidP="006508D0">
            <w:pPr>
              <w:pStyle w:val="ListParagraph"/>
              <w:numPr>
                <w:ilvl w:val="0"/>
                <w:numId w:val="15"/>
              </w:numPr>
            </w:pPr>
            <w:r w:rsidRPr="006508D0">
              <w:t>prepare and use planning for, and</w:t>
            </w:r>
            <w:r w:rsidR="004565EB" w:rsidRPr="006508D0">
              <w:t xml:space="preserve"> management of</w:t>
            </w:r>
            <w:r w:rsidR="00407E94" w:rsidRPr="006508D0">
              <w:t>,</w:t>
            </w:r>
            <w:r w:rsidR="004565EB" w:rsidRPr="006508D0">
              <w:t xml:space="preserve"> small-scale production of prototypes, incorporating design elements underpinned by research and performance testing</w:t>
            </w:r>
          </w:p>
          <w:p w14:paraId="3BE137A1" w14:textId="68D5246F" w:rsidR="004565EB" w:rsidRPr="006508D0" w:rsidRDefault="004565EB" w:rsidP="006508D0">
            <w:pPr>
              <w:pStyle w:val="SCSATableHeading"/>
            </w:pPr>
            <w:r w:rsidRPr="006508D0">
              <w:t>Materials</w:t>
            </w:r>
          </w:p>
          <w:p w14:paraId="4A1FE18C" w14:textId="127759CD" w:rsidR="004565EB" w:rsidRPr="006508D0" w:rsidRDefault="004565EB" w:rsidP="006508D0">
            <w:pPr>
              <w:pStyle w:val="ListParagraph"/>
              <w:numPr>
                <w:ilvl w:val="0"/>
                <w:numId w:val="16"/>
              </w:numPr>
            </w:pPr>
            <w:r w:rsidRPr="006508D0">
              <w:t>historical perspectives of materials used in the automotive industry, and how they have evolved with changing values and needs of society</w:t>
            </w:r>
          </w:p>
          <w:p w14:paraId="5EC24ADC" w14:textId="6C7E7E2B" w:rsidR="00430063" w:rsidRPr="006508D0" w:rsidRDefault="004565EB" w:rsidP="006508D0">
            <w:pPr>
              <w:pStyle w:val="ListParagraph"/>
              <w:numPr>
                <w:ilvl w:val="0"/>
                <w:numId w:val="16"/>
              </w:numPr>
              <w:spacing w:after="0"/>
              <w:rPr>
                <w:rFonts w:cs="Calibri"/>
                <w:szCs w:val="20"/>
              </w:rPr>
            </w:pPr>
            <w:r w:rsidRPr="006508D0">
              <w:t>service repair and maintenance of automotive vehicles using computer-assisted techniques and fabrication skills</w:t>
            </w:r>
          </w:p>
        </w:tc>
      </w:tr>
      <w:tr w:rsidR="004565EB" w:rsidRPr="006508D0" w14:paraId="7B2C43C2" w14:textId="77777777" w:rsidTr="0079105E">
        <w:trPr>
          <w:cantSplit/>
          <w:trHeight w:val="23"/>
        </w:trPr>
        <w:tc>
          <w:tcPr>
            <w:tcW w:w="523" w:type="pct"/>
            <w:shd w:val="clear" w:color="auto" w:fill="E4D8EB"/>
            <w:vAlign w:val="center"/>
            <w:hideMark/>
          </w:tcPr>
          <w:p w14:paraId="5786F48B" w14:textId="77777777" w:rsidR="004565EB" w:rsidRPr="006508D0" w:rsidRDefault="00C85270" w:rsidP="00BF5E63">
            <w:pPr>
              <w:spacing w:after="0"/>
              <w:jc w:val="center"/>
              <w:rPr>
                <w:rFonts w:cs="Calibri"/>
                <w:szCs w:val="20"/>
              </w:rPr>
            </w:pPr>
            <w:r w:rsidRPr="006508D0">
              <w:rPr>
                <w:rFonts w:cs="Calibri"/>
                <w:szCs w:val="20"/>
              </w:rPr>
              <w:t>11–15</w:t>
            </w:r>
          </w:p>
        </w:tc>
        <w:tc>
          <w:tcPr>
            <w:tcW w:w="4477" w:type="pct"/>
          </w:tcPr>
          <w:p w14:paraId="6F604F7C" w14:textId="77777777" w:rsidR="00012FD4" w:rsidRPr="006508D0" w:rsidRDefault="00012FD4" w:rsidP="006508D0">
            <w:pPr>
              <w:pStyle w:val="SCSATableHeading"/>
            </w:pPr>
            <w:r w:rsidRPr="006508D0">
              <w:t>Automotive industry</w:t>
            </w:r>
          </w:p>
          <w:p w14:paraId="5CD643D4" w14:textId="77777777" w:rsidR="00012FD4" w:rsidRPr="006508D0" w:rsidRDefault="00DF3197" w:rsidP="006508D0">
            <w:pPr>
              <w:pStyle w:val="SCSATableHeading"/>
            </w:pPr>
            <w:r w:rsidRPr="006508D0">
              <w:t>Rules and regulations</w:t>
            </w:r>
          </w:p>
          <w:p w14:paraId="22F4F88E" w14:textId="4C3FE19B" w:rsidR="00012FD4" w:rsidRPr="006508D0" w:rsidRDefault="00012FD4" w:rsidP="006508D0">
            <w:pPr>
              <w:pStyle w:val="ListParagraph"/>
              <w:numPr>
                <w:ilvl w:val="0"/>
                <w:numId w:val="17"/>
              </w:numPr>
            </w:pPr>
            <w:r w:rsidRPr="006508D0">
              <w:t>traffic rules associate</w:t>
            </w:r>
            <w:r w:rsidR="00DF3197" w:rsidRPr="006508D0">
              <w:t>d with the safe use of vehicles</w:t>
            </w:r>
          </w:p>
          <w:p w14:paraId="2AF01F94" w14:textId="059DE0A8" w:rsidR="00012FD4" w:rsidRPr="006508D0" w:rsidRDefault="00012FD4" w:rsidP="006508D0">
            <w:pPr>
              <w:pStyle w:val="ListParagraph"/>
              <w:numPr>
                <w:ilvl w:val="0"/>
                <w:numId w:val="17"/>
              </w:numPr>
            </w:pPr>
            <w:r w:rsidRPr="006508D0">
              <w:t>specific road traffic control for different types of vehicles</w:t>
            </w:r>
          </w:p>
          <w:p w14:paraId="58F828E3" w14:textId="77777777" w:rsidR="00012FD4" w:rsidRPr="006508D0" w:rsidRDefault="00012FD4" w:rsidP="006508D0">
            <w:pPr>
              <w:pStyle w:val="SCSATableHeading"/>
            </w:pPr>
            <w:r w:rsidRPr="006508D0">
              <w:t>Social, economic and environmenta</w:t>
            </w:r>
            <w:r w:rsidR="00AA057B" w:rsidRPr="006508D0">
              <w:t>l implications and consequences</w:t>
            </w:r>
          </w:p>
          <w:p w14:paraId="4345682D" w14:textId="53CEE428" w:rsidR="00012FD4" w:rsidRPr="006508D0" w:rsidRDefault="00012FD4" w:rsidP="006508D0">
            <w:pPr>
              <w:pStyle w:val="ListParagraph"/>
              <w:numPr>
                <w:ilvl w:val="0"/>
                <w:numId w:val="18"/>
              </w:numPr>
            </w:pPr>
            <w:r w:rsidRPr="006508D0">
              <w:t>relationships between changes in automotive technologies and impacts on communities and society</w:t>
            </w:r>
          </w:p>
          <w:p w14:paraId="58BA6CC6" w14:textId="1C342499" w:rsidR="00012FD4" w:rsidRPr="006508D0" w:rsidRDefault="00012FD4" w:rsidP="006508D0">
            <w:pPr>
              <w:pStyle w:val="ListParagraph"/>
              <w:numPr>
                <w:ilvl w:val="0"/>
                <w:numId w:val="18"/>
              </w:numPr>
            </w:pPr>
            <w:r w:rsidRPr="006508D0">
              <w:t>current legislation and environmental regulations associated with engine designs and manufacture of automotive technologies</w:t>
            </w:r>
          </w:p>
          <w:p w14:paraId="02EBCD63" w14:textId="01DD9A90" w:rsidR="00012FD4" w:rsidRPr="006508D0" w:rsidRDefault="00012FD4" w:rsidP="006508D0">
            <w:pPr>
              <w:pStyle w:val="ListParagraph"/>
              <w:numPr>
                <w:ilvl w:val="0"/>
                <w:numId w:val="18"/>
              </w:numPr>
            </w:pPr>
            <w:r w:rsidRPr="006508D0">
              <w:t>local and global concerns for:</w:t>
            </w:r>
          </w:p>
          <w:p w14:paraId="2B330032" w14:textId="77777777" w:rsidR="00012FD4" w:rsidRPr="006508D0" w:rsidRDefault="00012FD4" w:rsidP="006508D0">
            <w:pPr>
              <w:pStyle w:val="ListParagraph"/>
              <w:numPr>
                <w:ilvl w:val="1"/>
                <w:numId w:val="18"/>
              </w:numPr>
            </w:pPr>
            <w:r w:rsidRPr="006508D0">
              <w:t xml:space="preserve">advancements in automotive technologies </w:t>
            </w:r>
          </w:p>
          <w:p w14:paraId="5E9B3E9A" w14:textId="77777777" w:rsidR="00012FD4" w:rsidRPr="006508D0" w:rsidRDefault="00012FD4" w:rsidP="006508D0">
            <w:pPr>
              <w:pStyle w:val="ListParagraph"/>
              <w:numPr>
                <w:ilvl w:val="1"/>
                <w:numId w:val="18"/>
              </w:numPr>
            </w:pPr>
            <w:r w:rsidRPr="006508D0">
              <w:t>demands for transport of materials and people</w:t>
            </w:r>
          </w:p>
          <w:p w14:paraId="04BD92E2" w14:textId="3FF3B55D" w:rsidR="00012FD4" w:rsidRPr="006508D0" w:rsidRDefault="00012FD4" w:rsidP="006508D0">
            <w:pPr>
              <w:pStyle w:val="ListParagraph"/>
              <w:numPr>
                <w:ilvl w:val="1"/>
                <w:numId w:val="18"/>
              </w:numPr>
            </w:pPr>
            <w:r w:rsidRPr="006508D0">
              <w:t>environmental sustainability</w:t>
            </w:r>
          </w:p>
          <w:p w14:paraId="012C8352" w14:textId="77777777" w:rsidR="004565EB" w:rsidRPr="006508D0" w:rsidRDefault="00AA057B" w:rsidP="006508D0">
            <w:pPr>
              <w:pStyle w:val="SCSATableHeading"/>
            </w:pPr>
            <w:r w:rsidRPr="006508D0">
              <w:t>Managing production</w:t>
            </w:r>
          </w:p>
          <w:p w14:paraId="2CF2D6EE" w14:textId="3F92578B" w:rsidR="004565EB" w:rsidRPr="006508D0" w:rsidRDefault="004565EB" w:rsidP="006508D0">
            <w:pPr>
              <w:pStyle w:val="ListParagraph"/>
              <w:numPr>
                <w:ilvl w:val="0"/>
                <w:numId w:val="19"/>
              </w:numPr>
              <w:spacing w:after="0"/>
              <w:rPr>
                <w:rFonts w:cs="Calibri"/>
                <w:bCs/>
                <w:szCs w:val="20"/>
              </w:rPr>
            </w:pPr>
            <w:r w:rsidRPr="006508D0">
              <w:t>prepare and use planning for, and management of</w:t>
            </w:r>
            <w:r w:rsidR="00407E94" w:rsidRPr="006508D0">
              <w:t>,</w:t>
            </w:r>
            <w:r w:rsidRPr="006508D0">
              <w:t xml:space="preserve"> small-scale production of prototypes, incorporating design elements underpinned by research and performance testing</w:t>
            </w:r>
          </w:p>
        </w:tc>
      </w:tr>
      <w:tr w:rsidR="004565EB" w:rsidRPr="006508D0" w14:paraId="37128CF5" w14:textId="77777777" w:rsidTr="0079105E">
        <w:trPr>
          <w:trHeight w:val="23"/>
        </w:trPr>
        <w:tc>
          <w:tcPr>
            <w:tcW w:w="523" w:type="pct"/>
            <w:shd w:val="clear" w:color="auto" w:fill="E4D8EB"/>
            <w:vAlign w:val="center"/>
          </w:tcPr>
          <w:p w14:paraId="6C30631F" w14:textId="77777777" w:rsidR="004565EB" w:rsidRPr="006508D0" w:rsidRDefault="008843D4" w:rsidP="00BF5E63">
            <w:pPr>
              <w:spacing w:after="0"/>
              <w:jc w:val="center"/>
              <w:rPr>
                <w:rFonts w:cs="Calibri"/>
                <w:szCs w:val="20"/>
              </w:rPr>
            </w:pPr>
            <w:r w:rsidRPr="006508D0">
              <w:rPr>
                <w:rFonts w:cs="Calibri"/>
                <w:szCs w:val="20"/>
              </w:rPr>
              <w:t>13</w:t>
            </w:r>
          </w:p>
        </w:tc>
        <w:tc>
          <w:tcPr>
            <w:tcW w:w="4477" w:type="pct"/>
          </w:tcPr>
          <w:p w14:paraId="1757853D" w14:textId="32D76790" w:rsidR="004565EB" w:rsidRPr="006508D0" w:rsidRDefault="00880FFB" w:rsidP="006508D0">
            <w:pPr>
              <w:pStyle w:val="SCSATableHeading"/>
            </w:pPr>
            <w:r w:rsidRPr="006508D0">
              <w:t>Externally s</w:t>
            </w:r>
            <w:r w:rsidR="004565EB" w:rsidRPr="006508D0">
              <w:t>et task</w:t>
            </w:r>
          </w:p>
          <w:p w14:paraId="139F3B12" w14:textId="60DB87EB" w:rsidR="004565EB" w:rsidRPr="006508D0" w:rsidRDefault="004565EB" w:rsidP="006508D0">
            <w:r w:rsidRPr="006508D0">
              <w:t xml:space="preserve">All students enrolled in the </w:t>
            </w:r>
            <w:r w:rsidR="00F34AE9" w:rsidRPr="006508D0">
              <w:t>Automotive Engineering and Technology</w:t>
            </w:r>
            <w:r w:rsidRPr="006508D0">
              <w:t xml:space="preserve"> General Year 12 course will complete the externally set task developed by the </w:t>
            </w:r>
            <w:r w:rsidR="00F850E6" w:rsidRPr="006508D0">
              <w:t xml:space="preserve">School Curriculum and Standards </w:t>
            </w:r>
            <w:r w:rsidRPr="006508D0">
              <w:t>Authority</w:t>
            </w:r>
            <w:r w:rsidR="00F850E6" w:rsidRPr="006508D0">
              <w:t xml:space="preserve"> (the Authority)</w:t>
            </w:r>
            <w:r w:rsidRPr="006508D0">
              <w:t>.</w:t>
            </w:r>
          </w:p>
          <w:p w14:paraId="5EA9E712" w14:textId="77777777" w:rsidR="004565EB" w:rsidRPr="006508D0" w:rsidRDefault="004565EB" w:rsidP="006508D0">
            <w:pPr>
              <w:spacing w:after="0"/>
            </w:pPr>
            <w:r w:rsidRPr="006508D0">
              <w:rPr>
                <w:rFonts w:ascii="Calibri" w:hAnsi="Calibri" w:cs="Calibri"/>
                <w:szCs w:val="20"/>
              </w:rPr>
              <w:t xml:space="preserve">Schools are required to administer this task in Term 2 </w:t>
            </w:r>
            <w:r w:rsidR="00CE080B" w:rsidRPr="006508D0">
              <w:rPr>
                <w:rFonts w:ascii="Calibri" w:hAnsi="Calibri" w:cs="Calibri"/>
                <w:szCs w:val="20"/>
              </w:rPr>
              <w:t xml:space="preserve">during </w:t>
            </w:r>
            <w:proofErr w:type="gramStart"/>
            <w:r w:rsidR="00CE080B" w:rsidRPr="006508D0">
              <w:rPr>
                <w:rFonts w:ascii="Calibri" w:hAnsi="Calibri" w:cs="Calibri"/>
                <w:szCs w:val="20"/>
              </w:rPr>
              <w:t>a period of time</w:t>
            </w:r>
            <w:proofErr w:type="gramEnd"/>
            <w:r w:rsidRPr="006508D0">
              <w:rPr>
                <w:rFonts w:ascii="Calibri" w:hAnsi="Calibri" w:cs="Calibri"/>
                <w:szCs w:val="20"/>
              </w:rPr>
              <w:t xml:space="preserve"> prescribed by the Authority</w:t>
            </w:r>
            <w:r w:rsidR="00880FFB" w:rsidRPr="006508D0">
              <w:rPr>
                <w:rFonts w:ascii="Calibri" w:hAnsi="Calibri" w:cs="Calibri"/>
                <w:szCs w:val="20"/>
              </w:rPr>
              <w:t>.</w:t>
            </w:r>
          </w:p>
        </w:tc>
      </w:tr>
    </w:tbl>
    <w:p w14:paraId="060A43E8" w14:textId="77777777" w:rsidR="0079105E" w:rsidRPr="006508D0" w:rsidRDefault="0079105E" w:rsidP="006508D0">
      <w:r w:rsidRPr="006508D0">
        <w:br w:type="page"/>
      </w:r>
    </w:p>
    <w:p w14:paraId="5DB670AA" w14:textId="209B6F51" w:rsidR="004565EB" w:rsidRPr="006508D0" w:rsidRDefault="004565EB" w:rsidP="006508D0">
      <w:pPr>
        <w:pStyle w:val="SCSAHeading2"/>
        <w:spacing w:after="120"/>
        <w:rPr>
          <w:rFonts w:eastAsia="MS Mincho"/>
        </w:rPr>
      </w:pPr>
      <w:r w:rsidRPr="006508D0">
        <w:rPr>
          <w:rFonts w:eastAsia="MS Mincho"/>
        </w:rPr>
        <w:lastRenderedPageBreak/>
        <w:t>Semester 2</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66"/>
        <w:gridCol w:w="8094"/>
      </w:tblGrid>
      <w:tr w:rsidR="00840722" w:rsidRPr="006508D0" w14:paraId="2E021629" w14:textId="77777777" w:rsidTr="009F382D">
        <w:trPr>
          <w:trHeight w:val="23"/>
          <w:tblHeader/>
        </w:trPr>
        <w:tc>
          <w:tcPr>
            <w:tcW w:w="533" w:type="pct"/>
            <w:tcBorders>
              <w:bottom w:val="single" w:sz="4" w:space="0" w:color="BD9FCF"/>
              <w:right w:val="single" w:sz="4" w:space="0" w:color="FFFFFF" w:themeColor="background1"/>
            </w:tcBorders>
            <w:shd w:val="clear" w:color="auto" w:fill="BD9FCF"/>
            <w:vAlign w:val="center"/>
            <w:hideMark/>
          </w:tcPr>
          <w:p w14:paraId="3B0D058C" w14:textId="77777777" w:rsidR="00840722" w:rsidRPr="006508D0" w:rsidRDefault="00840722" w:rsidP="00505A85">
            <w:pPr>
              <w:spacing w:after="0"/>
              <w:jc w:val="center"/>
              <w:rPr>
                <w:rFonts w:cs="Calibri"/>
                <w:b/>
                <w:szCs w:val="20"/>
              </w:rPr>
            </w:pPr>
            <w:r w:rsidRPr="006508D0">
              <w:rPr>
                <w:rFonts w:cs="Calibri"/>
                <w:b/>
                <w:szCs w:val="20"/>
              </w:rPr>
              <w:t>Week</w:t>
            </w:r>
          </w:p>
        </w:tc>
        <w:tc>
          <w:tcPr>
            <w:tcW w:w="4467" w:type="pct"/>
            <w:tcBorders>
              <w:left w:val="single" w:sz="4" w:space="0" w:color="FFFFFF" w:themeColor="background1"/>
            </w:tcBorders>
            <w:shd w:val="clear" w:color="auto" w:fill="BD9FCF"/>
            <w:vAlign w:val="center"/>
            <w:hideMark/>
          </w:tcPr>
          <w:p w14:paraId="7D9A92E3" w14:textId="77777777" w:rsidR="00840722" w:rsidRPr="006508D0" w:rsidRDefault="00840722" w:rsidP="00505A85">
            <w:pPr>
              <w:spacing w:after="0"/>
              <w:jc w:val="center"/>
              <w:rPr>
                <w:rFonts w:cs="Calibri"/>
                <w:b/>
                <w:szCs w:val="20"/>
              </w:rPr>
            </w:pPr>
            <w:r w:rsidRPr="006508D0">
              <w:rPr>
                <w:rFonts w:cs="Calibri"/>
                <w:b/>
                <w:szCs w:val="20"/>
              </w:rPr>
              <w:t>Key teaching points</w:t>
            </w:r>
          </w:p>
        </w:tc>
      </w:tr>
      <w:tr w:rsidR="00CF1473" w:rsidRPr="006508D0" w14:paraId="5D371B61" w14:textId="77777777" w:rsidTr="009F382D">
        <w:trPr>
          <w:trHeight w:val="23"/>
        </w:trPr>
        <w:tc>
          <w:tcPr>
            <w:tcW w:w="533" w:type="pct"/>
            <w:shd w:val="clear" w:color="auto" w:fill="E4D8EB"/>
            <w:vAlign w:val="center"/>
            <w:hideMark/>
          </w:tcPr>
          <w:p w14:paraId="2118FAF0" w14:textId="77777777" w:rsidR="00CF1473" w:rsidRPr="006508D0" w:rsidRDefault="000A370A" w:rsidP="00505A85">
            <w:pPr>
              <w:spacing w:after="0"/>
              <w:jc w:val="center"/>
              <w:rPr>
                <w:rFonts w:cs="Calibri"/>
                <w:szCs w:val="20"/>
              </w:rPr>
            </w:pPr>
            <w:r w:rsidRPr="006508D0">
              <w:rPr>
                <w:rFonts w:cs="Calibri"/>
                <w:szCs w:val="20"/>
              </w:rPr>
              <w:t>1</w:t>
            </w:r>
            <w:r w:rsidR="00820A53" w:rsidRPr="006508D0">
              <w:rPr>
                <w:rFonts w:cs="Calibri"/>
                <w:szCs w:val="20"/>
              </w:rPr>
              <w:t>–</w:t>
            </w:r>
            <w:r w:rsidR="004955F0" w:rsidRPr="006508D0">
              <w:rPr>
                <w:rFonts w:cs="Calibri"/>
                <w:szCs w:val="20"/>
              </w:rPr>
              <w:t>3</w:t>
            </w:r>
          </w:p>
        </w:tc>
        <w:tc>
          <w:tcPr>
            <w:tcW w:w="4467" w:type="pct"/>
          </w:tcPr>
          <w:p w14:paraId="565F8D12" w14:textId="7C982E46" w:rsidR="00CF1473" w:rsidRPr="006508D0" w:rsidRDefault="00093391" w:rsidP="006508D0">
            <w:pPr>
              <w:rPr>
                <w:rFonts w:cs="Calibri"/>
                <w:szCs w:val="20"/>
              </w:rPr>
            </w:pPr>
            <w:r w:rsidRPr="006508D0">
              <w:rPr>
                <w:rFonts w:cs="Calibri"/>
                <w:szCs w:val="20"/>
              </w:rPr>
              <w:t>R</w:t>
            </w:r>
            <w:r w:rsidR="000157D6" w:rsidRPr="006508D0">
              <w:rPr>
                <w:rFonts w:cs="Calibri"/>
                <w:szCs w:val="20"/>
              </w:rPr>
              <w:t>evisit and reinforce</w:t>
            </w:r>
            <w:r w:rsidR="003354CA" w:rsidRPr="006508D0">
              <w:rPr>
                <w:rFonts w:cs="Calibri"/>
                <w:szCs w:val="20"/>
              </w:rPr>
              <w:t xml:space="preserve"> </w:t>
            </w:r>
            <w:r w:rsidR="003354CA" w:rsidRPr="006508D0">
              <w:t>s</w:t>
            </w:r>
            <w:r w:rsidR="00CF1473" w:rsidRPr="006508D0">
              <w:t>afety</w:t>
            </w:r>
            <w:r w:rsidR="00CF1473" w:rsidRPr="006508D0">
              <w:rPr>
                <w:rFonts w:cs="Calibri"/>
                <w:szCs w:val="20"/>
              </w:rPr>
              <w:t xml:space="preserve"> in the workshop</w:t>
            </w:r>
          </w:p>
          <w:p w14:paraId="2AB3DB1C" w14:textId="77777777" w:rsidR="0066434B" w:rsidRPr="006508D0" w:rsidRDefault="0066434B" w:rsidP="006508D0">
            <w:pPr>
              <w:pStyle w:val="SCSATableHeading"/>
            </w:pPr>
            <w:r w:rsidRPr="006508D0">
              <w:t xml:space="preserve">Rules and regulations </w:t>
            </w:r>
          </w:p>
          <w:p w14:paraId="50E98668" w14:textId="254523EB" w:rsidR="0066434B" w:rsidRPr="006508D0" w:rsidRDefault="000157D6" w:rsidP="006508D0">
            <w:pPr>
              <w:pStyle w:val="ListParagraph"/>
              <w:numPr>
                <w:ilvl w:val="0"/>
                <w:numId w:val="19"/>
              </w:numPr>
              <w:rPr>
                <w:rFonts w:eastAsiaTheme="minorHAnsi" w:cs="Calibri"/>
                <w:szCs w:val="20"/>
              </w:rPr>
            </w:pPr>
            <w:r w:rsidRPr="006508D0">
              <w:rPr>
                <w:rFonts w:cs="Calibri"/>
                <w:szCs w:val="20"/>
              </w:rPr>
              <w:t>s</w:t>
            </w:r>
            <w:r w:rsidR="0066434B" w:rsidRPr="006508D0">
              <w:rPr>
                <w:rFonts w:cs="Calibri"/>
                <w:szCs w:val="20"/>
              </w:rPr>
              <w:t>tate</w:t>
            </w:r>
            <w:r w:rsidR="0066434B" w:rsidRPr="006508D0">
              <w:rPr>
                <w:rFonts w:eastAsiaTheme="minorHAnsi" w:cs="Calibri"/>
                <w:szCs w:val="20"/>
              </w:rPr>
              <w:t xml:space="preserve"> and federal </w:t>
            </w:r>
            <w:r w:rsidR="0066434B" w:rsidRPr="006508D0">
              <w:rPr>
                <w:rFonts w:eastAsiaTheme="minorHAnsi"/>
              </w:rPr>
              <w:t>authorities</w:t>
            </w:r>
            <w:r w:rsidR="0066434B" w:rsidRPr="006508D0">
              <w:rPr>
                <w:rFonts w:eastAsiaTheme="minorHAnsi" w:cs="Calibri"/>
                <w:szCs w:val="20"/>
              </w:rPr>
              <w:t xml:space="preserve"> and laws relating to servicing, repair and modification of automotive systems</w:t>
            </w:r>
          </w:p>
          <w:p w14:paraId="29D61754" w14:textId="77777777" w:rsidR="0066434B" w:rsidRPr="006508D0" w:rsidRDefault="0066434B" w:rsidP="006508D0">
            <w:pPr>
              <w:pStyle w:val="SCSATableHeading"/>
            </w:pPr>
            <w:r w:rsidRPr="006508D0">
              <w:t xml:space="preserve">Social, economic and environmental implications and consequences </w:t>
            </w:r>
          </w:p>
          <w:p w14:paraId="1549B94D" w14:textId="0D1B596B" w:rsidR="0066434B" w:rsidRPr="006508D0" w:rsidRDefault="0066434B" w:rsidP="006508D0">
            <w:pPr>
              <w:pStyle w:val="ListParagraph"/>
              <w:numPr>
                <w:ilvl w:val="0"/>
                <w:numId w:val="20"/>
              </w:numPr>
            </w:pPr>
            <w:r w:rsidRPr="006508D0">
              <w:t>future directions of the automotive industry and the implications for society</w:t>
            </w:r>
          </w:p>
          <w:p w14:paraId="485672E6" w14:textId="3630EA48" w:rsidR="0066434B" w:rsidRPr="006508D0" w:rsidRDefault="0066434B" w:rsidP="006508D0">
            <w:pPr>
              <w:pStyle w:val="ListParagraph"/>
              <w:numPr>
                <w:ilvl w:val="0"/>
                <w:numId w:val="20"/>
              </w:numPr>
            </w:pPr>
            <w:r w:rsidRPr="006508D0">
              <w:t>alternative materials and power sources used in automotive technology</w:t>
            </w:r>
          </w:p>
          <w:p w14:paraId="3782B6AD" w14:textId="51EC2FE3" w:rsidR="0066434B" w:rsidRPr="006508D0" w:rsidRDefault="0066434B" w:rsidP="006508D0">
            <w:pPr>
              <w:pStyle w:val="ListParagraph"/>
              <w:numPr>
                <w:ilvl w:val="0"/>
                <w:numId w:val="20"/>
              </w:numPr>
              <w:rPr>
                <w:rFonts w:eastAsiaTheme="minorHAnsi"/>
              </w:rPr>
            </w:pPr>
            <w:r w:rsidRPr="006508D0">
              <w:t xml:space="preserve">new and emerging fuel sources, innovative designs and manufacturing processes that are sustainable </w:t>
            </w:r>
            <w:r w:rsidRPr="006508D0">
              <w:rPr>
                <w:rFonts w:eastAsiaTheme="minorHAnsi"/>
              </w:rPr>
              <w:t>on a global scale</w:t>
            </w:r>
          </w:p>
          <w:p w14:paraId="2CA6CB83" w14:textId="77777777" w:rsidR="0066434B" w:rsidRPr="006508D0" w:rsidRDefault="0066434B" w:rsidP="006508D0">
            <w:pPr>
              <w:pStyle w:val="SCSATableHeading"/>
              <w:rPr>
                <w:rFonts w:eastAsiaTheme="minorHAnsi"/>
              </w:rPr>
            </w:pPr>
            <w:r w:rsidRPr="006508D0">
              <w:t>Systems</w:t>
            </w:r>
          </w:p>
          <w:p w14:paraId="15DA3111" w14:textId="2E4BC9D1" w:rsidR="0066434B" w:rsidRPr="006508D0" w:rsidRDefault="0066434B" w:rsidP="006508D0">
            <w:pPr>
              <w:pStyle w:val="ListParagraph"/>
              <w:numPr>
                <w:ilvl w:val="0"/>
                <w:numId w:val="21"/>
              </w:numPr>
            </w:pPr>
            <w:r w:rsidRPr="006508D0">
              <w:t>identification of technological improvements in systems, subsystems and components in response to performance testing</w:t>
            </w:r>
          </w:p>
          <w:p w14:paraId="757D2666" w14:textId="1BF9875C" w:rsidR="00CF1473" w:rsidRPr="006508D0" w:rsidRDefault="0066434B" w:rsidP="006508D0">
            <w:pPr>
              <w:pStyle w:val="ListParagraph"/>
              <w:numPr>
                <w:ilvl w:val="0"/>
                <w:numId w:val="21"/>
              </w:numPr>
              <w:spacing w:after="0"/>
              <w:rPr>
                <w:rFonts w:eastAsiaTheme="minorHAnsi" w:cs="Calibri"/>
                <w:szCs w:val="20"/>
              </w:rPr>
            </w:pPr>
            <w:r w:rsidRPr="006508D0">
              <w:t>identification of advanced systems, subsystems and components that influence developme</w:t>
            </w:r>
            <w:r w:rsidRPr="006508D0">
              <w:rPr>
                <w:rFonts w:eastAsiaTheme="minorHAnsi"/>
              </w:rPr>
              <w:t>nt and performance of automotive vehicles</w:t>
            </w:r>
          </w:p>
        </w:tc>
      </w:tr>
      <w:tr w:rsidR="00CF1473" w:rsidRPr="006508D0" w14:paraId="24F5B68C" w14:textId="77777777" w:rsidTr="009F382D">
        <w:trPr>
          <w:trHeight w:val="23"/>
        </w:trPr>
        <w:tc>
          <w:tcPr>
            <w:tcW w:w="533" w:type="pct"/>
            <w:shd w:val="clear" w:color="auto" w:fill="E4D8EB"/>
            <w:vAlign w:val="center"/>
          </w:tcPr>
          <w:p w14:paraId="26223514" w14:textId="77777777" w:rsidR="00CF1473" w:rsidRPr="006508D0" w:rsidRDefault="004955F0" w:rsidP="00505A85">
            <w:pPr>
              <w:spacing w:after="0"/>
              <w:jc w:val="center"/>
              <w:rPr>
                <w:rFonts w:cs="Calibri"/>
                <w:szCs w:val="20"/>
              </w:rPr>
            </w:pPr>
            <w:r w:rsidRPr="006508D0">
              <w:rPr>
                <w:rFonts w:cs="Calibri"/>
                <w:szCs w:val="20"/>
              </w:rPr>
              <w:t>4</w:t>
            </w:r>
            <w:r w:rsidR="00820A53" w:rsidRPr="006508D0">
              <w:rPr>
                <w:rFonts w:cs="Calibri"/>
                <w:szCs w:val="20"/>
              </w:rPr>
              <w:t>–</w:t>
            </w:r>
            <w:r w:rsidR="007D24B3" w:rsidRPr="006508D0">
              <w:rPr>
                <w:rFonts w:cs="Calibri"/>
                <w:szCs w:val="20"/>
              </w:rPr>
              <w:t>8</w:t>
            </w:r>
          </w:p>
        </w:tc>
        <w:tc>
          <w:tcPr>
            <w:tcW w:w="4467" w:type="pct"/>
          </w:tcPr>
          <w:p w14:paraId="095AF5C5" w14:textId="77777777" w:rsidR="001C2986" w:rsidRPr="006508D0" w:rsidRDefault="001C2986" w:rsidP="006508D0">
            <w:pPr>
              <w:pStyle w:val="SCSATableHeading"/>
            </w:pPr>
            <w:r w:rsidRPr="006508D0">
              <w:t>Maintenance and repair</w:t>
            </w:r>
          </w:p>
          <w:p w14:paraId="01932E35" w14:textId="1E479207" w:rsidR="001C2986" w:rsidRPr="006508D0" w:rsidRDefault="001C2986" w:rsidP="006508D0">
            <w:pPr>
              <w:pStyle w:val="ListParagraph"/>
              <w:numPr>
                <w:ilvl w:val="0"/>
                <w:numId w:val="22"/>
              </w:numPr>
            </w:pPr>
            <w:r w:rsidRPr="006508D0">
              <w:t>flowcharts and problem-solving skills to diagnose faults in conjunction with the use of specialised tools and equipment</w:t>
            </w:r>
          </w:p>
          <w:p w14:paraId="06605E1B" w14:textId="61CB4026" w:rsidR="001C2986" w:rsidRPr="006508D0" w:rsidRDefault="001C2986" w:rsidP="006508D0">
            <w:pPr>
              <w:pStyle w:val="ListParagraph"/>
              <w:numPr>
                <w:ilvl w:val="0"/>
                <w:numId w:val="22"/>
              </w:numPr>
            </w:pPr>
            <w:r w:rsidRPr="006508D0">
              <w:t>service, repair and maintenance requirements of more advanced engines, and the skills, knowledge, materials, parts and equipment needed to optimise performance</w:t>
            </w:r>
          </w:p>
          <w:p w14:paraId="3A06E3CA" w14:textId="4A9AA19C" w:rsidR="001C2986" w:rsidRPr="006508D0" w:rsidRDefault="00656D5F" w:rsidP="006508D0">
            <w:pPr>
              <w:pStyle w:val="ListParagraph"/>
              <w:numPr>
                <w:ilvl w:val="0"/>
                <w:numId w:val="22"/>
              </w:numPr>
            </w:pPr>
            <w:r w:rsidRPr="006508D0">
              <w:t>work health and safety</w:t>
            </w:r>
            <w:r w:rsidR="001C2986" w:rsidRPr="006508D0">
              <w:t xml:space="preserve"> requirements for different processes and collaborative practices involv</w:t>
            </w:r>
            <w:r w:rsidR="001C2986" w:rsidRPr="006508D0">
              <w:rPr>
                <w:rFonts w:eastAsiaTheme="minorHAnsi"/>
              </w:rPr>
              <w:t>ed in workshop activities</w:t>
            </w:r>
            <w:r w:rsidR="00FF32F1" w:rsidRPr="006508D0">
              <w:rPr>
                <w:rFonts w:eastAsiaTheme="minorHAnsi"/>
              </w:rPr>
              <w:t>.</w:t>
            </w:r>
          </w:p>
          <w:p w14:paraId="355D8147" w14:textId="77777777" w:rsidR="003678F9" w:rsidRPr="006508D0" w:rsidRDefault="003678F9" w:rsidP="006508D0">
            <w:pPr>
              <w:pStyle w:val="SCSATableHeading"/>
            </w:pPr>
            <w:r w:rsidRPr="006508D0">
              <w:t>Systems</w:t>
            </w:r>
          </w:p>
          <w:p w14:paraId="5F35408E" w14:textId="17FBF615" w:rsidR="003678F9" w:rsidRPr="006508D0" w:rsidRDefault="003678F9" w:rsidP="006508D0">
            <w:pPr>
              <w:pStyle w:val="ListParagraph"/>
              <w:numPr>
                <w:ilvl w:val="0"/>
                <w:numId w:val="23"/>
              </w:numPr>
            </w:pPr>
            <w:r w:rsidRPr="006508D0">
              <w:t>identification of technological improvements in systems, subsystems and components in response to performance testing</w:t>
            </w:r>
          </w:p>
          <w:p w14:paraId="30CF8A34" w14:textId="240B5BEC" w:rsidR="001C2986" w:rsidRPr="006508D0" w:rsidRDefault="003678F9" w:rsidP="006508D0">
            <w:pPr>
              <w:pStyle w:val="ListParagraph"/>
              <w:numPr>
                <w:ilvl w:val="0"/>
                <w:numId w:val="23"/>
              </w:numPr>
              <w:spacing w:after="0"/>
              <w:rPr>
                <w:rFonts w:cs="Calibri"/>
                <w:szCs w:val="20"/>
              </w:rPr>
            </w:pPr>
            <w:r w:rsidRPr="006508D0">
              <w:t>identification of advanced systems, subsystems and components that influence development and pe</w:t>
            </w:r>
            <w:r w:rsidRPr="006508D0">
              <w:rPr>
                <w:rFonts w:eastAsiaTheme="minorHAnsi"/>
              </w:rPr>
              <w:t>rformance of automotive vehicles</w:t>
            </w:r>
            <w:r w:rsidR="00E0284F" w:rsidRPr="006508D0">
              <w:rPr>
                <w:rFonts w:cs="Calibri"/>
                <w:szCs w:val="20"/>
              </w:rPr>
              <w:t xml:space="preserve"> </w:t>
            </w:r>
          </w:p>
        </w:tc>
      </w:tr>
      <w:tr w:rsidR="00CF1473" w:rsidRPr="006508D0" w14:paraId="2718946D" w14:textId="77777777" w:rsidTr="009F382D">
        <w:trPr>
          <w:cantSplit/>
          <w:trHeight w:val="23"/>
        </w:trPr>
        <w:tc>
          <w:tcPr>
            <w:tcW w:w="533" w:type="pct"/>
            <w:shd w:val="clear" w:color="auto" w:fill="E4D8EB"/>
            <w:vAlign w:val="center"/>
            <w:hideMark/>
          </w:tcPr>
          <w:p w14:paraId="0168E18B" w14:textId="5E180E34" w:rsidR="00CF1473" w:rsidRPr="006508D0" w:rsidRDefault="004955F0" w:rsidP="00505A85">
            <w:pPr>
              <w:spacing w:after="0"/>
              <w:jc w:val="center"/>
              <w:rPr>
                <w:rFonts w:cs="Calibri"/>
                <w:szCs w:val="20"/>
              </w:rPr>
            </w:pPr>
            <w:r w:rsidRPr="006508D0">
              <w:rPr>
                <w:rFonts w:cs="Calibri"/>
                <w:szCs w:val="20"/>
              </w:rPr>
              <w:t>6</w:t>
            </w:r>
            <w:r w:rsidR="00820A53" w:rsidRPr="006508D0">
              <w:rPr>
                <w:rFonts w:cs="Calibri"/>
                <w:szCs w:val="20"/>
              </w:rPr>
              <w:t>–</w:t>
            </w:r>
            <w:r w:rsidR="00DC71CB" w:rsidRPr="006508D0">
              <w:rPr>
                <w:rFonts w:cs="Calibri"/>
                <w:szCs w:val="20"/>
              </w:rPr>
              <w:t>9</w:t>
            </w:r>
          </w:p>
        </w:tc>
        <w:tc>
          <w:tcPr>
            <w:tcW w:w="4467" w:type="pct"/>
          </w:tcPr>
          <w:p w14:paraId="2FA14C51" w14:textId="77777777" w:rsidR="005918BF" w:rsidRPr="006508D0" w:rsidRDefault="005918BF" w:rsidP="006508D0">
            <w:pPr>
              <w:pStyle w:val="SCSATableHeading"/>
            </w:pPr>
            <w:r w:rsidRPr="006508D0">
              <w:t>Principles</w:t>
            </w:r>
          </w:p>
          <w:p w14:paraId="59F98974" w14:textId="3F033DB1" w:rsidR="005918BF" w:rsidRPr="006508D0" w:rsidRDefault="005918BF" w:rsidP="006508D0">
            <w:pPr>
              <w:pStyle w:val="ListParagraph"/>
              <w:numPr>
                <w:ilvl w:val="0"/>
                <w:numId w:val="24"/>
              </w:numPr>
            </w:pPr>
            <w:r w:rsidRPr="006508D0">
              <w:t>current and emerging scientific principles and developments in automotive operations and technologies</w:t>
            </w:r>
          </w:p>
          <w:p w14:paraId="551B1E2A" w14:textId="1AA04AA9" w:rsidR="005918BF" w:rsidRPr="006508D0" w:rsidRDefault="005918BF" w:rsidP="006508D0">
            <w:pPr>
              <w:pStyle w:val="ListParagraph"/>
              <w:numPr>
                <w:ilvl w:val="0"/>
                <w:numId w:val="24"/>
              </w:numPr>
            </w:pPr>
            <w:r w:rsidRPr="006508D0">
              <w:t>diagrammatic representations of principles that underpin current automotive components</w:t>
            </w:r>
            <w:r w:rsidR="00CA5714" w:rsidRPr="006508D0">
              <w:t xml:space="preserve"> and operations, </w:t>
            </w:r>
            <w:proofErr w:type="gramStart"/>
            <w:r w:rsidR="00CA5714" w:rsidRPr="006508D0">
              <w:t>including</w:t>
            </w:r>
            <w:r w:rsidR="00975DC1" w:rsidRPr="006508D0">
              <w:t>:</w:t>
            </w:r>
            <w:proofErr w:type="gramEnd"/>
            <w:r w:rsidR="00CA5714" w:rsidRPr="006508D0">
              <w:t xml:space="preserve"> </w:t>
            </w:r>
            <w:r w:rsidRPr="006508D0">
              <w:t>power train</w:t>
            </w:r>
            <w:r w:rsidR="00CA5714" w:rsidRPr="006508D0">
              <w:t xml:space="preserve">, </w:t>
            </w:r>
            <w:r w:rsidRPr="006508D0">
              <w:t>steering systems</w:t>
            </w:r>
            <w:r w:rsidR="00CA5714" w:rsidRPr="006508D0">
              <w:t xml:space="preserve"> and </w:t>
            </w:r>
            <w:r w:rsidRPr="006508D0">
              <w:t>braking systems</w:t>
            </w:r>
          </w:p>
          <w:p w14:paraId="022A2D4D" w14:textId="31714815" w:rsidR="00CF1473" w:rsidRPr="006508D0" w:rsidRDefault="005918BF" w:rsidP="006508D0">
            <w:pPr>
              <w:pStyle w:val="ListParagraph"/>
              <w:numPr>
                <w:ilvl w:val="0"/>
                <w:numId w:val="24"/>
              </w:numPr>
              <w:spacing w:after="0"/>
              <w:rPr>
                <w:rFonts w:cs="Calibri"/>
                <w:szCs w:val="20"/>
              </w:rPr>
            </w:pPr>
            <w:r w:rsidRPr="006508D0">
              <w:t>mathematical formula to explain current operations of automotive components, and assist in diagnosis of system performance</w:t>
            </w:r>
            <w:r w:rsidR="00CA5714" w:rsidRPr="006508D0">
              <w:t xml:space="preserve">; </w:t>
            </w:r>
            <w:r w:rsidRPr="006508D0">
              <w:t>Torque [τ]</w:t>
            </w:r>
            <w:r w:rsidR="00CA5714" w:rsidRPr="006508D0">
              <w:t xml:space="preserve">, </w:t>
            </w:r>
            <w:r w:rsidRPr="006508D0">
              <w:t>Rotational Power [</w:t>
            </w:r>
            <w:proofErr w:type="spellStart"/>
            <w:r w:rsidRPr="006508D0">
              <w:t>Pr</w:t>
            </w:r>
            <w:proofErr w:type="spellEnd"/>
            <w:r w:rsidRPr="006508D0">
              <w:t>]</w:t>
            </w:r>
            <w:r w:rsidR="00CA5714" w:rsidRPr="006508D0">
              <w:t xml:space="preserve"> and </w:t>
            </w:r>
            <w:r w:rsidRPr="006508D0">
              <w:t>Pressure [P] or Stress</w:t>
            </w:r>
            <w:r w:rsidR="00AE4DD2" w:rsidRPr="006508D0">
              <w:t xml:space="preserve"> </w:t>
            </w:r>
            <w:r w:rsidRPr="006508D0">
              <w:t>[σ]</w:t>
            </w:r>
          </w:p>
        </w:tc>
      </w:tr>
      <w:tr w:rsidR="00093391" w:rsidRPr="006508D0" w14:paraId="63501D1C" w14:textId="77777777" w:rsidTr="009F382D">
        <w:trPr>
          <w:trHeight w:val="23"/>
        </w:trPr>
        <w:tc>
          <w:tcPr>
            <w:tcW w:w="533" w:type="pct"/>
            <w:shd w:val="clear" w:color="auto" w:fill="E4D8EB"/>
            <w:vAlign w:val="center"/>
            <w:hideMark/>
          </w:tcPr>
          <w:p w14:paraId="52C73B22" w14:textId="1CCB0FC0" w:rsidR="00093391" w:rsidRPr="006508D0" w:rsidRDefault="004955F0" w:rsidP="006508D0">
            <w:pPr>
              <w:spacing w:after="0"/>
              <w:jc w:val="center"/>
              <w:rPr>
                <w:rFonts w:cs="Calibri"/>
                <w:szCs w:val="20"/>
              </w:rPr>
            </w:pPr>
            <w:r w:rsidRPr="006508D0">
              <w:rPr>
                <w:rFonts w:cs="Calibri"/>
                <w:szCs w:val="20"/>
              </w:rPr>
              <w:lastRenderedPageBreak/>
              <w:t>1</w:t>
            </w:r>
            <w:r w:rsidR="009E4394" w:rsidRPr="006508D0">
              <w:rPr>
                <w:rFonts w:cs="Calibri"/>
                <w:szCs w:val="20"/>
              </w:rPr>
              <w:t>0</w:t>
            </w:r>
            <w:r w:rsidRPr="006508D0">
              <w:rPr>
                <w:rFonts w:cs="Calibri"/>
                <w:szCs w:val="20"/>
              </w:rPr>
              <w:t>–15</w:t>
            </w:r>
          </w:p>
        </w:tc>
        <w:tc>
          <w:tcPr>
            <w:tcW w:w="4467" w:type="pct"/>
          </w:tcPr>
          <w:p w14:paraId="40347BCA" w14:textId="77777777" w:rsidR="00B137A6" w:rsidRPr="006508D0" w:rsidRDefault="003F4ADF" w:rsidP="006508D0">
            <w:pPr>
              <w:pStyle w:val="SCSATableHeading"/>
            </w:pPr>
            <w:r w:rsidRPr="006508D0">
              <w:t xml:space="preserve">Design, </w:t>
            </w:r>
            <w:r w:rsidR="00B137A6" w:rsidRPr="006508D0">
              <w:t>materials and production management</w:t>
            </w:r>
          </w:p>
          <w:p w14:paraId="387DD890" w14:textId="77777777" w:rsidR="003A7D7E" w:rsidRPr="006508D0" w:rsidRDefault="00DF3197" w:rsidP="006508D0">
            <w:pPr>
              <w:pStyle w:val="SCSATableHeading"/>
            </w:pPr>
            <w:r w:rsidRPr="006508D0">
              <w:t>Materials</w:t>
            </w:r>
          </w:p>
          <w:p w14:paraId="4EE9E088" w14:textId="47371412" w:rsidR="003A7D7E" w:rsidRPr="006508D0" w:rsidRDefault="003A7D7E" w:rsidP="006508D0">
            <w:pPr>
              <w:pStyle w:val="ListParagraph"/>
              <w:numPr>
                <w:ilvl w:val="0"/>
                <w:numId w:val="25"/>
              </w:numPr>
            </w:pPr>
            <w:r w:rsidRPr="006508D0">
              <w:t xml:space="preserve">scenarios for the predicted uses of new and emerging materials selected for their properties and behaviours in the construction and use of automotive technologies </w:t>
            </w:r>
          </w:p>
          <w:p w14:paraId="7D57A189" w14:textId="77777777" w:rsidR="003A7D7E" w:rsidRPr="006508D0" w:rsidRDefault="00DF3197" w:rsidP="006508D0">
            <w:pPr>
              <w:pStyle w:val="SCSATableHeading"/>
            </w:pPr>
            <w:r w:rsidRPr="006508D0">
              <w:t>Design</w:t>
            </w:r>
          </w:p>
          <w:p w14:paraId="25DD06B2" w14:textId="2F548BFD" w:rsidR="003A7D7E" w:rsidRPr="006508D0" w:rsidRDefault="003A7D7E" w:rsidP="006508D0">
            <w:pPr>
              <w:pStyle w:val="ListParagraph"/>
              <w:numPr>
                <w:ilvl w:val="0"/>
                <w:numId w:val="26"/>
              </w:numPr>
            </w:pPr>
            <w:r w:rsidRPr="006508D0">
              <w:t>apply elements of design and techniques for generating and communicating design ideas</w:t>
            </w:r>
          </w:p>
          <w:p w14:paraId="2B56B34E" w14:textId="039D9EEB" w:rsidR="003A7D7E" w:rsidRPr="006508D0" w:rsidRDefault="003A7D7E" w:rsidP="006508D0">
            <w:pPr>
              <w:pStyle w:val="ListParagraph"/>
              <w:numPr>
                <w:ilvl w:val="0"/>
                <w:numId w:val="26"/>
              </w:numPr>
            </w:pPr>
            <w:r w:rsidRPr="006508D0">
              <w:t xml:space="preserve">current automotive design rules and regulations that meet </w:t>
            </w:r>
            <w:r w:rsidR="0066170E" w:rsidRPr="006508D0">
              <w:t>the needs</w:t>
            </w:r>
            <w:r w:rsidRPr="006508D0">
              <w:t xml:space="preserve"> of new and emerging automotive technologies</w:t>
            </w:r>
          </w:p>
          <w:p w14:paraId="38298C9B" w14:textId="77777777" w:rsidR="003A7D7E" w:rsidRPr="006508D0" w:rsidRDefault="00DF3197" w:rsidP="006508D0">
            <w:pPr>
              <w:pStyle w:val="SCSATableHeading"/>
            </w:pPr>
            <w:r w:rsidRPr="006508D0">
              <w:t>Managing production</w:t>
            </w:r>
          </w:p>
          <w:p w14:paraId="097186E1" w14:textId="724BC16E" w:rsidR="00093391" w:rsidRPr="006508D0" w:rsidRDefault="003A7D7E" w:rsidP="006508D0">
            <w:pPr>
              <w:pStyle w:val="ListParagraph"/>
              <w:numPr>
                <w:ilvl w:val="0"/>
                <w:numId w:val="27"/>
              </w:numPr>
              <w:spacing w:after="0"/>
              <w:rPr>
                <w:rFonts w:cs="Calibri"/>
                <w:szCs w:val="20"/>
              </w:rPr>
            </w:pPr>
            <w:r w:rsidRPr="006508D0">
              <w:t>apply planning for, and management of</w:t>
            </w:r>
            <w:r w:rsidR="00AE4DD2" w:rsidRPr="006508D0">
              <w:t>,</w:t>
            </w:r>
            <w:r w:rsidRPr="006508D0">
              <w:t xml:space="preserve"> small-scale production of prototypes, incorporating design elements underpinned by research and performance testing</w:t>
            </w:r>
          </w:p>
        </w:tc>
      </w:tr>
    </w:tbl>
    <w:p w14:paraId="13799DEE" w14:textId="77777777" w:rsidR="007E458C" w:rsidRPr="006508D0" w:rsidRDefault="007E458C" w:rsidP="006508D0"/>
    <w:sectPr w:rsidR="007E458C" w:rsidRPr="006508D0" w:rsidSect="00BF5E63">
      <w:headerReference w:type="even" r:id="rId13"/>
      <w:headerReference w:type="default" r:id="rId14"/>
      <w:footerReference w:type="even" r:id="rId15"/>
      <w:headerReference w:type="first" r:id="rId16"/>
      <w:footerReference w:type="first" r:id="rId17"/>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B184" w14:textId="77777777" w:rsidR="00DF2880" w:rsidRPr="006508D0" w:rsidRDefault="00DF2880" w:rsidP="00DB14C9">
      <w:r w:rsidRPr="006508D0">
        <w:separator/>
      </w:r>
    </w:p>
  </w:endnote>
  <w:endnote w:type="continuationSeparator" w:id="0">
    <w:p w14:paraId="518F7E6D" w14:textId="77777777" w:rsidR="00DF2880" w:rsidRPr="006508D0" w:rsidRDefault="00DF2880" w:rsidP="00DB14C9">
      <w:r w:rsidRPr="006508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2F34" w14:textId="320118B0" w:rsidR="00097F75" w:rsidRPr="006508D0" w:rsidRDefault="00097F75" w:rsidP="00BF5E63">
    <w:pPr>
      <w:pStyle w:val="Footereven"/>
      <w:rPr>
        <w:noProof w:val="0"/>
      </w:rPr>
    </w:pPr>
    <w:r w:rsidRPr="006508D0">
      <w:rPr>
        <w:noProof w:val="0"/>
      </w:rPr>
      <w:t>2014/37464</w:t>
    </w:r>
    <w:r w:rsidR="00BF5E63" w:rsidRPr="006508D0">
      <w:rPr>
        <w:noProof w:val="0"/>
      </w:rPr>
      <w:t>[</w:t>
    </w:r>
    <w:r w:rsidR="007E10C0" w:rsidRPr="006508D0">
      <w:rPr>
        <w:noProof w:val="0"/>
      </w:rPr>
      <w:t>v15</w:t>
    </w:r>
    <w:r w:rsidR="00BF5E63" w:rsidRPr="006508D0">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D84D" w14:textId="77777777" w:rsidR="00C60A16" w:rsidRPr="006508D0" w:rsidRDefault="00C60A16" w:rsidP="00BF5E63">
    <w:pPr>
      <w:pStyle w:val="Footerodd"/>
      <w:rPr>
        <w:noProof w:val="0"/>
      </w:rPr>
    </w:pPr>
    <w:r w:rsidRPr="006508D0">
      <w:rPr>
        <w:noProof w:val="0"/>
      </w:rPr>
      <w:t>Sample course outline | Automotive Engineering and Technology | General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7132" w14:textId="77777777" w:rsidR="00097F75" w:rsidRPr="006508D0" w:rsidRDefault="00097F75" w:rsidP="00BF5E63">
    <w:pPr>
      <w:pStyle w:val="Footereven"/>
      <w:rPr>
        <w:noProof w:val="0"/>
      </w:rPr>
    </w:pPr>
    <w:r w:rsidRPr="006508D0">
      <w:rPr>
        <w:noProof w:val="0"/>
      </w:rPr>
      <w:t>Sample course outline | Automotive Engineering and Technology | 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8D39" w14:textId="77777777" w:rsidR="00097F75" w:rsidRPr="006508D0" w:rsidRDefault="00097F75" w:rsidP="00820A53">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sidRPr="006508D0">
      <w:rPr>
        <w:rFonts w:ascii="Franklin Gothic Book" w:hAnsi="Franklin Gothic Book"/>
        <w:b/>
        <w:color w:val="342568"/>
        <w:sz w:val="18"/>
        <w:szCs w:val="18"/>
      </w:rPr>
      <w:t>Sample course outline | Automotive Engineering and Technology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7A34" w14:textId="77777777" w:rsidR="00DF2880" w:rsidRPr="006508D0" w:rsidRDefault="00DF2880" w:rsidP="00DB14C9">
      <w:r w:rsidRPr="006508D0">
        <w:separator/>
      </w:r>
    </w:p>
  </w:footnote>
  <w:footnote w:type="continuationSeparator" w:id="0">
    <w:p w14:paraId="53621AC3" w14:textId="77777777" w:rsidR="00DF2880" w:rsidRPr="006508D0" w:rsidRDefault="00DF2880" w:rsidP="00DB14C9">
      <w:r w:rsidRPr="006508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2155" w14:textId="77777777" w:rsidR="00097F75" w:rsidRPr="006508D0" w:rsidRDefault="00097F75" w:rsidP="0091273F">
    <w:pPr>
      <w:pStyle w:val="Header"/>
      <w:ind w:left="-851"/>
    </w:pPr>
    <w:r w:rsidRPr="006508D0">
      <w:rPr>
        <w:lang w:eastAsia="en-GB" w:bidi="my-MM"/>
      </w:rPr>
      <w:drawing>
        <wp:inline distT="0" distB="0" distL="0" distR="0" wp14:anchorId="379DF18A" wp14:editId="7B9ED0D9">
          <wp:extent cx="4533900" cy="704850"/>
          <wp:effectExtent l="0" t="0" r="0" b="0"/>
          <wp:docPr id="1" name="Picture 1" descr="School Curriculum and Standards Authority header with the Western Australian State Government badge.&#10;The badge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10;The badge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4A40" w14:textId="77777777" w:rsidR="00097F75" w:rsidRPr="006508D0" w:rsidRDefault="00097F75" w:rsidP="00BF5E63">
    <w:pPr>
      <w:pStyle w:val="Headereven"/>
    </w:pPr>
    <w:r w:rsidRPr="006508D0">
      <w:fldChar w:fldCharType="begin"/>
    </w:r>
    <w:r w:rsidRPr="006508D0">
      <w:instrText xml:space="preserve"> PAGE   \* MERGEFORMAT </w:instrText>
    </w:r>
    <w:r w:rsidRPr="006508D0">
      <w:fldChar w:fldCharType="separate"/>
    </w:r>
    <w:r w:rsidR="00782E42" w:rsidRPr="006508D0">
      <w:t>2</w:t>
    </w:r>
    <w:r w:rsidRPr="006508D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7A8D" w14:textId="77777777" w:rsidR="00E0284F" w:rsidRPr="006508D0" w:rsidRDefault="00E0284F" w:rsidP="00BF5E63">
    <w:pPr>
      <w:pStyle w:val="Headerodd"/>
      <w:rPr>
        <w:noProof w:val="0"/>
      </w:rPr>
    </w:pPr>
    <w:r w:rsidRPr="006508D0">
      <w:rPr>
        <w:noProof w:val="0"/>
      </w:rPr>
      <w:fldChar w:fldCharType="begin"/>
    </w:r>
    <w:r w:rsidRPr="006508D0">
      <w:rPr>
        <w:noProof w:val="0"/>
      </w:rPr>
      <w:instrText xml:space="preserve"> PAGE   \* MERGEFORMAT </w:instrText>
    </w:r>
    <w:r w:rsidRPr="006508D0">
      <w:rPr>
        <w:noProof w:val="0"/>
      </w:rPr>
      <w:fldChar w:fldCharType="separate"/>
    </w:r>
    <w:r w:rsidR="00782E42" w:rsidRPr="006508D0">
      <w:rPr>
        <w:noProof w:val="0"/>
      </w:rPr>
      <w:t>3</w:t>
    </w:r>
    <w:r w:rsidRPr="006508D0">
      <w:rPr>
        <w:noProof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A2D4" w14:textId="77777777" w:rsidR="00097F75" w:rsidRPr="006508D0" w:rsidRDefault="00097F75" w:rsidP="00BF5E63">
    <w:pPr>
      <w:pStyle w:val="Headerodd"/>
      <w:rPr>
        <w:noProof w:val="0"/>
      </w:rPr>
    </w:pPr>
    <w:r w:rsidRPr="006508D0">
      <w:rPr>
        <w:noProof w:val="0"/>
      </w:rPr>
      <w:fldChar w:fldCharType="begin"/>
    </w:r>
    <w:r w:rsidRPr="006508D0">
      <w:rPr>
        <w:noProof w:val="0"/>
      </w:rPr>
      <w:instrText xml:space="preserve"> PAGE   \* MERGEFORMAT </w:instrText>
    </w:r>
    <w:r w:rsidRPr="006508D0">
      <w:rPr>
        <w:noProof w:val="0"/>
      </w:rPr>
      <w:fldChar w:fldCharType="separate"/>
    </w:r>
    <w:r w:rsidR="00782E42" w:rsidRPr="006508D0">
      <w:rPr>
        <w:noProof w:val="0"/>
      </w:rPr>
      <w:t>1</w:t>
    </w:r>
    <w:r w:rsidRPr="006508D0">
      <w:rPr>
        <w:noProof w:val="0"/>
      </w:rPr>
      <w:fldChar w:fldCharType="end"/>
    </w:r>
  </w:p>
  <w:p w14:paraId="7C3C7268" w14:textId="77777777" w:rsidR="00097F75" w:rsidRPr="006508D0" w:rsidRDefault="00097F75" w:rsidP="0082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4DE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BC144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16048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87622E"/>
    <w:multiLevelType w:val="hybridMultilevel"/>
    <w:tmpl w:val="BB04388E"/>
    <w:lvl w:ilvl="0" w:tplc="82EE603E">
      <w:start w:val="1"/>
      <w:numFmt w:val="bullet"/>
      <w:lvlText w:val=""/>
      <w:lvlJc w:val="left"/>
      <w:pPr>
        <w:ind w:left="787" w:hanging="360"/>
      </w:pPr>
      <w:rPr>
        <w:rFonts w:ascii="Symbol" w:hAnsi="Symbol" w:hint="default"/>
      </w:rPr>
    </w:lvl>
    <w:lvl w:ilvl="1" w:tplc="0C090005">
      <w:start w:val="1"/>
      <w:numFmt w:val="bullet"/>
      <w:lvlText w:val=""/>
      <w:lvlJc w:val="left"/>
      <w:pPr>
        <w:ind w:left="1507" w:hanging="360"/>
      </w:pPr>
      <w:rPr>
        <w:rFonts w:ascii="Wingdings" w:hAnsi="Wingdings"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59A3F9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C33661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05580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E2E4EE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C96081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0F49AC"/>
    <w:multiLevelType w:val="hybridMultilevel"/>
    <w:tmpl w:val="19DEADBA"/>
    <w:lvl w:ilvl="0" w:tplc="0C090005">
      <w:start w:val="1"/>
      <w:numFmt w:val="bullet"/>
      <w:lvlText w:val=""/>
      <w:lvlJc w:val="left"/>
      <w:pPr>
        <w:ind w:left="677" w:hanging="360"/>
      </w:pPr>
      <w:rPr>
        <w:rFonts w:ascii="Wingdings" w:hAnsi="Wingdings" w:hint="default"/>
      </w:rPr>
    </w:lvl>
    <w:lvl w:ilvl="1" w:tplc="0C090005">
      <w:start w:val="1"/>
      <w:numFmt w:val="bullet"/>
      <w:lvlText w:val=""/>
      <w:lvlJc w:val="left"/>
      <w:pPr>
        <w:ind w:left="1397" w:hanging="360"/>
      </w:pPr>
      <w:rPr>
        <w:rFonts w:ascii="Wingdings" w:hAnsi="Wingdings"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2" w15:restartNumberingAfterBreak="0">
    <w:nsid w:val="402D347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FD15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785CFB"/>
    <w:multiLevelType w:val="hybridMultilevel"/>
    <w:tmpl w:val="AC1C61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C710F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EE381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760674"/>
    <w:multiLevelType w:val="hybridMultilevel"/>
    <w:tmpl w:val="78EA0D78"/>
    <w:lvl w:ilvl="0" w:tplc="0C090005">
      <w:start w:val="1"/>
      <w:numFmt w:val="bullet"/>
      <w:lvlText w:val=""/>
      <w:lvlJc w:val="left"/>
      <w:pPr>
        <w:ind w:left="787" w:hanging="360"/>
      </w:pPr>
      <w:rPr>
        <w:rFonts w:ascii="Wingdings" w:hAnsi="Wingdings" w:hint="default"/>
      </w:rPr>
    </w:lvl>
    <w:lvl w:ilvl="1" w:tplc="0C090005">
      <w:start w:val="1"/>
      <w:numFmt w:val="bullet"/>
      <w:lvlText w:val=""/>
      <w:lvlJc w:val="left"/>
      <w:pPr>
        <w:ind w:left="1507" w:hanging="360"/>
      </w:pPr>
      <w:rPr>
        <w:rFonts w:ascii="Wingdings" w:hAnsi="Wingdings"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594C7D7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8B5968"/>
    <w:multiLevelType w:val="multilevel"/>
    <w:tmpl w:val="75082F76"/>
    <w:numStyleLink w:val="SCSAbulletlist"/>
  </w:abstractNum>
  <w:abstractNum w:abstractNumId="21"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2" w15:restartNumberingAfterBreak="0">
    <w:nsid w:val="6901247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CBF2513"/>
    <w:multiLevelType w:val="hybridMultilevel"/>
    <w:tmpl w:val="529217F0"/>
    <w:lvl w:ilvl="0" w:tplc="AAA2AEE2">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E263C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40B1CC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9046208"/>
    <w:multiLevelType w:val="hybridMultilevel"/>
    <w:tmpl w:val="4C2475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363950">
    <w:abstractNumId w:val="21"/>
  </w:num>
  <w:num w:numId="2" w16cid:durableId="1677346706">
    <w:abstractNumId w:val="5"/>
  </w:num>
  <w:num w:numId="3" w16cid:durableId="1573003587">
    <w:abstractNumId w:val="16"/>
  </w:num>
  <w:num w:numId="4" w16cid:durableId="1382368548">
    <w:abstractNumId w:val="20"/>
  </w:num>
  <w:num w:numId="5" w16cid:durableId="600071784">
    <w:abstractNumId w:val="4"/>
  </w:num>
  <w:num w:numId="6" w16cid:durableId="1103040786">
    <w:abstractNumId w:val="11"/>
  </w:num>
  <w:num w:numId="7" w16cid:durableId="211042598">
    <w:abstractNumId w:val="23"/>
  </w:num>
  <w:num w:numId="8" w16cid:durableId="1968703516">
    <w:abstractNumId w:val="18"/>
  </w:num>
  <w:num w:numId="9" w16cid:durableId="1426069524">
    <w:abstractNumId w:val="26"/>
  </w:num>
  <w:num w:numId="10" w16cid:durableId="336346588">
    <w:abstractNumId w:val="14"/>
  </w:num>
  <w:num w:numId="11" w16cid:durableId="1924366036">
    <w:abstractNumId w:val="1"/>
  </w:num>
  <w:num w:numId="12" w16cid:durableId="1394154990">
    <w:abstractNumId w:val="19"/>
  </w:num>
  <w:num w:numId="13" w16cid:durableId="2131242744">
    <w:abstractNumId w:val="8"/>
  </w:num>
  <w:num w:numId="14" w16cid:durableId="1891384988">
    <w:abstractNumId w:val="9"/>
  </w:num>
  <w:num w:numId="15" w16cid:durableId="73822290">
    <w:abstractNumId w:val="10"/>
  </w:num>
  <w:num w:numId="16" w16cid:durableId="975910785">
    <w:abstractNumId w:val="2"/>
  </w:num>
  <w:num w:numId="17" w16cid:durableId="530386910">
    <w:abstractNumId w:val="24"/>
  </w:num>
  <w:num w:numId="18" w16cid:durableId="1471751126">
    <w:abstractNumId w:val="3"/>
  </w:num>
  <w:num w:numId="19" w16cid:durableId="1474055382">
    <w:abstractNumId w:val="25"/>
  </w:num>
  <w:num w:numId="20" w16cid:durableId="529104517">
    <w:abstractNumId w:val="0"/>
  </w:num>
  <w:num w:numId="21" w16cid:durableId="172958953">
    <w:abstractNumId w:val="7"/>
  </w:num>
  <w:num w:numId="22" w16cid:durableId="1554149562">
    <w:abstractNumId w:val="17"/>
  </w:num>
  <w:num w:numId="23" w16cid:durableId="937519547">
    <w:abstractNumId w:val="22"/>
  </w:num>
  <w:num w:numId="24" w16cid:durableId="2057317190">
    <w:abstractNumId w:val="15"/>
  </w:num>
  <w:num w:numId="25" w16cid:durableId="1937319986">
    <w:abstractNumId w:val="13"/>
  </w:num>
  <w:num w:numId="26" w16cid:durableId="1423725451">
    <w:abstractNumId w:val="12"/>
  </w:num>
  <w:num w:numId="27" w16cid:durableId="1289316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05239"/>
    <w:rsid w:val="00012FD4"/>
    <w:rsid w:val="000157D6"/>
    <w:rsid w:val="00016E71"/>
    <w:rsid w:val="000317B8"/>
    <w:rsid w:val="0003492B"/>
    <w:rsid w:val="00057183"/>
    <w:rsid w:val="0005721E"/>
    <w:rsid w:val="000850A8"/>
    <w:rsid w:val="00093391"/>
    <w:rsid w:val="00097F75"/>
    <w:rsid w:val="000A17F8"/>
    <w:rsid w:val="000A370A"/>
    <w:rsid w:val="000B53F5"/>
    <w:rsid w:val="00101614"/>
    <w:rsid w:val="00110F93"/>
    <w:rsid w:val="00131CB7"/>
    <w:rsid w:val="001473B2"/>
    <w:rsid w:val="001538DA"/>
    <w:rsid w:val="001720A9"/>
    <w:rsid w:val="00177DF5"/>
    <w:rsid w:val="0019706C"/>
    <w:rsid w:val="001A065F"/>
    <w:rsid w:val="001A5220"/>
    <w:rsid w:val="001B2DF0"/>
    <w:rsid w:val="001C2986"/>
    <w:rsid w:val="001D1A39"/>
    <w:rsid w:val="001D6CCC"/>
    <w:rsid w:val="001E77DD"/>
    <w:rsid w:val="001F046B"/>
    <w:rsid w:val="001F4103"/>
    <w:rsid w:val="00214A47"/>
    <w:rsid w:val="00240545"/>
    <w:rsid w:val="00254D4C"/>
    <w:rsid w:val="00257FF4"/>
    <w:rsid w:val="002770EA"/>
    <w:rsid w:val="002827DA"/>
    <w:rsid w:val="0029662F"/>
    <w:rsid w:val="002B3999"/>
    <w:rsid w:val="002B4FD1"/>
    <w:rsid w:val="002C367E"/>
    <w:rsid w:val="002D4D95"/>
    <w:rsid w:val="002F02BE"/>
    <w:rsid w:val="002F052A"/>
    <w:rsid w:val="002F4D2A"/>
    <w:rsid w:val="002F7FA4"/>
    <w:rsid w:val="003037A3"/>
    <w:rsid w:val="00303FB4"/>
    <w:rsid w:val="00321FE7"/>
    <w:rsid w:val="003354CA"/>
    <w:rsid w:val="00354FD6"/>
    <w:rsid w:val="00360E03"/>
    <w:rsid w:val="00365D19"/>
    <w:rsid w:val="003678F9"/>
    <w:rsid w:val="003714D7"/>
    <w:rsid w:val="003A1DFA"/>
    <w:rsid w:val="003A7D7E"/>
    <w:rsid w:val="003B63B8"/>
    <w:rsid w:val="003C5A53"/>
    <w:rsid w:val="003F013D"/>
    <w:rsid w:val="003F463A"/>
    <w:rsid w:val="003F4ADF"/>
    <w:rsid w:val="00407E94"/>
    <w:rsid w:val="00430063"/>
    <w:rsid w:val="004565EB"/>
    <w:rsid w:val="00465C9D"/>
    <w:rsid w:val="00470C8E"/>
    <w:rsid w:val="00475E2F"/>
    <w:rsid w:val="00477C6E"/>
    <w:rsid w:val="0048055C"/>
    <w:rsid w:val="004814F0"/>
    <w:rsid w:val="004863E5"/>
    <w:rsid w:val="0049026A"/>
    <w:rsid w:val="00494049"/>
    <w:rsid w:val="004955F0"/>
    <w:rsid w:val="004B3758"/>
    <w:rsid w:val="004C518E"/>
    <w:rsid w:val="004D069C"/>
    <w:rsid w:val="004E1286"/>
    <w:rsid w:val="0050339C"/>
    <w:rsid w:val="00505A85"/>
    <w:rsid w:val="005311A5"/>
    <w:rsid w:val="00547AE4"/>
    <w:rsid w:val="005918BF"/>
    <w:rsid w:val="005A728F"/>
    <w:rsid w:val="005B0A35"/>
    <w:rsid w:val="005F7E35"/>
    <w:rsid w:val="0062379D"/>
    <w:rsid w:val="006254CA"/>
    <w:rsid w:val="006508D0"/>
    <w:rsid w:val="00656D5F"/>
    <w:rsid w:val="0066170E"/>
    <w:rsid w:val="00663341"/>
    <w:rsid w:val="0066434B"/>
    <w:rsid w:val="00665E63"/>
    <w:rsid w:val="006A0310"/>
    <w:rsid w:val="006B5697"/>
    <w:rsid w:val="006C06AD"/>
    <w:rsid w:val="006C28F9"/>
    <w:rsid w:val="006E73F4"/>
    <w:rsid w:val="007321CC"/>
    <w:rsid w:val="0073738C"/>
    <w:rsid w:val="00742B1D"/>
    <w:rsid w:val="00754596"/>
    <w:rsid w:val="00757231"/>
    <w:rsid w:val="0076521E"/>
    <w:rsid w:val="007736F5"/>
    <w:rsid w:val="00774D6C"/>
    <w:rsid w:val="00776790"/>
    <w:rsid w:val="007767CB"/>
    <w:rsid w:val="00781317"/>
    <w:rsid w:val="0078271F"/>
    <w:rsid w:val="00782E42"/>
    <w:rsid w:val="0079105E"/>
    <w:rsid w:val="007B0D60"/>
    <w:rsid w:val="007B2911"/>
    <w:rsid w:val="007B7F48"/>
    <w:rsid w:val="007C33DD"/>
    <w:rsid w:val="007C7596"/>
    <w:rsid w:val="007D24B3"/>
    <w:rsid w:val="007D7C15"/>
    <w:rsid w:val="007E10C0"/>
    <w:rsid w:val="007E2CB3"/>
    <w:rsid w:val="007E37E8"/>
    <w:rsid w:val="007E3CE0"/>
    <w:rsid w:val="007E458C"/>
    <w:rsid w:val="007E51C3"/>
    <w:rsid w:val="007E6399"/>
    <w:rsid w:val="007F0915"/>
    <w:rsid w:val="007F0950"/>
    <w:rsid w:val="007F1499"/>
    <w:rsid w:val="007F16F4"/>
    <w:rsid w:val="00820A53"/>
    <w:rsid w:val="00827421"/>
    <w:rsid w:val="00840722"/>
    <w:rsid w:val="00845772"/>
    <w:rsid w:val="008646BE"/>
    <w:rsid w:val="00880FFB"/>
    <w:rsid w:val="00882703"/>
    <w:rsid w:val="008843D4"/>
    <w:rsid w:val="00887D74"/>
    <w:rsid w:val="008A1728"/>
    <w:rsid w:val="008F6DE0"/>
    <w:rsid w:val="0091273F"/>
    <w:rsid w:val="00930FD4"/>
    <w:rsid w:val="0093121E"/>
    <w:rsid w:val="00946798"/>
    <w:rsid w:val="00952D80"/>
    <w:rsid w:val="00975DC1"/>
    <w:rsid w:val="009A18D1"/>
    <w:rsid w:val="009B1A94"/>
    <w:rsid w:val="009B225C"/>
    <w:rsid w:val="009B3B98"/>
    <w:rsid w:val="009C2D82"/>
    <w:rsid w:val="009C5FFF"/>
    <w:rsid w:val="009E4394"/>
    <w:rsid w:val="009F382D"/>
    <w:rsid w:val="00A1138B"/>
    <w:rsid w:val="00A177ED"/>
    <w:rsid w:val="00A240B9"/>
    <w:rsid w:val="00A55ABB"/>
    <w:rsid w:val="00A57719"/>
    <w:rsid w:val="00A64A5D"/>
    <w:rsid w:val="00AA057B"/>
    <w:rsid w:val="00AA5FB7"/>
    <w:rsid w:val="00AC2B04"/>
    <w:rsid w:val="00AC3FA0"/>
    <w:rsid w:val="00AC6BE4"/>
    <w:rsid w:val="00AC7539"/>
    <w:rsid w:val="00AD38FB"/>
    <w:rsid w:val="00AE4DD2"/>
    <w:rsid w:val="00AF317D"/>
    <w:rsid w:val="00B137A6"/>
    <w:rsid w:val="00B23612"/>
    <w:rsid w:val="00B27CCC"/>
    <w:rsid w:val="00B36764"/>
    <w:rsid w:val="00B46E3B"/>
    <w:rsid w:val="00B606E1"/>
    <w:rsid w:val="00B83526"/>
    <w:rsid w:val="00B859C2"/>
    <w:rsid w:val="00BA3D16"/>
    <w:rsid w:val="00BD1426"/>
    <w:rsid w:val="00BD5B91"/>
    <w:rsid w:val="00BD7C4A"/>
    <w:rsid w:val="00BF5E63"/>
    <w:rsid w:val="00C027D8"/>
    <w:rsid w:val="00C03CC9"/>
    <w:rsid w:val="00C0514C"/>
    <w:rsid w:val="00C21F09"/>
    <w:rsid w:val="00C45504"/>
    <w:rsid w:val="00C55377"/>
    <w:rsid w:val="00C568CC"/>
    <w:rsid w:val="00C60A16"/>
    <w:rsid w:val="00C75F0E"/>
    <w:rsid w:val="00C85270"/>
    <w:rsid w:val="00CA415C"/>
    <w:rsid w:val="00CA5714"/>
    <w:rsid w:val="00CB2789"/>
    <w:rsid w:val="00CB39B8"/>
    <w:rsid w:val="00CD3538"/>
    <w:rsid w:val="00CE080B"/>
    <w:rsid w:val="00CF1473"/>
    <w:rsid w:val="00CF177C"/>
    <w:rsid w:val="00D00F3D"/>
    <w:rsid w:val="00D07DD2"/>
    <w:rsid w:val="00D210D4"/>
    <w:rsid w:val="00D3715A"/>
    <w:rsid w:val="00D42BC5"/>
    <w:rsid w:val="00D47F40"/>
    <w:rsid w:val="00DB14C9"/>
    <w:rsid w:val="00DC111A"/>
    <w:rsid w:val="00DC4D2D"/>
    <w:rsid w:val="00DC71CB"/>
    <w:rsid w:val="00DD6E10"/>
    <w:rsid w:val="00DE2412"/>
    <w:rsid w:val="00DF2880"/>
    <w:rsid w:val="00DF3197"/>
    <w:rsid w:val="00DF4C0D"/>
    <w:rsid w:val="00E0273E"/>
    <w:rsid w:val="00E0284F"/>
    <w:rsid w:val="00E06A4A"/>
    <w:rsid w:val="00E07801"/>
    <w:rsid w:val="00E1243B"/>
    <w:rsid w:val="00E167EF"/>
    <w:rsid w:val="00E22E40"/>
    <w:rsid w:val="00E4373E"/>
    <w:rsid w:val="00E477A6"/>
    <w:rsid w:val="00E65413"/>
    <w:rsid w:val="00E864B3"/>
    <w:rsid w:val="00E951FE"/>
    <w:rsid w:val="00EB01B6"/>
    <w:rsid w:val="00EE4146"/>
    <w:rsid w:val="00F16B71"/>
    <w:rsid w:val="00F2551C"/>
    <w:rsid w:val="00F34AE9"/>
    <w:rsid w:val="00F53533"/>
    <w:rsid w:val="00F633EB"/>
    <w:rsid w:val="00F667AA"/>
    <w:rsid w:val="00F7346B"/>
    <w:rsid w:val="00F850E6"/>
    <w:rsid w:val="00F853E0"/>
    <w:rsid w:val="00F9763F"/>
    <w:rsid w:val="00FC4EFB"/>
    <w:rsid w:val="00FC7248"/>
    <w:rsid w:val="00FD4FC5"/>
    <w:rsid w:val="00FF00E1"/>
    <w:rsid w:val="00FF32F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0A47"/>
  <w15:docId w15:val="{D9408500-C89A-4E32-9F19-60C6B055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D0"/>
    <w:pPr>
      <w:spacing w:after="120"/>
    </w:pPr>
    <w:rPr>
      <w:rFonts w:asciiTheme="minorHAnsi" w:hAnsiTheme="minorHAnsi" w:cstheme="minorBid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63"/>
    <w:pPr>
      <w:ind w:left="720"/>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SCSATableHeading">
    <w:name w:val="SCSA Table Heading"/>
    <w:basedOn w:val="Normal"/>
    <w:qFormat/>
    <w:rsid w:val="006508D0"/>
    <w:pPr>
      <w:keepNext/>
      <w:spacing w:after="0" w:line="240" w:lineRule="auto"/>
    </w:pPr>
    <w:rPr>
      <w:rFonts w:eastAsiaTheme="minorEastAsia"/>
      <w:b/>
      <w:bCs/>
      <w:sz w:val="20"/>
      <w:szCs w:val="20"/>
    </w:rPr>
  </w:style>
  <w:style w:type="character" w:styleId="CommentReference">
    <w:name w:val="annotation reference"/>
    <w:basedOn w:val="DefaultParagraphFont"/>
    <w:uiPriority w:val="99"/>
    <w:semiHidden/>
    <w:unhideWhenUsed/>
    <w:rsid w:val="00407E94"/>
    <w:rPr>
      <w:sz w:val="16"/>
      <w:szCs w:val="16"/>
    </w:rPr>
  </w:style>
  <w:style w:type="paragraph" w:styleId="CommentText">
    <w:name w:val="annotation text"/>
    <w:basedOn w:val="Normal"/>
    <w:link w:val="CommentTextChar"/>
    <w:uiPriority w:val="99"/>
    <w:unhideWhenUsed/>
    <w:rsid w:val="00407E94"/>
    <w:rPr>
      <w:sz w:val="20"/>
      <w:szCs w:val="20"/>
    </w:rPr>
  </w:style>
  <w:style w:type="character" w:customStyle="1" w:styleId="CommentTextChar">
    <w:name w:val="Comment Text Char"/>
    <w:basedOn w:val="DefaultParagraphFont"/>
    <w:link w:val="CommentText"/>
    <w:uiPriority w:val="99"/>
    <w:rsid w:val="00407E94"/>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407E94"/>
    <w:rPr>
      <w:b/>
      <w:bCs/>
    </w:rPr>
  </w:style>
  <w:style w:type="character" w:customStyle="1" w:styleId="CommentSubjectChar">
    <w:name w:val="Comment Subject Char"/>
    <w:basedOn w:val="CommentTextChar"/>
    <w:link w:val="CommentSubject"/>
    <w:uiPriority w:val="99"/>
    <w:semiHidden/>
    <w:rsid w:val="00407E94"/>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BF5E63"/>
    <w:rPr>
      <w:color w:val="0000FF" w:themeColor="hyperlink"/>
      <w:u w:val="single"/>
    </w:rPr>
  </w:style>
  <w:style w:type="paragraph" w:styleId="Revision">
    <w:name w:val="Revision"/>
    <w:hidden/>
    <w:uiPriority w:val="99"/>
    <w:semiHidden/>
    <w:rsid w:val="00656D5F"/>
    <w:pPr>
      <w:spacing w:after="0" w:line="240" w:lineRule="auto"/>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unhideWhenUsed/>
    <w:rsid w:val="00BF5E63"/>
    <w:rPr>
      <w:color w:val="646464"/>
      <w:u w:val="single"/>
    </w:rPr>
  </w:style>
  <w:style w:type="paragraph" w:customStyle="1" w:styleId="Footereven">
    <w:name w:val="Footer even"/>
    <w:basedOn w:val="Normal"/>
    <w:qFormat/>
    <w:rsid w:val="00BF5E63"/>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BF5E63"/>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BF5E63"/>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BF5E63"/>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BF5E63"/>
    <w:pPr>
      <w:numPr>
        <w:numId w:val="11"/>
      </w:numPr>
    </w:pPr>
  </w:style>
  <w:style w:type="paragraph" w:customStyle="1" w:styleId="SCSAHeading1">
    <w:name w:val="SCSA Heading 1"/>
    <w:basedOn w:val="Normal"/>
    <w:qFormat/>
    <w:rsid w:val="00BF5E63"/>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BF5E63"/>
    <w:pPr>
      <w:spacing w:after="240"/>
      <w:outlineLvl w:val="1"/>
    </w:pPr>
    <w:rPr>
      <w:rFonts w:eastAsiaTheme="minorEastAsia" w:cs="Times New Roman"/>
      <w:color w:val="580F8B"/>
      <w:sz w:val="28"/>
      <w:lang w:eastAsia="en-AU"/>
    </w:rPr>
  </w:style>
  <w:style w:type="paragraph" w:customStyle="1" w:styleId="SCSATitle1">
    <w:name w:val="SCSA Title 1"/>
    <w:basedOn w:val="Normal"/>
    <w:qFormat/>
    <w:rsid w:val="00BF5E6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BF5E6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BF5E6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0EEA-0AC2-4B9B-8934-DD1BE223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Jenna Khor</cp:lastModifiedBy>
  <cp:revision>13</cp:revision>
  <cp:lastPrinted>2019-07-10T02:43:00Z</cp:lastPrinted>
  <dcterms:created xsi:type="dcterms:W3CDTF">2024-11-26T23:37:00Z</dcterms:created>
  <dcterms:modified xsi:type="dcterms:W3CDTF">2025-01-02T02:42:00Z</dcterms:modified>
</cp:coreProperties>
</file>