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5" w:rsidRPr="000A39DB" w:rsidRDefault="00E07415" w:rsidP="000A39DB">
      <w:pPr>
        <w:spacing w:line="257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RPr="00BC5A20" w:rsidTr="00AC410E">
        <w:tc>
          <w:tcPr>
            <w:tcW w:w="8217" w:type="dxa"/>
          </w:tcPr>
          <w:p w:rsidR="00712BA5" w:rsidRPr="00BC5A20" w:rsidRDefault="00712BA5" w:rsidP="003913BD">
            <w:r w:rsidRPr="00BC5A20">
              <w:rPr>
                <w:rFonts w:cstheme="minorHAnsi"/>
                <w:b/>
              </w:rPr>
              <w:t>Syllabus change</w:t>
            </w:r>
            <w:r w:rsidR="000A39DB">
              <w:rPr>
                <w:rFonts w:cstheme="minorHAnsi"/>
                <w:b/>
              </w:rPr>
              <w:t>s</w:t>
            </w:r>
          </w:p>
        </w:tc>
      </w:tr>
      <w:tr w:rsidR="00924226" w:rsidRPr="00202837" w:rsidTr="00AC410E">
        <w:tc>
          <w:tcPr>
            <w:tcW w:w="8217" w:type="dxa"/>
          </w:tcPr>
          <w:p w:rsidR="00924226" w:rsidRDefault="00924226" w:rsidP="00924226">
            <w:r w:rsidRPr="007F7E61">
              <w:t xml:space="preserve">The </w:t>
            </w:r>
            <w:r w:rsidR="00177A64">
              <w:t>content identified</w:t>
            </w:r>
            <w:r w:rsidR="00E30810">
              <w:t xml:space="preserve"> by </w:t>
            </w:r>
            <w:r w:rsidR="00E30810" w:rsidRPr="00177A64">
              <w:rPr>
                <w:strike/>
              </w:rPr>
              <w:t>strikethrough</w:t>
            </w:r>
            <w:r w:rsidR="00E30810">
              <w:t xml:space="preserve"> has been delete</w:t>
            </w:r>
            <w:r w:rsidR="00177A64">
              <w:t>d</w:t>
            </w:r>
            <w:bookmarkStart w:id="0" w:name="_GoBack"/>
            <w:bookmarkEnd w:id="0"/>
            <w:r w:rsidR="00E30810">
              <w:t xml:space="preserve"> from the syllabus and the content </w:t>
            </w:r>
            <w:r w:rsidRPr="007F7E61">
              <w:t xml:space="preserve"> identified in </w:t>
            </w:r>
            <w:r w:rsidRPr="00490C3B">
              <w:rPr>
                <w:i/>
              </w:rPr>
              <w:t>italics </w:t>
            </w:r>
            <w:r w:rsidRPr="007F7E61">
              <w:t>has been revised in the syllabus</w:t>
            </w:r>
            <w:r w:rsidR="00E30810">
              <w:t xml:space="preserve"> for teaching </w:t>
            </w:r>
            <w:r>
              <w:t>in 2023</w:t>
            </w:r>
            <w:r w:rsidRPr="007F7E61">
              <w:t>:</w:t>
            </w:r>
          </w:p>
          <w:p w:rsidR="00924226" w:rsidRPr="00E30810" w:rsidRDefault="00924226" w:rsidP="00E30810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3081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Unit 1 – Democracy and the rule of law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14"/>
              </w:numPr>
              <w:rPr>
                <w:i/>
              </w:rPr>
            </w:pPr>
            <w:r w:rsidRPr="009D711E">
              <w:t>Essential to the understanding of democracy and the rule of law</w:t>
            </w:r>
            <w:r>
              <w:t xml:space="preserve"> </w:t>
            </w:r>
            <w:r w:rsidRPr="00490C3B">
              <w:rPr>
                <w:strike/>
              </w:rPr>
              <w:t>are</w:t>
            </w:r>
            <w:r>
              <w:t xml:space="preserve"> </w:t>
            </w:r>
            <w:r w:rsidRPr="00490C3B">
              <w:rPr>
                <w:i/>
              </w:rPr>
              <w:t>is knowledge of: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the separation of powers doctrine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sovereignty of parliament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division of powers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representative government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Westminster conventions of responsible parliamentary government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constitutionalism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federalism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proofErr w:type="gramStart"/>
            <w:r w:rsidRPr="00490C3B">
              <w:rPr>
                <w:i/>
              </w:rPr>
              <w:t>judicial</w:t>
            </w:r>
            <w:proofErr w:type="gramEnd"/>
            <w:r w:rsidRPr="00490C3B">
              <w:rPr>
                <w:i/>
              </w:rPr>
              <w:t xml:space="preserve"> independence.</w:t>
            </w:r>
          </w:p>
          <w:p w:rsidR="00924226" w:rsidRPr="00490C3B" w:rsidRDefault="00924226" w:rsidP="00E30810">
            <w:pPr>
              <w:pStyle w:val="Paragraph"/>
              <w:numPr>
                <w:ilvl w:val="0"/>
                <w:numId w:val="14"/>
              </w:numPr>
              <w:rPr>
                <w:i/>
              </w:rPr>
            </w:pPr>
            <w:r w:rsidRPr="00D63750">
              <w:t xml:space="preserve">structure of </w:t>
            </w:r>
            <w:r>
              <w:t xml:space="preserve">the </w:t>
            </w:r>
            <w:r w:rsidRPr="00490C3B">
              <w:rPr>
                <w:i/>
              </w:rPr>
              <w:t xml:space="preserve">Australian political system and the Australian legal system </w:t>
            </w:r>
            <w:r w:rsidRPr="00490C3B">
              <w:rPr>
                <w:i/>
                <w:strike/>
              </w:rPr>
              <w:t>in Australia</w:t>
            </w:r>
            <w:r w:rsidRPr="00490C3B">
              <w:rPr>
                <w:i/>
              </w:rPr>
              <w:t>, including: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separation of powers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federalism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representative government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Westminster conventions of responsible parliamentary government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constitutional monarchy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common law system</w:t>
            </w:r>
          </w:p>
          <w:p w:rsidR="00924226" w:rsidRDefault="00924226" w:rsidP="00E30810">
            <w:pPr>
              <w:pStyle w:val="Paragraph"/>
              <w:numPr>
                <w:ilvl w:val="0"/>
                <w:numId w:val="14"/>
              </w:numPr>
            </w:pPr>
            <w:r w:rsidRPr="00D63750">
              <w:t>structures and processes of</w:t>
            </w:r>
            <w:r w:rsidR="00E30810">
              <w:t>:</w:t>
            </w:r>
          </w:p>
          <w:p w:rsidR="00924226" w:rsidRPr="00505AD3" w:rsidRDefault="00924226" w:rsidP="00924226">
            <w:pPr>
              <w:pStyle w:val="ListBullet"/>
              <w:numPr>
                <w:ilvl w:val="0"/>
                <w:numId w:val="29"/>
              </w:numPr>
            </w:pPr>
            <w:r w:rsidRPr="00505AD3">
              <w:t xml:space="preserve">one democratic political and legal system </w:t>
            </w:r>
          </w:p>
          <w:p w:rsidR="00924226" w:rsidRPr="00505AD3" w:rsidRDefault="00924226" w:rsidP="00924226">
            <w:pPr>
              <w:pStyle w:val="ListBullet"/>
              <w:numPr>
                <w:ilvl w:val="0"/>
                <w:numId w:val="29"/>
              </w:numPr>
            </w:pPr>
            <w:r w:rsidRPr="00505AD3">
              <w:t>one non-democratic political and legal system</w:t>
            </w:r>
          </w:p>
          <w:p w:rsidR="00924226" w:rsidRPr="00490C3B" w:rsidRDefault="00924226" w:rsidP="00E30810">
            <w:pPr>
              <w:pStyle w:val="ListBullet"/>
              <w:ind w:left="426" w:firstLine="0"/>
              <w:rPr>
                <w:i/>
              </w:rPr>
            </w:pPr>
            <w:r w:rsidRPr="00490C3B">
              <w:rPr>
                <w:i/>
              </w:rPr>
              <w:t>with reference to the operating principles of a liberal democracy</w:t>
            </w:r>
          </w:p>
          <w:p w:rsidR="00924226" w:rsidRPr="00490C3B" w:rsidRDefault="00924226" w:rsidP="00E30810">
            <w:pPr>
              <w:pStyle w:val="Paragraph"/>
              <w:numPr>
                <w:ilvl w:val="0"/>
                <w:numId w:val="14"/>
              </w:numPr>
              <w:rPr>
                <w:i/>
              </w:rPr>
            </w:pPr>
            <w:r w:rsidRPr="00490C3B">
              <w:t xml:space="preserve">types of laws made by parliaments </w:t>
            </w:r>
            <w:r w:rsidRPr="00490C3B">
              <w:rPr>
                <w:i/>
              </w:rPr>
              <w:t>(statute law),</w:t>
            </w:r>
            <w:r w:rsidRPr="00490C3B">
              <w:t xml:space="preserve"> courts </w:t>
            </w:r>
            <w:r w:rsidRPr="00490C3B">
              <w:rPr>
                <w:i/>
              </w:rPr>
              <w:t>(common law)</w:t>
            </w:r>
            <w:r w:rsidRPr="00490C3B">
              <w:t xml:space="preserve"> and subordinate authorities </w:t>
            </w:r>
            <w:r w:rsidRPr="00490C3B">
              <w:rPr>
                <w:i/>
              </w:rPr>
              <w:t>(delegated legislation)</w:t>
            </w:r>
          </w:p>
          <w:p w:rsidR="00924226" w:rsidRPr="004327E1" w:rsidRDefault="00924226" w:rsidP="00E30810">
            <w:pPr>
              <w:pStyle w:val="Paragraph"/>
              <w:numPr>
                <w:ilvl w:val="0"/>
                <w:numId w:val="14"/>
              </w:numPr>
            </w:pPr>
            <w:r w:rsidRPr="004327E1">
              <w:t xml:space="preserve">key processes </w:t>
            </w:r>
            <w:r w:rsidRPr="00490C3B">
              <w:rPr>
                <w:i/>
              </w:rPr>
              <w:t>(pre-trial, trial and post-trial)</w:t>
            </w:r>
            <w:r w:rsidRPr="00490C3B">
              <w:t xml:space="preserve"> </w:t>
            </w:r>
            <w:r w:rsidRPr="004327E1">
              <w:t>of civil and criminal trials in Western Australia</w:t>
            </w:r>
          </w:p>
          <w:p w:rsidR="00924226" w:rsidRDefault="00924226" w:rsidP="00E30810">
            <w:pPr>
              <w:pStyle w:val="Paragraph"/>
              <w:numPr>
                <w:ilvl w:val="0"/>
                <w:numId w:val="14"/>
              </w:numPr>
            </w:pPr>
            <w:r w:rsidRPr="004327E1">
              <w:t xml:space="preserve">key processes of at least one non-common law </w:t>
            </w:r>
            <w:r w:rsidRPr="00490C3B">
              <w:rPr>
                <w:i/>
              </w:rPr>
              <w:t>(inquisitorial)</w:t>
            </w:r>
            <w:r w:rsidRPr="00490C3B">
              <w:t xml:space="preserve"> </w:t>
            </w:r>
            <w:r w:rsidRPr="004327E1">
              <w:t>system</w:t>
            </w:r>
          </w:p>
          <w:p w:rsidR="00622BE5" w:rsidRDefault="00622BE5" w:rsidP="00622BE5">
            <w:pPr>
              <w:pStyle w:val="Heading1"/>
              <w:numPr>
                <w:ilvl w:val="0"/>
                <w:numId w:val="0"/>
              </w:numPr>
              <w:spacing w:before="0" w:line="240" w:lineRule="auto"/>
              <w:outlineLvl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1" w:name="_Toc380487698"/>
          </w:p>
          <w:p w:rsidR="00924226" w:rsidRPr="00E30810" w:rsidRDefault="00924226" w:rsidP="00622BE5">
            <w:pPr>
              <w:pStyle w:val="Heading1"/>
              <w:numPr>
                <w:ilvl w:val="0"/>
                <w:numId w:val="0"/>
              </w:numPr>
              <w:spacing w:before="0" w:line="240" w:lineRule="auto"/>
              <w:outlineLvl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3081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Unit 2 – Representation and justice</w:t>
            </w:r>
            <w:bookmarkEnd w:id="1"/>
          </w:p>
          <w:p w:rsidR="00924226" w:rsidRPr="00490C3B" w:rsidRDefault="00924226" w:rsidP="00924226">
            <w:pPr>
              <w:pStyle w:val="Paragraph"/>
              <w:numPr>
                <w:ilvl w:val="0"/>
                <w:numId w:val="14"/>
              </w:numPr>
              <w:rPr>
                <w:i/>
              </w:rPr>
            </w:pPr>
            <w:r w:rsidRPr="00D63750">
              <w:t xml:space="preserve">Essential to the understanding of representation and justice </w:t>
            </w:r>
            <w:r w:rsidRPr="00490C3B">
              <w:rPr>
                <w:i/>
                <w:strike/>
              </w:rPr>
              <w:t>are</w:t>
            </w:r>
            <w:r w:rsidRPr="00490C3B">
              <w:rPr>
                <w:i/>
              </w:rPr>
              <w:t xml:space="preserve"> is knowledge of: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the principles of fair elections</w:t>
            </w:r>
          </w:p>
          <w:p w:rsidR="00924226" w:rsidRPr="00490C3B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political participation</w:t>
            </w:r>
          </w:p>
          <w:p w:rsidR="00924226" w:rsidRDefault="00924226" w:rsidP="00924226">
            <w:pPr>
              <w:pStyle w:val="Paragraph"/>
              <w:numPr>
                <w:ilvl w:val="0"/>
                <w:numId w:val="29"/>
              </w:numPr>
              <w:rPr>
                <w:i/>
              </w:rPr>
            </w:pPr>
            <w:proofErr w:type="gramStart"/>
            <w:r w:rsidRPr="00490C3B">
              <w:rPr>
                <w:i/>
              </w:rPr>
              <w:t>natural</w:t>
            </w:r>
            <w:proofErr w:type="gramEnd"/>
            <w:r w:rsidRPr="00490C3B">
              <w:rPr>
                <w:i/>
              </w:rPr>
              <w:t xml:space="preserve"> justice.</w:t>
            </w:r>
          </w:p>
          <w:p w:rsidR="00924226" w:rsidRPr="008C5C58" w:rsidRDefault="00924226" w:rsidP="00924226">
            <w:pPr>
              <w:pStyle w:val="ListItem"/>
              <w:numPr>
                <w:ilvl w:val="0"/>
                <w:numId w:val="30"/>
              </w:numPr>
            </w:pPr>
            <w:r w:rsidRPr="00D63750">
              <w:t xml:space="preserve">political representation with reference to the role of </w:t>
            </w:r>
            <w:r w:rsidRPr="00AC3E5C">
              <w:rPr>
                <w:i/>
              </w:rPr>
              <w:t>individuals</w:t>
            </w:r>
            <w:r w:rsidRPr="00AC3E5C">
              <w:t>,</w:t>
            </w:r>
            <w:r w:rsidRPr="00AC3E5C">
              <w:rPr>
                <w:color w:val="FF0000"/>
              </w:rPr>
              <w:t xml:space="preserve"> </w:t>
            </w:r>
            <w:r w:rsidRPr="00D63750">
              <w:t>political parties and pressure groups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30"/>
              </w:numPr>
              <w:rPr>
                <w:i/>
              </w:rPr>
            </w:pPr>
            <w:r w:rsidRPr="006F36E2">
              <w:t>the Western Australian and Commonwealth electoral</w:t>
            </w:r>
            <w:r w:rsidRPr="00490C3B">
              <w:rPr>
                <w:i/>
              </w:rPr>
              <w:t xml:space="preserve"> </w:t>
            </w:r>
            <w:r w:rsidRPr="00490C3B">
              <w:rPr>
                <w:i/>
                <w:strike/>
              </w:rPr>
              <w:t>and voting</w:t>
            </w:r>
            <w:r w:rsidRPr="00490C3B">
              <w:rPr>
                <w:i/>
              </w:rPr>
              <w:t xml:space="preserve"> </w:t>
            </w:r>
            <w:r w:rsidRPr="006F36E2">
              <w:t>systems since Federation</w:t>
            </w:r>
            <w:r w:rsidRPr="00490C3B">
              <w:rPr>
                <w:i/>
              </w:rPr>
              <w:t>, including: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compulsory voting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preferential voting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proportional voting</w:t>
            </w:r>
          </w:p>
          <w:p w:rsidR="00924226" w:rsidRPr="00490C3B" w:rsidRDefault="00924226" w:rsidP="00924226">
            <w:pPr>
              <w:pStyle w:val="ListItem"/>
              <w:numPr>
                <w:ilvl w:val="0"/>
                <w:numId w:val="29"/>
              </w:numPr>
              <w:rPr>
                <w:i/>
              </w:rPr>
            </w:pPr>
            <w:r w:rsidRPr="00490C3B">
              <w:rPr>
                <w:i/>
              </w:rPr>
              <w:t>the franchise</w:t>
            </w:r>
          </w:p>
          <w:p w:rsidR="00924226" w:rsidRPr="008C5C58" w:rsidRDefault="00924226" w:rsidP="00924226">
            <w:pPr>
              <w:pStyle w:val="ListItem"/>
              <w:numPr>
                <w:ilvl w:val="0"/>
                <w:numId w:val="31"/>
              </w:numPr>
            </w:pPr>
            <w:r w:rsidRPr="00D63750">
              <w:t xml:space="preserve">advantages and disadvantages of </w:t>
            </w:r>
            <w:r>
              <w:t>the</w:t>
            </w:r>
            <w:r w:rsidRPr="00D63750">
              <w:t xml:space="preserve"> </w:t>
            </w:r>
            <w:r w:rsidRPr="00490C3B">
              <w:t xml:space="preserve">electoral </w:t>
            </w:r>
            <w:r w:rsidRPr="00490C3B">
              <w:rPr>
                <w:strike/>
              </w:rPr>
              <w:t>and voting</w:t>
            </w:r>
            <w:r w:rsidRPr="00D63750">
              <w:t xml:space="preserve"> systems in Australia with reference to at least one recent (the last ten years) election </w:t>
            </w:r>
          </w:p>
          <w:p w:rsidR="00924226" w:rsidRPr="008C5C58" w:rsidRDefault="00924226" w:rsidP="00924226">
            <w:pPr>
              <w:pStyle w:val="ListItem"/>
              <w:numPr>
                <w:ilvl w:val="0"/>
                <w:numId w:val="31"/>
              </w:numPr>
            </w:pPr>
            <w:r w:rsidRPr="00D63750">
              <w:t xml:space="preserve">a recently implemented or proposed reform (the last ten years) to </w:t>
            </w:r>
            <w:r>
              <w:t xml:space="preserve">the </w:t>
            </w:r>
            <w:r w:rsidRPr="00D63750">
              <w:t xml:space="preserve">electoral </w:t>
            </w:r>
            <w:r w:rsidRPr="00490C3B">
              <w:rPr>
                <w:strike/>
              </w:rPr>
              <w:t>and voting</w:t>
            </w:r>
            <w:r w:rsidRPr="00490C3B">
              <w:t xml:space="preserve"> systems</w:t>
            </w:r>
            <w:r w:rsidRPr="00D63750">
              <w:t xml:space="preserve"> </w:t>
            </w:r>
            <w:r>
              <w:t>in Australia</w:t>
            </w:r>
          </w:p>
          <w:p w:rsidR="00924226" w:rsidRPr="008C5C58" w:rsidRDefault="00924226" w:rsidP="00924226">
            <w:pPr>
              <w:pStyle w:val="ListItem"/>
              <w:numPr>
                <w:ilvl w:val="0"/>
                <w:numId w:val="31"/>
              </w:numPr>
            </w:pPr>
            <w:r w:rsidRPr="00D63750">
              <w:t xml:space="preserve">the electoral </w:t>
            </w:r>
            <w:r w:rsidRPr="00490C3B">
              <w:rPr>
                <w:strike/>
              </w:rPr>
              <w:t>and voting</w:t>
            </w:r>
            <w:r w:rsidRPr="00490C3B">
              <w:t xml:space="preserve"> systems</w:t>
            </w:r>
            <w:r w:rsidRPr="00D63750">
              <w:t xml:space="preserve"> of another country</w:t>
            </w:r>
          </w:p>
          <w:p w:rsidR="00924226" w:rsidRPr="00865A38" w:rsidRDefault="00924226" w:rsidP="00924226"/>
        </w:tc>
      </w:tr>
    </w:tbl>
    <w:p w:rsidR="00712BA5" w:rsidRPr="00BC5A20" w:rsidRDefault="00712BA5" w:rsidP="003913BD"/>
    <w:sectPr w:rsidR="00712BA5" w:rsidRPr="00BC5A20" w:rsidSect="00622BE5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65" w:rsidRDefault="009E2565" w:rsidP="000E1145">
      <w:pPr>
        <w:spacing w:after="0" w:line="240" w:lineRule="auto"/>
      </w:pPr>
      <w:r>
        <w:separator/>
      </w:r>
    </w:p>
  </w:endnote>
  <w:endnote w:type="continuationSeparator" w:id="0">
    <w:p w:rsidR="009E2565" w:rsidRDefault="009E2565" w:rsidP="000E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E5" w:rsidRPr="000A39DB" w:rsidRDefault="00622BE5" w:rsidP="00622BE5">
    <w:pPr>
      <w:pStyle w:val="Footer"/>
      <w:rPr>
        <w:rFonts w:cstheme="minorHAnsi"/>
        <w:sz w:val="18"/>
      </w:rPr>
    </w:pPr>
    <w:r w:rsidRPr="000A39DB">
      <w:rPr>
        <w:rFonts w:cstheme="minorHAnsi"/>
        <w:sz w:val="18"/>
      </w:rPr>
      <w:t>CM: 2022/36646</w:t>
    </w:r>
  </w:p>
  <w:p w:rsidR="00622BE5" w:rsidRDefault="0062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65" w:rsidRDefault="009E2565" w:rsidP="000E1145">
      <w:pPr>
        <w:spacing w:after="0" w:line="240" w:lineRule="auto"/>
      </w:pPr>
      <w:r>
        <w:separator/>
      </w:r>
    </w:p>
  </w:footnote>
  <w:footnote w:type="continuationSeparator" w:id="0">
    <w:p w:rsidR="009E2565" w:rsidRDefault="009E2565" w:rsidP="000E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E5" w:rsidRPr="00622BE5" w:rsidRDefault="00622BE5" w:rsidP="00622BE5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Humanities and Social Sciences</w:t>
    </w:r>
    <w:r w:rsidRPr="00871FC2">
      <w:rPr>
        <w:b/>
      </w:rPr>
      <w:t xml:space="preserve"> and teachers of </w:t>
    </w:r>
    <w:r>
      <w:rPr>
        <w:b/>
      </w:rPr>
      <w:t>Politics and Law ATAR</w:t>
    </w:r>
    <w:r w:rsidRPr="00871FC2">
      <w:rPr>
        <w:b/>
      </w:rPr>
      <w:t xml:space="preserve"> </w:t>
    </w:r>
    <w:r>
      <w:rPr>
        <w:b/>
      </w:rPr>
      <w:t xml:space="preserve">Year 11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3E34A0"/>
    <w:multiLevelType w:val="hybridMultilevel"/>
    <w:tmpl w:val="3EC20EB8"/>
    <w:lvl w:ilvl="0" w:tplc="0C090001">
      <w:start w:val="1"/>
      <w:numFmt w:val="bullet"/>
      <w:pStyle w:val="Heading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6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57A3E"/>
    <w:multiLevelType w:val="hybridMultilevel"/>
    <w:tmpl w:val="F40C08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B0D43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5DF2"/>
    <w:multiLevelType w:val="hybridMultilevel"/>
    <w:tmpl w:val="A1000E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6C6424"/>
    <w:multiLevelType w:val="hybridMultilevel"/>
    <w:tmpl w:val="2E86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865AE"/>
    <w:multiLevelType w:val="hybridMultilevel"/>
    <w:tmpl w:val="8E445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24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7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C6371"/>
    <w:multiLevelType w:val="hybridMultilevel"/>
    <w:tmpl w:val="64243CF0"/>
    <w:lvl w:ilvl="0" w:tplc="2C90F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D4CA0"/>
    <w:multiLevelType w:val="hybridMultilevel"/>
    <w:tmpl w:val="11069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8"/>
  </w:num>
  <w:num w:numId="6">
    <w:abstractNumId w:val="10"/>
  </w:num>
  <w:num w:numId="7">
    <w:abstractNumId w:val="4"/>
  </w:num>
  <w:num w:numId="8">
    <w:abstractNumId w:val="25"/>
  </w:num>
  <w:num w:numId="9">
    <w:abstractNumId w:val="15"/>
  </w:num>
  <w:num w:numId="10">
    <w:abstractNumId w:val="27"/>
  </w:num>
  <w:num w:numId="11">
    <w:abstractNumId w:val="1"/>
  </w:num>
  <w:num w:numId="12">
    <w:abstractNumId w:val="24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6"/>
  </w:num>
  <w:num w:numId="18">
    <w:abstractNumId w:val="8"/>
  </w:num>
  <w:num w:numId="19">
    <w:abstractNumId w:val="16"/>
  </w:num>
  <w:num w:numId="20">
    <w:abstractNumId w:val="22"/>
  </w:num>
  <w:num w:numId="21">
    <w:abstractNumId w:val="17"/>
  </w:num>
  <w:num w:numId="22">
    <w:abstractNumId w:val="26"/>
  </w:num>
  <w:num w:numId="23">
    <w:abstractNumId w:val="13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12"/>
  </w:num>
  <w:num w:numId="29">
    <w:abstractNumId w:val="29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0A39DB"/>
    <w:rsid w:val="000E1145"/>
    <w:rsid w:val="00177A64"/>
    <w:rsid w:val="001C5A16"/>
    <w:rsid w:val="001F7298"/>
    <w:rsid w:val="002100BD"/>
    <w:rsid w:val="002214D0"/>
    <w:rsid w:val="0024461E"/>
    <w:rsid w:val="00281A31"/>
    <w:rsid w:val="00351823"/>
    <w:rsid w:val="00355F5A"/>
    <w:rsid w:val="00360C97"/>
    <w:rsid w:val="00376354"/>
    <w:rsid w:val="003913BD"/>
    <w:rsid w:val="003C7D40"/>
    <w:rsid w:val="00622BE5"/>
    <w:rsid w:val="006951BF"/>
    <w:rsid w:val="00712BA5"/>
    <w:rsid w:val="007131BF"/>
    <w:rsid w:val="008B6C4D"/>
    <w:rsid w:val="008C14A1"/>
    <w:rsid w:val="00924226"/>
    <w:rsid w:val="00924B1C"/>
    <w:rsid w:val="009365C7"/>
    <w:rsid w:val="009E2565"/>
    <w:rsid w:val="00A314F4"/>
    <w:rsid w:val="00A32E0B"/>
    <w:rsid w:val="00A4204D"/>
    <w:rsid w:val="00AC410E"/>
    <w:rsid w:val="00AD7D8D"/>
    <w:rsid w:val="00AE24E8"/>
    <w:rsid w:val="00AF5A52"/>
    <w:rsid w:val="00BB05A7"/>
    <w:rsid w:val="00BC5A20"/>
    <w:rsid w:val="00C64978"/>
    <w:rsid w:val="00D33EFB"/>
    <w:rsid w:val="00DE55E0"/>
    <w:rsid w:val="00E07415"/>
    <w:rsid w:val="00E10C94"/>
    <w:rsid w:val="00E30810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1483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4226"/>
    <w:pPr>
      <w:keepNext/>
      <w:keepLines/>
      <w:numPr>
        <w:numId w:val="28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924226"/>
    <w:pPr>
      <w:spacing w:after="120" w:line="264" w:lineRule="auto"/>
      <w:ind w:left="1080" w:hanging="360"/>
      <w:contextualSpacing/>
    </w:pPr>
    <w:rPr>
      <w:rFonts w:ascii="Calibri" w:eastAsiaTheme="minorEastAsia" w:hAnsi="Calibri"/>
    </w:rPr>
  </w:style>
  <w:style w:type="paragraph" w:styleId="Header">
    <w:name w:val="header"/>
    <w:basedOn w:val="Normal"/>
    <w:link w:val="HeaderChar"/>
    <w:uiPriority w:val="99"/>
    <w:unhideWhenUsed/>
    <w:rsid w:val="000E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45"/>
  </w:style>
  <w:style w:type="paragraph" w:styleId="Footer">
    <w:name w:val="footer"/>
    <w:basedOn w:val="Normal"/>
    <w:link w:val="FooterChar"/>
    <w:uiPriority w:val="99"/>
    <w:unhideWhenUsed/>
    <w:rsid w:val="000E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45"/>
  </w:style>
  <w:style w:type="paragraph" w:styleId="BalloonText">
    <w:name w:val="Balloon Text"/>
    <w:basedOn w:val="Normal"/>
    <w:link w:val="BalloonTextChar"/>
    <w:uiPriority w:val="99"/>
    <w:semiHidden/>
    <w:unhideWhenUsed/>
    <w:rsid w:val="00E3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98F8-C9C8-454D-BDF0-C49B1DC6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Molly Sinclair</cp:lastModifiedBy>
  <cp:revision>6</cp:revision>
  <cp:lastPrinted>2022-08-09T06:32:00Z</cp:lastPrinted>
  <dcterms:created xsi:type="dcterms:W3CDTF">2022-08-04T03:24:00Z</dcterms:created>
  <dcterms:modified xsi:type="dcterms:W3CDTF">2022-08-16T02:38:00Z</dcterms:modified>
</cp:coreProperties>
</file>