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BC72" w14:textId="043B74D1" w:rsidR="0085168E" w:rsidRDefault="0085168E" w:rsidP="005523EF">
      <w:pPr>
        <w:spacing w:after="120" w:line="276" w:lineRule="auto"/>
        <w:rPr>
          <w:b/>
        </w:rPr>
      </w:pPr>
      <w:r>
        <w:rPr>
          <w:b/>
        </w:rPr>
        <w:t>Food Science and Technology</w:t>
      </w:r>
      <w:r w:rsidRPr="0085168E">
        <w:rPr>
          <w:b/>
        </w:rPr>
        <w:t xml:space="preserve"> | ATAR Year 12 | Summary of minor syllabus changes for 2024</w:t>
      </w:r>
    </w:p>
    <w:p w14:paraId="1EED32EF" w14:textId="15434290" w:rsidR="0085168E" w:rsidRPr="00D7125B" w:rsidRDefault="0085168E" w:rsidP="005523EF">
      <w:pPr>
        <w:spacing w:after="120" w:line="276" w:lineRule="auto"/>
        <w:rPr>
          <w:rFonts w:cstheme="minorHAnsi"/>
        </w:rPr>
      </w:pPr>
      <w:r w:rsidRPr="00D7125B">
        <w:rPr>
          <w:rFonts w:cstheme="minorHAnsi"/>
        </w:rPr>
        <w:t xml:space="preserve">The content identified by </w:t>
      </w:r>
      <w:r w:rsidRPr="00D7125B">
        <w:rPr>
          <w:rFonts w:cstheme="minorHAnsi"/>
          <w:strike/>
        </w:rPr>
        <w:t>strikethrough</w:t>
      </w:r>
      <w:r w:rsidRPr="00D7125B">
        <w:rPr>
          <w:rFonts w:cstheme="minorHAnsi"/>
        </w:rPr>
        <w:t xml:space="preserve"> has been deleted from the syllabus and the content identified in </w:t>
      </w:r>
      <w:r w:rsidRPr="00D7125B">
        <w:rPr>
          <w:rFonts w:cstheme="minorHAnsi"/>
          <w:i/>
        </w:rPr>
        <w:t>italics</w:t>
      </w:r>
      <w:r w:rsidRPr="00D7125B">
        <w:rPr>
          <w:rFonts w:cstheme="minorHAnsi"/>
        </w:rPr>
        <w:t xml:space="preserve"> has been revised in the syllabus for teaching from 202</w:t>
      </w:r>
      <w:r>
        <w:rPr>
          <w:rFonts w:cstheme="minorHAnsi"/>
        </w:rPr>
        <w:t>4</w:t>
      </w:r>
      <w:r w:rsidR="000D31AD">
        <w:rPr>
          <w:rFonts w:eastAsia="Times New Roman" w:cstheme="minorHAnsi"/>
        </w:rPr>
        <w:t>.</w:t>
      </w:r>
    </w:p>
    <w:p w14:paraId="640EEACA" w14:textId="77777777" w:rsidR="0085168E" w:rsidRDefault="0085168E" w:rsidP="005523EF">
      <w:pPr>
        <w:spacing w:after="120" w:line="276" w:lineRule="auto"/>
        <w:rPr>
          <w:rFonts w:eastAsia="Times New Roman" w:cstheme="minorHAnsi"/>
          <w:b/>
        </w:rPr>
      </w:pPr>
      <w:r w:rsidRPr="00D7125B">
        <w:rPr>
          <w:rFonts w:eastAsia="Times New Roman" w:cstheme="minorHAnsi"/>
          <w:b/>
        </w:rPr>
        <w:t>Unit 3</w:t>
      </w:r>
    </w:p>
    <w:p w14:paraId="2B522C8A" w14:textId="77777777" w:rsidR="0085168E" w:rsidRPr="001B2390" w:rsidRDefault="0085168E" w:rsidP="005523EF">
      <w:pPr>
        <w:spacing w:after="120" w:line="276" w:lineRule="auto"/>
      </w:pPr>
      <w:r w:rsidRPr="001B2390">
        <w:t>Properties of food</w:t>
      </w:r>
    </w:p>
    <w:p w14:paraId="56564090" w14:textId="77777777" w:rsidR="0085168E" w:rsidRDefault="0085168E" w:rsidP="005523EF">
      <w:pPr>
        <w:pStyle w:val="ListParagraph"/>
        <w:numPr>
          <w:ilvl w:val="0"/>
          <w:numId w:val="1"/>
        </w:numPr>
        <w:spacing w:after="120" w:line="276" w:lineRule="auto"/>
        <w:ind w:left="360"/>
      </w:pPr>
      <w:r w:rsidRPr="001B2390">
        <w:t xml:space="preserve">the effect of preservation </w:t>
      </w:r>
      <w:r w:rsidRPr="001B2390">
        <w:rPr>
          <w:strike/>
        </w:rPr>
        <w:t>methods</w:t>
      </w:r>
      <w:r w:rsidRPr="001B2390">
        <w:t xml:space="preserve"> </w:t>
      </w:r>
      <w:r w:rsidRPr="008D3B69">
        <w:rPr>
          <w:i/>
          <w:iCs/>
        </w:rPr>
        <w:t>processes</w:t>
      </w:r>
      <w:r w:rsidRPr="001B2390">
        <w:t xml:space="preserve"> on </w:t>
      </w:r>
      <w:proofErr w:type="gramStart"/>
      <w:r w:rsidRPr="001B2390">
        <w:t>food</w:t>
      </w:r>
      <w:proofErr w:type="gramEnd"/>
    </w:p>
    <w:p w14:paraId="25BDE0D1" w14:textId="77777777" w:rsidR="0085168E" w:rsidRDefault="0085168E" w:rsidP="005523EF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85168E">
        <w:rPr>
          <w:rFonts w:eastAsia="Times New Roman" w:cs="Arial"/>
        </w:rPr>
        <w:t>sensory properties</w:t>
      </w:r>
    </w:p>
    <w:p w14:paraId="0CE5E79D" w14:textId="77777777" w:rsidR="0085168E" w:rsidRDefault="0085168E" w:rsidP="005523EF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85168E">
        <w:rPr>
          <w:rFonts w:eastAsia="Times New Roman" w:cs="Arial"/>
        </w:rPr>
        <w:t>physical properties</w:t>
      </w:r>
    </w:p>
    <w:p w14:paraId="0E3E6608" w14:textId="74B989BC" w:rsidR="0085168E" w:rsidRPr="0085168E" w:rsidRDefault="0085168E" w:rsidP="005523EF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85168E">
        <w:rPr>
          <w:rFonts w:eastAsia="Times New Roman" w:cs="Arial"/>
        </w:rPr>
        <w:t>chemical properties</w:t>
      </w:r>
    </w:p>
    <w:p w14:paraId="0ADCE985" w14:textId="77777777" w:rsidR="0085168E" w:rsidRPr="00144BE3" w:rsidRDefault="0085168E" w:rsidP="005523EF">
      <w:pPr>
        <w:spacing w:after="120" w:line="276" w:lineRule="auto"/>
      </w:pPr>
      <w:r w:rsidRPr="00144BE3">
        <w:t>Nutrition</w:t>
      </w:r>
    </w:p>
    <w:p w14:paraId="1D0C3B70" w14:textId="77777777" w:rsidR="0085168E" w:rsidRDefault="0085168E" w:rsidP="005523EF">
      <w:pPr>
        <w:pStyle w:val="ListParagraph"/>
        <w:numPr>
          <w:ilvl w:val="0"/>
          <w:numId w:val="1"/>
        </w:numPr>
        <w:spacing w:after="120" w:line="276" w:lineRule="auto"/>
        <w:ind w:left="360"/>
      </w:pPr>
      <w:r w:rsidRPr="00013B5D">
        <w:t>food sources and impact of micronutrient intake on health</w:t>
      </w:r>
    </w:p>
    <w:p w14:paraId="4311171C" w14:textId="77777777" w:rsidR="0085168E" w:rsidRDefault="0085168E" w:rsidP="005523EF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85168E">
        <w:rPr>
          <w:rFonts w:eastAsia="Times New Roman" w:cs="Arial"/>
        </w:rPr>
        <w:t>fat-soluble vitamins – A, D, E and K</w:t>
      </w:r>
    </w:p>
    <w:p w14:paraId="2FEB8B4B" w14:textId="77777777" w:rsidR="0085168E" w:rsidRPr="0085168E" w:rsidRDefault="0085168E" w:rsidP="005523EF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85168E">
        <w:rPr>
          <w:rFonts w:eastAsia="Times New Roman" w:cs="Arial"/>
        </w:rPr>
        <w:t xml:space="preserve">water-soluble vitamins – B2 (riboflavin), B9 (folate), B12 (cobalamin) and C </w:t>
      </w:r>
      <w:r w:rsidRPr="0085168E">
        <w:rPr>
          <w:rFonts w:eastAsia="Times New Roman" w:cs="Arial"/>
          <w:i/>
          <w:iCs/>
        </w:rPr>
        <w:t>(ascorbic acid)</w:t>
      </w:r>
    </w:p>
    <w:p w14:paraId="11314434" w14:textId="647D246E" w:rsidR="0085168E" w:rsidRPr="0085168E" w:rsidRDefault="0085168E" w:rsidP="005523EF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85168E">
        <w:rPr>
          <w:rFonts w:eastAsia="Times New Roman" w:cs="Arial"/>
        </w:rPr>
        <w:t xml:space="preserve">minerals – calcium, iron, </w:t>
      </w:r>
      <w:proofErr w:type="gramStart"/>
      <w:r w:rsidRPr="0085168E">
        <w:rPr>
          <w:rFonts w:eastAsia="Times New Roman" w:cs="Arial"/>
        </w:rPr>
        <w:t>sodium</w:t>
      </w:r>
      <w:proofErr w:type="gramEnd"/>
      <w:r w:rsidRPr="0085168E">
        <w:rPr>
          <w:rFonts w:eastAsia="Times New Roman" w:cs="Arial"/>
        </w:rPr>
        <w:t xml:space="preserve"> and potassium</w:t>
      </w:r>
    </w:p>
    <w:p w14:paraId="2A12464D" w14:textId="77777777" w:rsidR="0085168E" w:rsidRPr="00B66223" w:rsidRDefault="0085168E" w:rsidP="005523EF">
      <w:pPr>
        <w:spacing w:after="120" w:line="276" w:lineRule="auto"/>
      </w:pPr>
      <w:r w:rsidRPr="00B66223">
        <w:t>Laws and regulatory codes</w:t>
      </w:r>
    </w:p>
    <w:p w14:paraId="57D785FA" w14:textId="77777777" w:rsidR="0085168E" w:rsidRDefault="0085168E" w:rsidP="005523EF">
      <w:pPr>
        <w:pStyle w:val="ListParagraph"/>
        <w:numPr>
          <w:ilvl w:val="0"/>
          <w:numId w:val="1"/>
        </w:numPr>
        <w:spacing w:after="120" w:line="276" w:lineRule="auto"/>
        <w:ind w:left="360"/>
      </w:pPr>
      <w:r w:rsidRPr="00FD44EC">
        <w:t>apply the principles of</w:t>
      </w:r>
      <w:r w:rsidRPr="00C610A8">
        <w:t xml:space="preserve"> the</w:t>
      </w:r>
      <w:r>
        <w:t xml:space="preserve"> </w:t>
      </w:r>
      <w:r w:rsidRPr="00C13E21">
        <w:rPr>
          <w:i/>
          <w:iCs/>
        </w:rPr>
        <w:t>Hazard Analysis Critical Control Point (</w:t>
      </w:r>
      <w:r w:rsidRPr="00077301">
        <w:t>HACCP</w:t>
      </w:r>
      <w:r w:rsidRPr="00C13E21">
        <w:rPr>
          <w:i/>
          <w:iCs/>
        </w:rPr>
        <w:t xml:space="preserve">) management </w:t>
      </w:r>
      <w:r w:rsidRPr="00077301">
        <w:t>system</w:t>
      </w:r>
      <w:r w:rsidRPr="00B66223">
        <w:t xml:space="preserve"> </w:t>
      </w:r>
      <w:r w:rsidRPr="00FD44EC">
        <w:t xml:space="preserve">to manage food </w:t>
      </w:r>
      <w:proofErr w:type="gramStart"/>
      <w:r w:rsidRPr="00FD44EC">
        <w:t>safety</w:t>
      </w:r>
      <w:proofErr w:type="gramEnd"/>
    </w:p>
    <w:p w14:paraId="21DE02B1" w14:textId="77777777" w:rsidR="0085168E" w:rsidRDefault="0085168E" w:rsidP="005523EF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85168E">
        <w:rPr>
          <w:rFonts w:eastAsia="Times New Roman" w:cs="Arial"/>
        </w:rPr>
        <w:t xml:space="preserve">conduct a hazard </w:t>
      </w:r>
      <w:proofErr w:type="gramStart"/>
      <w:r w:rsidRPr="0085168E">
        <w:rPr>
          <w:rFonts w:eastAsia="Times New Roman" w:cs="Arial"/>
        </w:rPr>
        <w:t>analysis</w:t>
      </w:r>
      <w:proofErr w:type="gramEnd"/>
    </w:p>
    <w:p w14:paraId="712E4D26" w14:textId="77777777" w:rsidR="0085168E" w:rsidRDefault="0085168E" w:rsidP="005523EF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85168E">
        <w:rPr>
          <w:rFonts w:eastAsia="Times New Roman" w:cs="Arial"/>
        </w:rPr>
        <w:t xml:space="preserve">identify critical control </w:t>
      </w:r>
      <w:proofErr w:type="gramStart"/>
      <w:r w:rsidRPr="0085168E">
        <w:rPr>
          <w:rFonts w:eastAsia="Times New Roman" w:cs="Arial"/>
        </w:rPr>
        <w:t>points</w:t>
      </w:r>
      <w:proofErr w:type="gramEnd"/>
    </w:p>
    <w:p w14:paraId="5EEA16ED" w14:textId="77777777" w:rsidR="0085168E" w:rsidRDefault="0085168E" w:rsidP="005523EF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85168E">
        <w:rPr>
          <w:rFonts w:eastAsia="Times New Roman" w:cs="Arial"/>
        </w:rPr>
        <w:t xml:space="preserve">establish critical limits for each critical control </w:t>
      </w:r>
      <w:proofErr w:type="gramStart"/>
      <w:r w:rsidRPr="0085168E">
        <w:rPr>
          <w:rFonts w:eastAsia="Times New Roman" w:cs="Arial"/>
        </w:rPr>
        <w:t>point</w:t>
      </w:r>
      <w:proofErr w:type="gramEnd"/>
    </w:p>
    <w:p w14:paraId="4204A502" w14:textId="77777777" w:rsidR="0085168E" w:rsidRDefault="0085168E" w:rsidP="005523EF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85168E">
        <w:rPr>
          <w:rFonts w:eastAsia="Times New Roman" w:cs="Arial"/>
        </w:rPr>
        <w:t xml:space="preserve">establish critical control point monitoring </w:t>
      </w:r>
      <w:proofErr w:type="gramStart"/>
      <w:r w:rsidRPr="0085168E">
        <w:rPr>
          <w:rFonts w:eastAsia="Times New Roman" w:cs="Arial"/>
        </w:rPr>
        <w:t>requirements</w:t>
      </w:r>
      <w:proofErr w:type="gramEnd"/>
    </w:p>
    <w:p w14:paraId="2DF8B102" w14:textId="77777777" w:rsidR="0085168E" w:rsidRDefault="0085168E" w:rsidP="005523EF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85168E">
        <w:rPr>
          <w:rFonts w:eastAsia="Times New Roman" w:cs="Arial"/>
        </w:rPr>
        <w:t xml:space="preserve">establish corrective </w:t>
      </w:r>
      <w:proofErr w:type="gramStart"/>
      <w:r w:rsidRPr="0085168E">
        <w:rPr>
          <w:rFonts w:eastAsia="Times New Roman" w:cs="Arial"/>
        </w:rPr>
        <w:t>actions</w:t>
      </w:r>
      <w:proofErr w:type="gramEnd"/>
    </w:p>
    <w:p w14:paraId="141C8DFB" w14:textId="77777777" w:rsidR="0085168E" w:rsidRDefault="0085168E" w:rsidP="005523EF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85168E">
        <w:rPr>
          <w:rFonts w:eastAsia="Times New Roman" w:cs="Arial"/>
        </w:rPr>
        <w:t xml:space="preserve">verify </w:t>
      </w:r>
      <w:proofErr w:type="gramStart"/>
      <w:r w:rsidRPr="0085168E">
        <w:rPr>
          <w:rFonts w:eastAsia="Times New Roman" w:cs="Arial"/>
        </w:rPr>
        <w:t>procedures</w:t>
      </w:r>
      <w:proofErr w:type="gramEnd"/>
    </w:p>
    <w:p w14:paraId="73309343" w14:textId="3395C7BE" w:rsidR="0085168E" w:rsidRPr="0085168E" w:rsidRDefault="0085168E" w:rsidP="005523EF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85168E">
        <w:rPr>
          <w:rFonts w:eastAsia="Times New Roman" w:cs="Arial"/>
        </w:rPr>
        <w:t xml:space="preserve">establish record keeping </w:t>
      </w:r>
      <w:proofErr w:type="gramStart"/>
      <w:r w:rsidRPr="0085168E">
        <w:rPr>
          <w:rFonts w:eastAsia="Times New Roman" w:cs="Arial"/>
        </w:rPr>
        <w:t>procedures</w:t>
      </w:r>
      <w:proofErr w:type="gramEnd"/>
    </w:p>
    <w:p w14:paraId="298E6F2F" w14:textId="77777777" w:rsidR="0085168E" w:rsidRPr="00B66223" w:rsidRDefault="0085168E" w:rsidP="005523EF">
      <w:pPr>
        <w:spacing w:after="120" w:line="276" w:lineRule="auto"/>
      </w:pPr>
      <w:r w:rsidRPr="00B66223">
        <w:t>Laws and regulatory codes</w:t>
      </w:r>
    </w:p>
    <w:p w14:paraId="236C8C10" w14:textId="77777777" w:rsidR="0085168E" w:rsidRDefault="0085168E" w:rsidP="005523EF">
      <w:pPr>
        <w:pStyle w:val="ListParagraph"/>
        <w:numPr>
          <w:ilvl w:val="0"/>
          <w:numId w:val="1"/>
        </w:numPr>
        <w:spacing w:after="120" w:line="276" w:lineRule="auto"/>
        <w:ind w:left="360"/>
      </w:pPr>
      <w:r w:rsidRPr="00DA5D8D">
        <w:rPr>
          <w:i/>
          <w:iCs/>
          <w:strike/>
        </w:rPr>
        <w:t>Occupational Safety and Health Act 1984</w:t>
      </w:r>
      <w:r>
        <w:t xml:space="preserve"> </w:t>
      </w:r>
      <w:r w:rsidRPr="00C13E21">
        <w:rPr>
          <w:i/>
          <w:iCs/>
        </w:rPr>
        <w:t>Work Health and Safety Act 2020</w:t>
      </w:r>
      <w:r w:rsidRPr="00C13E21">
        <w:t xml:space="preserve"> </w:t>
      </w:r>
      <w:r w:rsidRPr="00FD44EC">
        <w:t xml:space="preserve">and </w:t>
      </w:r>
      <w:r>
        <w:t xml:space="preserve">the </w:t>
      </w:r>
      <w:r w:rsidRPr="00FD44EC">
        <w:t>consequences of unsafe work environments and practices for employers and employees</w:t>
      </w:r>
    </w:p>
    <w:p w14:paraId="5BB295D9" w14:textId="0EF10EA5" w:rsidR="0085168E" w:rsidRDefault="0085168E" w:rsidP="005523EF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>
        <w:rPr>
          <w:rFonts w:eastAsia="Times New Roman" w:cs="Arial"/>
        </w:rPr>
        <w:t>e</w:t>
      </w:r>
      <w:r w:rsidRPr="0085168E">
        <w:rPr>
          <w:rFonts w:eastAsia="Times New Roman" w:cs="Arial"/>
        </w:rPr>
        <w:t>conomic</w:t>
      </w:r>
    </w:p>
    <w:p w14:paraId="177A61E0" w14:textId="513E3CE2" w:rsidR="0085168E" w:rsidRPr="0085168E" w:rsidRDefault="0085168E" w:rsidP="005523EF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85168E">
        <w:rPr>
          <w:rFonts w:eastAsia="Times New Roman" w:cs="Arial"/>
        </w:rPr>
        <w:t>social</w:t>
      </w:r>
    </w:p>
    <w:p w14:paraId="4D09963B" w14:textId="77777777" w:rsidR="0085168E" w:rsidRDefault="0085168E" w:rsidP="005523EF">
      <w:pPr>
        <w:spacing w:after="120" w:line="276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Unit 4</w:t>
      </w:r>
    </w:p>
    <w:p w14:paraId="03D536B2" w14:textId="77777777" w:rsidR="0085168E" w:rsidRPr="001B2390" w:rsidRDefault="0085168E" w:rsidP="005523EF">
      <w:pPr>
        <w:spacing w:after="120" w:line="276" w:lineRule="auto"/>
      </w:pPr>
      <w:r w:rsidRPr="001B2390">
        <w:t>Food issues</w:t>
      </w:r>
    </w:p>
    <w:p w14:paraId="3FE57BC1" w14:textId="77777777" w:rsidR="0085168E" w:rsidRDefault="0085168E" w:rsidP="005523EF">
      <w:pPr>
        <w:pStyle w:val="ListParagraph"/>
        <w:numPr>
          <w:ilvl w:val="0"/>
          <w:numId w:val="1"/>
        </w:numPr>
        <w:spacing w:after="120" w:line="276" w:lineRule="auto"/>
        <w:ind w:left="360"/>
      </w:pPr>
      <w:r w:rsidRPr="001B2390">
        <w:rPr>
          <w:strike/>
        </w:rPr>
        <w:t>environmental influences on</w:t>
      </w:r>
      <w:r w:rsidRPr="001B2390">
        <w:t xml:space="preserve"> </w:t>
      </w:r>
      <w:r w:rsidRPr="00C13E21">
        <w:rPr>
          <w:i/>
          <w:iCs/>
        </w:rPr>
        <w:t>factors affecting</w:t>
      </w:r>
      <w:r w:rsidRPr="00C13E21">
        <w:t xml:space="preserve"> </w:t>
      </w:r>
      <w:r w:rsidRPr="001B2390">
        <w:t xml:space="preserve">the sustainability of food production in </w:t>
      </w:r>
      <w:proofErr w:type="gramStart"/>
      <w:r w:rsidRPr="001B2390">
        <w:t>Australia</w:t>
      </w:r>
      <w:proofErr w:type="gramEnd"/>
    </w:p>
    <w:p w14:paraId="25F4D3D6" w14:textId="77777777" w:rsidR="0085168E" w:rsidRDefault="0085168E" w:rsidP="005523EF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85168E">
        <w:rPr>
          <w:rFonts w:eastAsia="Times New Roman" w:cs="Arial"/>
        </w:rPr>
        <w:t>farming practices</w:t>
      </w:r>
    </w:p>
    <w:p w14:paraId="269D06E3" w14:textId="77777777" w:rsidR="0085168E" w:rsidRPr="0085168E" w:rsidRDefault="0085168E" w:rsidP="005523EF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85168E">
        <w:rPr>
          <w:rFonts w:eastAsia="Times New Roman" w:cs="Arial"/>
        </w:rPr>
        <w:t>climate change</w:t>
      </w:r>
      <w:r w:rsidRPr="00F556AF">
        <w:rPr>
          <w:rFonts w:eastAsia="Times New Roman" w:cs="Arial"/>
          <w:strike/>
        </w:rPr>
        <w:t>s</w:t>
      </w:r>
    </w:p>
    <w:p w14:paraId="648DA803" w14:textId="77777777" w:rsidR="0085168E" w:rsidRDefault="0085168E" w:rsidP="005523EF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85168E">
        <w:rPr>
          <w:rFonts w:eastAsia="Times New Roman" w:cs="Arial"/>
        </w:rPr>
        <w:t>water availability</w:t>
      </w:r>
    </w:p>
    <w:p w14:paraId="369C331C" w14:textId="501F8712" w:rsidR="0085168E" w:rsidRPr="0085168E" w:rsidRDefault="0085168E" w:rsidP="005523EF">
      <w:pPr>
        <w:pStyle w:val="ListParagraph"/>
        <w:numPr>
          <w:ilvl w:val="1"/>
          <w:numId w:val="2"/>
        </w:numPr>
        <w:spacing w:after="120" w:line="276" w:lineRule="auto"/>
        <w:ind w:left="717"/>
        <w:jc w:val="both"/>
        <w:rPr>
          <w:rFonts w:eastAsia="Times New Roman" w:cs="Arial"/>
        </w:rPr>
      </w:pPr>
      <w:r w:rsidRPr="0085168E">
        <w:rPr>
          <w:rFonts w:eastAsia="Times New Roman" w:cs="Arial"/>
        </w:rPr>
        <w:t>land degradation</w:t>
      </w:r>
    </w:p>
    <w:sectPr w:rsidR="0085168E" w:rsidRPr="0085168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FB1B" w14:textId="77777777" w:rsidR="004D3673" w:rsidRDefault="004D3673" w:rsidP="004D3673">
      <w:r>
        <w:separator/>
      </w:r>
    </w:p>
  </w:endnote>
  <w:endnote w:type="continuationSeparator" w:id="0">
    <w:p w14:paraId="625E1D44" w14:textId="77777777" w:rsidR="004D3673" w:rsidRDefault="004D3673" w:rsidP="004D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A6A7" w14:textId="46F29310" w:rsidR="004D3673" w:rsidRPr="00F675EE" w:rsidRDefault="004D3673">
    <w:pPr>
      <w:pStyle w:val="Footer"/>
      <w:rPr>
        <w:sz w:val="18"/>
        <w:szCs w:val="18"/>
      </w:rPr>
    </w:pPr>
    <w:r w:rsidRPr="004D3673">
      <w:rPr>
        <w:sz w:val="18"/>
        <w:szCs w:val="18"/>
      </w:rPr>
      <w:t>2023/41425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0765" w14:textId="77777777" w:rsidR="004D3673" w:rsidRDefault="004D3673" w:rsidP="004D3673">
      <w:r>
        <w:separator/>
      </w:r>
    </w:p>
  </w:footnote>
  <w:footnote w:type="continuationSeparator" w:id="0">
    <w:p w14:paraId="1AEB02BC" w14:textId="77777777" w:rsidR="004D3673" w:rsidRDefault="004D3673" w:rsidP="004D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ABC9" w14:textId="4B9D2811" w:rsidR="0085168E" w:rsidRPr="0085168E" w:rsidRDefault="0085168E" w:rsidP="0085168E">
    <w:pPr>
      <w:spacing w:after="120"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Technologies</w:t>
    </w:r>
    <w:r w:rsidRPr="00871FC2">
      <w:rPr>
        <w:b/>
      </w:rPr>
      <w:t xml:space="preserve"> and teachers of </w:t>
    </w:r>
    <w:r>
      <w:rPr>
        <w:b/>
      </w:rPr>
      <w:t>Food Science and Technology ATAR</w:t>
    </w:r>
    <w:r w:rsidRPr="00871FC2">
      <w:rPr>
        <w:b/>
      </w:rPr>
      <w:t xml:space="preserve"> </w:t>
    </w:r>
    <w:r>
      <w:rPr>
        <w:b/>
      </w:rPr>
      <w:t xml:space="preserve">Year 12 </w:t>
    </w:r>
    <w:r w:rsidRPr="00871FC2">
      <w:rPr>
        <w:b/>
      </w:rPr>
      <w:t>are requested to note for 202</w:t>
    </w:r>
    <w:r>
      <w:rPr>
        <w:b/>
      </w:rPr>
      <w:t>4</w:t>
    </w:r>
    <w:r w:rsidRPr="00871FC2">
      <w:rPr>
        <w:b/>
      </w:rPr>
      <w:t xml:space="preserve"> the following minor syllabus changes. The syllabus is labelled as ‘For teaching from 202</w:t>
    </w:r>
    <w:r>
      <w:rPr>
        <w:b/>
      </w:rPr>
      <w:t>4</w:t>
    </w:r>
    <w:r w:rsidRPr="00871FC2">
      <w:rPr>
        <w:b/>
      </w:rPr>
      <w:t>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86BA0"/>
    <w:multiLevelType w:val="hybridMultilevel"/>
    <w:tmpl w:val="48F67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C611B"/>
    <w:multiLevelType w:val="hybridMultilevel"/>
    <w:tmpl w:val="AE56CA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949969">
    <w:abstractNumId w:val="0"/>
  </w:num>
  <w:num w:numId="2" w16cid:durableId="165290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18"/>
    <w:rsid w:val="000D31AD"/>
    <w:rsid w:val="00151EEA"/>
    <w:rsid w:val="004D0A18"/>
    <w:rsid w:val="004D3673"/>
    <w:rsid w:val="005523EF"/>
    <w:rsid w:val="008321FD"/>
    <w:rsid w:val="0085168E"/>
    <w:rsid w:val="008F046E"/>
    <w:rsid w:val="00B339E3"/>
    <w:rsid w:val="00F556AF"/>
    <w:rsid w:val="00F675EE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BF5430"/>
  <w15:chartTrackingRefBased/>
  <w15:docId w15:val="{D2E6725E-EFC3-45A6-9D4F-AF3C2596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18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A18"/>
    <w:pPr>
      <w:ind w:left="720"/>
      <w:contextualSpacing/>
    </w:pPr>
  </w:style>
  <w:style w:type="table" w:styleId="TableGrid">
    <w:name w:val="Table Grid"/>
    <w:basedOn w:val="TableNormal"/>
    <w:uiPriority w:val="39"/>
    <w:rsid w:val="004D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673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D3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673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Wheatley</dc:creator>
  <cp:keywords/>
  <dc:description/>
  <cp:lastModifiedBy>Jo Merrey</cp:lastModifiedBy>
  <cp:revision>8</cp:revision>
  <dcterms:created xsi:type="dcterms:W3CDTF">2023-07-19T06:13:00Z</dcterms:created>
  <dcterms:modified xsi:type="dcterms:W3CDTF">2023-08-14T09:43:00Z</dcterms:modified>
</cp:coreProperties>
</file>