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B6FEB" w14:textId="09D0FAE4" w:rsidR="00BC6C2A" w:rsidRPr="00BB003D" w:rsidRDefault="004A50F7" w:rsidP="008D20A4">
      <w:pPr>
        <w:pStyle w:val="SyllabusTitle1"/>
        <w:ind w:right="2375"/>
        <w:rPr>
          <w:rFonts w:cs="Calibri"/>
        </w:rPr>
      </w:pPr>
      <w:r w:rsidRPr="009A7060">
        <w:rPr>
          <w:rFonts w:cs="Calibri"/>
          <w:noProof/>
        </w:rPr>
        <w:drawing>
          <wp:anchor distT="0" distB="0" distL="114300" distR="114300" simplePos="0" relativeHeight="251659264" behindDoc="1" locked="0" layoutInCell="1" allowOverlap="1" wp14:anchorId="6200A040" wp14:editId="066A3C8C">
            <wp:simplePos x="0" y="0"/>
            <wp:positionH relativeFrom="page">
              <wp:align>left</wp:align>
            </wp:positionH>
            <wp:positionV relativeFrom="page">
              <wp:align>top</wp:align>
            </wp:positionV>
            <wp:extent cx="7581265" cy="10723880"/>
            <wp:effectExtent l="0" t="0" r="63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295"/>
                    </a:xfrm>
                    <a:prstGeom prst="rect">
                      <a:avLst/>
                    </a:prstGeom>
                  </pic:spPr>
                </pic:pic>
              </a:graphicData>
            </a:graphic>
            <wp14:sizeRelH relativeFrom="page">
              <wp14:pctWidth>0</wp14:pctWidth>
            </wp14:sizeRelH>
            <wp14:sizeRelV relativeFrom="page">
              <wp14:pctHeight>0</wp14:pctHeight>
            </wp14:sizeRelV>
          </wp:anchor>
        </w:drawing>
      </w:r>
      <w:r w:rsidR="00B37393" w:rsidRPr="00BB003D">
        <w:rPr>
          <w:rFonts w:cs="Calibri"/>
        </w:rPr>
        <w:t>Ancient History</w:t>
      </w:r>
    </w:p>
    <w:p w14:paraId="06D362C3" w14:textId="48A966DE" w:rsidR="00610492" w:rsidRPr="00BB003D" w:rsidRDefault="00BC6C2A" w:rsidP="004618E9">
      <w:pPr>
        <w:pStyle w:val="SyllabusTitle2"/>
      </w:pPr>
      <w:r w:rsidRPr="00BB003D">
        <w:t>ATAR course</w:t>
      </w:r>
    </w:p>
    <w:p w14:paraId="6A47DE3A" w14:textId="720EE13A" w:rsidR="00101F8A" w:rsidRPr="003A0713" w:rsidRDefault="004618E9" w:rsidP="003A0713">
      <w:pPr>
        <w:pStyle w:val="SyllabusTitle3"/>
        <w:spacing w:after="120"/>
        <w:rPr>
          <w:sz w:val="28"/>
          <w:szCs w:val="28"/>
        </w:rPr>
      </w:pPr>
      <w:bookmarkStart w:id="0" w:name="_Hlk118450498"/>
      <w:r w:rsidRPr="00B23B12">
        <w:rPr>
          <w:sz w:val="28"/>
          <w:szCs w:val="28"/>
        </w:rPr>
        <w:t>Year 1</w:t>
      </w:r>
      <w:r>
        <w:rPr>
          <w:sz w:val="28"/>
          <w:szCs w:val="28"/>
        </w:rPr>
        <w:t>2</w:t>
      </w:r>
      <w:r w:rsidR="003A0713">
        <w:rPr>
          <w:sz w:val="28"/>
          <w:szCs w:val="28"/>
        </w:rPr>
        <w:t xml:space="preserve"> s</w:t>
      </w:r>
      <w:r w:rsidRPr="00B23B12">
        <w:rPr>
          <w:sz w:val="28"/>
          <w:szCs w:val="28"/>
        </w:rPr>
        <w:t>yllabus</w:t>
      </w:r>
      <w:r w:rsidRPr="004556C7">
        <w:rPr>
          <w:color w:val="000000"/>
          <w14:textFill>
            <w14:solidFill>
              <w14:srgbClr w14:val="000000">
                <w14:lumMod w14:val="75000"/>
                <w14:lumMod w14:val="75000"/>
                <w14:lumMod w14:val="75000"/>
              </w14:srgbClr>
            </w14:solidFill>
          </w14:textFill>
        </w:rPr>
        <w:br w:type="page"/>
      </w:r>
    </w:p>
    <w:bookmarkEnd w:id="0"/>
    <w:p w14:paraId="37DAF7AD" w14:textId="77777777" w:rsidR="00012CCA" w:rsidRPr="00BC1B99" w:rsidRDefault="00012CCA" w:rsidP="00054C74">
      <w:pPr>
        <w:ind w:right="68"/>
        <w:jc w:val="both"/>
        <w:rPr>
          <w:b/>
        </w:rPr>
      </w:pPr>
      <w:r w:rsidRPr="00BC1B99">
        <w:rPr>
          <w:b/>
        </w:rPr>
        <w:lastRenderedPageBreak/>
        <w:t>Acknowledgement of Country</w:t>
      </w:r>
    </w:p>
    <w:p w14:paraId="665C7E2A" w14:textId="77777777" w:rsidR="00012CCA" w:rsidRPr="004F62CC" w:rsidRDefault="00012CCA" w:rsidP="003C6DE1">
      <w:pPr>
        <w:widowControl w:val="0"/>
        <w:spacing w:after="6240"/>
      </w:pPr>
      <w:r>
        <w:t xml:space="preserve">Kaya. The School Curriculum and Standards Authority (the Authority) acknowledges that our offices are on </w:t>
      </w:r>
      <w:proofErr w:type="spellStart"/>
      <w:r>
        <w:t>Whadjuk</w:t>
      </w:r>
      <w:proofErr w:type="spellEnd"/>
      <w:r>
        <w:t xml:space="preserve"> Noongar </w:t>
      </w:r>
      <w:proofErr w:type="spellStart"/>
      <w:r>
        <w:t>boodjar</w:t>
      </w:r>
      <w:proofErr w:type="spellEnd"/>
      <w:r>
        <w:t xml:space="preserve">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59CDEA77" w14:textId="77777777" w:rsidR="00712F20" w:rsidRPr="00A1692D" w:rsidRDefault="00712F20" w:rsidP="00712F20">
      <w:pPr>
        <w:rPr>
          <w:b/>
          <w:bCs/>
          <w:sz w:val="20"/>
          <w:szCs w:val="20"/>
        </w:rPr>
      </w:pPr>
      <w:r w:rsidRPr="00A1692D">
        <w:rPr>
          <w:b/>
          <w:bCs/>
          <w:sz w:val="20"/>
          <w:szCs w:val="20"/>
        </w:rPr>
        <w:t>Important information</w:t>
      </w:r>
    </w:p>
    <w:p w14:paraId="4BA8BABC" w14:textId="20B27D28" w:rsidR="00712F20" w:rsidRPr="00A1692D" w:rsidRDefault="00712F20" w:rsidP="00712F20">
      <w:pPr>
        <w:rPr>
          <w:bCs/>
          <w:sz w:val="20"/>
          <w:szCs w:val="20"/>
        </w:rPr>
      </w:pPr>
      <w:r w:rsidRPr="00A1692D">
        <w:rPr>
          <w:bCs/>
          <w:sz w:val="20"/>
          <w:szCs w:val="20"/>
        </w:rPr>
        <w:t>This syllabus is effective from 1 January 202</w:t>
      </w:r>
      <w:r>
        <w:rPr>
          <w:bCs/>
          <w:sz w:val="20"/>
          <w:szCs w:val="20"/>
        </w:rPr>
        <w:t>5</w:t>
      </w:r>
      <w:r w:rsidRPr="00A1692D">
        <w:rPr>
          <w:bCs/>
          <w:sz w:val="20"/>
          <w:szCs w:val="20"/>
        </w:rPr>
        <w:t>.</w:t>
      </w:r>
    </w:p>
    <w:p w14:paraId="2310A088" w14:textId="77777777" w:rsidR="00712F20" w:rsidRPr="00A1692D" w:rsidRDefault="00712F20" w:rsidP="00712F20">
      <w:pPr>
        <w:rPr>
          <w:sz w:val="20"/>
          <w:szCs w:val="20"/>
        </w:rPr>
      </w:pPr>
      <w:r w:rsidRPr="00A1692D">
        <w:rPr>
          <w:sz w:val="20"/>
          <w:szCs w:val="20"/>
        </w:rPr>
        <w:t>Users of this syllabus are responsible for checking its currency.</w:t>
      </w:r>
    </w:p>
    <w:p w14:paraId="4FEB39E7" w14:textId="77777777" w:rsidR="00712F20" w:rsidRPr="00A1692D" w:rsidRDefault="00712F20" w:rsidP="00712F20">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0E192B1D" w14:textId="77777777" w:rsidR="00712F20" w:rsidRPr="00B61BA9" w:rsidRDefault="00712F20" w:rsidP="00712F20">
      <w:pPr>
        <w:jc w:val="both"/>
        <w:rPr>
          <w:b/>
          <w:sz w:val="20"/>
          <w:szCs w:val="20"/>
        </w:rPr>
      </w:pPr>
      <w:r w:rsidRPr="00B61BA9">
        <w:rPr>
          <w:b/>
          <w:sz w:val="20"/>
          <w:szCs w:val="20"/>
        </w:rPr>
        <w:t>Copyright</w:t>
      </w:r>
    </w:p>
    <w:p w14:paraId="7697A2FE" w14:textId="77777777" w:rsidR="00712F20" w:rsidRPr="00B61BA9" w:rsidRDefault="00712F20" w:rsidP="00712F20">
      <w:pPr>
        <w:jc w:val="both"/>
        <w:rPr>
          <w:rFonts w:cstheme="minorHAnsi"/>
          <w:sz w:val="20"/>
          <w:szCs w:val="20"/>
          <w:lang w:val="en-GB"/>
        </w:rPr>
      </w:pPr>
      <w:r w:rsidRPr="00B61BA9">
        <w:rPr>
          <w:rFonts w:cstheme="minorHAnsi"/>
          <w:sz w:val="20"/>
          <w:szCs w:val="20"/>
          <w:lang w:val="en-GB"/>
        </w:rPr>
        <w:t>© School Curriculum and Standards Authority, 2023</w:t>
      </w:r>
    </w:p>
    <w:p w14:paraId="3254D19A" w14:textId="77777777" w:rsidR="00712F20" w:rsidRPr="00B61BA9" w:rsidRDefault="00712F20" w:rsidP="00712F20">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7AF9C700" w14:textId="77777777" w:rsidR="00712F20" w:rsidRPr="00B61BA9" w:rsidRDefault="00712F20" w:rsidP="00712F20">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7B64558E" w14:textId="4F986AD0" w:rsidR="00B45CDB" w:rsidRPr="00BB003D" w:rsidRDefault="00712F20" w:rsidP="00E06564">
      <w:pPr>
        <w:widowControl w:val="0"/>
        <w:rPr>
          <w:sz w:val="20"/>
          <w:szCs w:val="20"/>
        </w:rPr>
        <w:sectPr w:rsidR="00B45CDB" w:rsidRPr="00BB003D" w:rsidSect="00DD2C1C">
          <w:footerReference w:type="even" r:id="rId9"/>
          <w:pgSz w:w="11906" w:h="16838" w:code="9"/>
          <w:pgMar w:top="1644" w:right="1418" w:bottom="1276" w:left="1418" w:header="680" w:footer="567" w:gutter="0"/>
          <w:pgNumType w:fmt="lowerRoman" w:start="1"/>
          <w:cols w:space="709"/>
          <w:docGrid w:linePitch="360"/>
        </w:sectPr>
      </w:pPr>
      <w:r w:rsidRPr="00B61BA9">
        <w:rPr>
          <w:rFonts w:cstheme="minorHAnsi"/>
          <w:sz w:val="20"/>
          <w:szCs w:val="20"/>
        </w:rPr>
        <w:t xml:space="preserve">Any content in this document that has been derived from the Australian Curriculum may be used under the terms of the </w:t>
      </w:r>
      <w:hyperlink r:id="rId10"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53333214" w14:textId="5C96B004" w:rsidR="00D62AAB" w:rsidRPr="00BB003D" w:rsidRDefault="00D62AAB" w:rsidP="002D3398">
      <w:pPr>
        <w:pStyle w:val="TOCHeading"/>
      </w:pPr>
      <w:r w:rsidRPr="00BB003D">
        <w:lastRenderedPageBreak/>
        <w:t>Content</w:t>
      </w:r>
      <w:r w:rsidR="00BB003D">
        <w:t>s</w:t>
      </w:r>
    </w:p>
    <w:p w14:paraId="0F0A9E74" w14:textId="10ABD478" w:rsidR="00960665" w:rsidRDefault="007F1654">
      <w:pPr>
        <w:pStyle w:val="TOC1"/>
        <w:rPr>
          <w:rFonts w:asciiTheme="minorHAnsi" w:hAnsiTheme="minorHAnsi"/>
          <w:b w:val="0"/>
          <w:kern w:val="2"/>
          <w:szCs w:val="22"/>
          <w:lang w:eastAsia="en-AU"/>
          <w14:ligatures w14:val="standardContextual"/>
        </w:rPr>
      </w:pPr>
      <w:r>
        <w:rPr>
          <w:color w:val="342568" w:themeColor="accent1" w:themeShade="BF"/>
          <w:sz w:val="40"/>
          <w:szCs w:val="40"/>
        </w:rPr>
        <w:fldChar w:fldCharType="begin"/>
      </w:r>
      <w:r>
        <w:rPr>
          <w:color w:val="342568" w:themeColor="accent1" w:themeShade="BF"/>
          <w:sz w:val="40"/>
          <w:szCs w:val="40"/>
        </w:rPr>
        <w:instrText xml:space="preserve"> TOC \o "1-2" \h \z \u </w:instrText>
      </w:r>
      <w:r>
        <w:rPr>
          <w:color w:val="342568" w:themeColor="accent1" w:themeShade="BF"/>
          <w:sz w:val="40"/>
          <w:szCs w:val="40"/>
        </w:rPr>
        <w:fldChar w:fldCharType="separate"/>
      </w:r>
      <w:hyperlink w:anchor="_Toc140666008" w:history="1">
        <w:r w:rsidR="00960665" w:rsidRPr="0032015A">
          <w:rPr>
            <w:rStyle w:val="Hyperlink"/>
          </w:rPr>
          <w:t>Rationale</w:t>
        </w:r>
        <w:r w:rsidR="00960665">
          <w:rPr>
            <w:webHidden/>
          </w:rPr>
          <w:tab/>
        </w:r>
        <w:r w:rsidR="00960665">
          <w:rPr>
            <w:webHidden/>
          </w:rPr>
          <w:fldChar w:fldCharType="begin"/>
        </w:r>
        <w:r w:rsidR="00960665">
          <w:rPr>
            <w:webHidden/>
          </w:rPr>
          <w:instrText xml:space="preserve"> PAGEREF _Toc140666008 \h </w:instrText>
        </w:r>
        <w:r w:rsidR="00960665">
          <w:rPr>
            <w:webHidden/>
          </w:rPr>
        </w:r>
        <w:r w:rsidR="00960665">
          <w:rPr>
            <w:webHidden/>
          </w:rPr>
          <w:fldChar w:fldCharType="separate"/>
        </w:r>
        <w:r w:rsidR="009A315B">
          <w:rPr>
            <w:webHidden/>
          </w:rPr>
          <w:t>1</w:t>
        </w:r>
        <w:r w:rsidR="00960665">
          <w:rPr>
            <w:webHidden/>
          </w:rPr>
          <w:fldChar w:fldCharType="end"/>
        </w:r>
      </w:hyperlink>
    </w:p>
    <w:p w14:paraId="256D7600" w14:textId="31FEBEE3" w:rsidR="00960665" w:rsidRDefault="00BD577B">
      <w:pPr>
        <w:pStyle w:val="TOC1"/>
        <w:rPr>
          <w:rFonts w:asciiTheme="minorHAnsi" w:hAnsiTheme="minorHAnsi"/>
          <w:b w:val="0"/>
          <w:kern w:val="2"/>
          <w:szCs w:val="22"/>
          <w:lang w:eastAsia="en-AU"/>
          <w14:ligatures w14:val="standardContextual"/>
        </w:rPr>
      </w:pPr>
      <w:hyperlink w:anchor="_Toc140666009" w:history="1">
        <w:r w:rsidR="00960665" w:rsidRPr="0032015A">
          <w:rPr>
            <w:rStyle w:val="Hyperlink"/>
          </w:rPr>
          <w:t>Aims</w:t>
        </w:r>
        <w:r w:rsidR="00960665">
          <w:rPr>
            <w:webHidden/>
          </w:rPr>
          <w:tab/>
        </w:r>
        <w:r w:rsidR="00960665">
          <w:rPr>
            <w:webHidden/>
          </w:rPr>
          <w:fldChar w:fldCharType="begin"/>
        </w:r>
        <w:r w:rsidR="00960665">
          <w:rPr>
            <w:webHidden/>
          </w:rPr>
          <w:instrText xml:space="preserve"> PAGEREF _Toc140666009 \h </w:instrText>
        </w:r>
        <w:r w:rsidR="00960665">
          <w:rPr>
            <w:webHidden/>
          </w:rPr>
        </w:r>
        <w:r w:rsidR="00960665">
          <w:rPr>
            <w:webHidden/>
          </w:rPr>
          <w:fldChar w:fldCharType="separate"/>
        </w:r>
        <w:r w:rsidR="009A315B">
          <w:rPr>
            <w:webHidden/>
          </w:rPr>
          <w:t>2</w:t>
        </w:r>
        <w:r w:rsidR="00960665">
          <w:rPr>
            <w:webHidden/>
          </w:rPr>
          <w:fldChar w:fldCharType="end"/>
        </w:r>
      </w:hyperlink>
    </w:p>
    <w:p w14:paraId="735497C4" w14:textId="0525B878" w:rsidR="00960665" w:rsidRDefault="00BD577B">
      <w:pPr>
        <w:pStyle w:val="TOC1"/>
        <w:rPr>
          <w:rFonts w:asciiTheme="minorHAnsi" w:hAnsiTheme="minorHAnsi"/>
          <w:b w:val="0"/>
          <w:kern w:val="2"/>
          <w:szCs w:val="22"/>
          <w:lang w:eastAsia="en-AU"/>
          <w14:ligatures w14:val="standardContextual"/>
        </w:rPr>
      </w:pPr>
      <w:hyperlink w:anchor="_Toc140666010" w:history="1">
        <w:r w:rsidR="00960665" w:rsidRPr="0032015A">
          <w:rPr>
            <w:rStyle w:val="Hyperlink"/>
          </w:rPr>
          <w:t>Organisation</w:t>
        </w:r>
        <w:r w:rsidR="00960665">
          <w:rPr>
            <w:webHidden/>
          </w:rPr>
          <w:tab/>
        </w:r>
        <w:r w:rsidR="00960665">
          <w:rPr>
            <w:webHidden/>
          </w:rPr>
          <w:fldChar w:fldCharType="begin"/>
        </w:r>
        <w:r w:rsidR="00960665">
          <w:rPr>
            <w:webHidden/>
          </w:rPr>
          <w:instrText xml:space="preserve"> PAGEREF _Toc140666010 \h </w:instrText>
        </w:r>
        <w:r w:rsidR="00960665">
          <w:rPr>
            <w:webHidden/>
          </w:rPr>
        </w:r>
        <w:r w:rsidR="00960665">
          <w:rPr>
            <w:webHidden/>
          </w:rPr>
          <w:fldChar w:fldCharType="separate"/>
        </w:r>
        <w:r w:rsidR="009A315B">
          <w:rPr>
            <w:webHidden/>
          </w:rPr>
          <w:t>3</w:t>
        </w:r>
        <w:r w:rsidR="00960665">
          <w:rPr>
            <w:webHidden/>
          </w:rPr>
          <w:fldChar w:fldCharType="end"/>
        </w:r>
      </w:hyperlink>
    </w:p>
    <w:p w14:paraId="0F4F3C22" w14:textId="2ECFAD46" w:rsidR="00960665" w:rsidRDefault="00BD577B">
      <w:pPr>
        <w:pStyle w:val="TOC2"/>
        <w:rPr>
          <w:rFonts w:asciiTheme="minorHAnsi" w:hAnsiTheme="minorHAnsi"/>
          <w:kern w:val="2"/>
          <w:szCs w:val="22"/>
          <w:lang w:eastAsia="en-AU"/>
          <w14:ligatures w14:val="standardContextual"/>
        </w:rPr>
      </w:pPr>
      <w:hyperlink w:anchor="_Toc140666011" w:history="1">
        <w:r w:rsidR="00960665" w:rsidRPr="0032015A">
          <w:rPr>
            <w:rStyle w:val="Hyperlink"/>
          </w:rPr>
          <w:t>Structure of the syllabus</w:t>
        </w:r>
        <w:r w:rsidR="00960665">
          <w:rPr>
            <w:webHidden/>
          </w:rPr>
          <w:tab/>
        </w:r>
        <w:r w:rsidR="00960665">
          <w:rPr>
            <w:webHidden/>
          </w:rPr>
          <w:fldChar w:fldCharType="begin"/>
        </w:r>
        <w:r w:rsidR="00960665">
          <w:rPr>
            <w:webHidden/>
          </w:rPr>
          <w:instrText xml:space="preserve"> PAGEREF _Toc140666011 \h </w:instrText>
        </w:r>
        <w:r w:rsidR="00960665">
          <w:rPr>
            <w:webHidden/>
          </w:rPr>
        </w:r>
        <w:r w:rsidR="00960665">
          <w:rPr>
            <w:webHidden/>
          </w:rPr>
          <w:fldChar w:fldCharType="separate"/>
        </w:r>
        <w:r w:rsidR="009A315B">
          <w:rPr>
            <w:webHidden/>
          </w:rPr>
          <w:t>3</w:t>
        </w:r>
        <w:r w:rsidR="00960665">
          <w:rPr>
            <w:webHidden/>
          </w:rPr>
          <w:fldChar w:fldCharType="end"/>
        </w:r>
      </w:hyperlink>
    </w:p>
    <w:p w14:paraId="6DC296A0" w14:textId="0CAEA1FF" w:rsidR="00960665" w:rsidRDefault="00BD577B">
      <w:pPr>
        <w:pStyle w:val="TOC2"/>
        <w:rPr>
          <w:rFonts w:asciiTheme="minorHAnsi" w:hAnsiTheme="minorHAnsi"/>
          <w:kern w:val="2"/>
          <w:szCs w:val="22"/>
          <w:lang w:eastAsia="en-AU"/>
          <w14:ligatures w14:val="standardContextual"/>
        </w:rPr>
      </w:pPr>
      <w:hyperlink w:anchor="_Toc140666012" w:history="1">
        <w:r w:rsidR="00960665" w:rsidRPr="0032015A">
          <w:rPr>
            <w:rStyle w:val="Hyperlink"/>
          </w:rPr>
          <w:t>Organisation of content</w:t>
        </w:r>
        <w:r w:rsidR="00960665">
          <w:rPr>
            <w:webHidden/>
          </w:rPr>
          <w:tab/>
        </w:r>
        <w:r w:rsidR="00960665">
          <w:rPr>
            <w:webHidden/>
          </w:rPr>
          <w:fldChar w:fldCharType="begin"/>
        </w:r>
        <w:r w:rsidR="00960665">
          <w:rPr>
            <w:webHidden/>
          </w:rPr>
          <w:instrText xml:space="preserve"> PAGEREF _Toc140666012 \h </w:instrText>
        </w:r>
        <w:r w:rsidR="00960665">
          <w:rPr>
            <w:webHidden/>
          </w:rPr>
        </w:r>
        <w:r w:rsidR="00960665">
          <w:rPr>
            <w:webHidden/>
          </w:rPr>
          <w:fldChar w:fldCharType="separate"/>
        </w:r>
        <w:r w:rsidR="009A315B">
          <w:rPr>
            <w:webHidden/>
          </w:rPr>
          <w:t>3</w:t>
        </w:r>
        <w:r w:rsidR="00960665">
          <w:rPr>
            <w:webHidden/>
          </w:rPr>
          <w:fldChar w:fldCharType="end"/>
        </w:r>
      </w:hyperlink>
    </w:p>
    <w:p w14:paraId="5D1973C1" w14:textId="0DC10424" w:rsidR="00960665" w:rsidRDefault="00BD577B">
      <w:pPr>
        <w:pStyle w:val="TOC2"/>
        <w:rPr>
          <w:rFonts w:asciiTheme="minorHAnsi" w:hAnsiTheme="minorHAnsi"/>
          <w:kern w:val="2"/>
          <w:szCs w:val="22"/>
          <w:lang w:eastAsia="en-AU"/>
          <w14:ligatures w14:val="standardContextual"/>
        </w:rPr>
      </w:pPr>
      <w:hyperlink w:anchor="_Toc140666013" w:history="1">
        <w:r w:rsidR="00960665" w:rsidRPr="0032015A">
          <w:rPr>
            <w:rStyle w:val="Hyperlink"/>
          </w:rPr>
          <w:t>Representation of the general capabilities</w:t>
        </w:r>
        <w:r w:rsidR="00960665">
          <w:rPr>
            <w:webHidden/>
          </w:rPr>
          <w:tab/>
        </w:r>
        <w:r w:rsidR="00960665">
          <w:rPr>
            <w:webHidden/>
          </w:rPr>
          <w:fldChar w:fldCharType="begin"/>
        </w:r>
        <w:r w:rsidR="00960665">
          <w:rPr>
            <w:webHidden/>
          </w:rPr>
          <w:instrText xml:space="preserve"> PAGEREF _Toc140666013 \h </w:instrText>
        </w:r>
        <w:r w:rsidR="00960665">
          <w:rPr>
            <w:webHidden/>
          </w:rPr>
        </w:r>
        <w:r w:rsidR="00960665">
          <w:rPr>
            <w:webHidden/>
          </w:rPr>
          <w:fldChar w:fldCharType="separate"/>
        </w:r>
        <w:r w:rsidR="009A315B">
          <w:rPr>
            <w:webHidden/>
          </w:rPr>
          <w:t>4</w:t>
        </w:r>
        <w:r w:rsidR="00960665">
          <w:rPr>
            <w:webHidden/>
          </w:rPr>
          <w:fldChar w:fldCharType="end"/>
        </w:r>
      </w:hyperlink>
    </w:p>
    <w:p w14:paraId="347AA83A" w14:textId="67AB41EE" w:rsidR="00960665" w:rsidRDefault="00BD577B">
      <w:pPr>
        <w:pStyle w:val="TOC2"/>
        <w:rPr>
          <w:rFonts w:asciiTheme="minorHAnsi" w:hAnsiTheme="minorHAnsi"/>
          <w:kern w:val="2"/>
          <w:szCs w:val="22"/>
          <w:lang w:eastAsia="en-AU"/>
          <w14:ligatures w14:val="standardContextual"/>
        </w:rPr>
      </w:pPr>
      <w:hyperlink w:anchor="_Toc140666014" w:history="1">
        <w:r w:rsidR="00960665" w:rsidRPr="0032015A">
          <w:rPr>
            <w:rStyle w:val="Hyperlink"/>
          </w:rPr>
          <w:t>Representation of the cross-curriculum priorities</w:t>
        </w:r>
        <w:r w:rsidR="00960665">
          <w:rPr>
            <w:webHidden/>
          </w:rPr>
          <w:tab/>
        </w:r>
        <w:r w:rsidR="00960665">
          <w:rPr>
            <w:webHidden/>
          </w:rPr>
          <w:fldChar w:fldCharType="begin"/>
        </w:r>
        <w:r w:rsidR="00960665">
          <w:rPr>
            <w:webHidden/>
          </w:rPr>
          <w:instrText xml:space="preserve"> PAGEREF _Toc140666014 \h </w:instrText>
        </w:r>
        <w:r w:rsidR="00960665">
          <w:rPr>
            <w:webHidden/>
          </w:rPr>
        </w:r>
        <w:r w:rsidR="00960665">
          <w:rPr>
            <w:webHidden/>
          </w:rPr>
          <w:fldChar w:fldCharType="separate"/>
        </w:r>
        <w:r w:rsidR="009A315B">
          <w:rPr>
            <w:webHidden/>
          </w:rPr>
          <w:t>6</w:t>
        </w:r>
        <w:r w:rsidR="00960665">
          <w:rPr>
            <w:webHidden/>
          </w:rPr>
          <w:fldChar w:fldCharType="end"/>
        </w:r>
      </w:hyperlink>
    </w:p>
    <w:p w14:paraId="60948F3C" w14:textId="05BA3682" w:rsidR="00960665" w:rsidRDefault="00BD577B">
      <w:pPr>
        <w:pStyle w:val="TOC1"/>
        <w:rPr>
          <w:rFonts w:asciiTheme="minorHAnsi" w:hAnsiTheme="minorHAnsi"/>
          <w:b w:val="0"/>
          <w:kern w:val="2"/>
          <w:szCs w:val="22"/>
          <w:lang w:eastAsia="en-AU"/>
          <w14:ligatures w14:val="standardContextual"/>
        </w:rPr>
      </w:pPr>
      <w:hyperlink w:anchor="_Toc140666015" w:history="1">
        <w:r w:rsidR="00960665" w:rsidRPr="0032015A">
          <w:rPr>
            <w:rStyle w:val="Hyperlink"/>
          </w:rPr>
          <w:t>Unit 3 – Power and authority</w:t>
        </w:r>
        <w:r w:rsidR="00960665">
          <w:rPr>
            <w:webHidden/>
          </w:rPr>
          <w:tab/>
        </w:r>
        <w:r w:rsidR="00960665">
          <w:rPr>
            <w:webHidden/>
          </w:rPr>
          <w:fldChar w:fldCharType="begin"/>
        </w:r>
        <w:r w:rsidR="00960665">
          <w:rPr>
            <w:webHidden/>
          </w:rPr>
          <w:instrText xml:space="preserve"> PAGEREF _Toc140666015 \h </w:instrText>
        </w:r>
        <w:r w:rsidR="00960665">
          <w:rPr>
            <w:webHidden/>
          </w:rPr>
        </w:r>
        <w:r w:rsidR="00960665">
          <w:rPr>
            <w:webHidden/>
          </w:rPr>
          <w:fldChar w:fldCharType="separate"/>
        </w:r>
        <w:r w:rsidR="009A315B">
          <w:rPr>
            <w:webHidden/>
          </w:rPr>
          <w:t>7</w:t>
        </w:r>
        <w:r w:rsidR="00960665">
          <w:rPr>
            <w:webHidden/>
          </w:rPr>
          <w:fldChar w:fldCharType="end"/>
        </w:r>
      </w:hyperlink>
    </w:p>
    <w:p w14:paraId="3E47ECA7" w14:textId="7D9CBFA2" w:rsidR="00960665" w:rsidRDefault="00BD577B">
      <w:pPr>
        <w:pStyle w:val="TOC2"/>
        <w:rPr>
          <w:rFonts w:asciiTheme="minorHAnsi" w:hAnsiTheme="minorHAnsi"/>
          <w:kern w:val="2"/>
          <w:szCs w:val="22"/>
          <w:lang w:eastAsia="en-AU"/>
          <w14:ligatures w14:val="standardContextual"/>
        </w:rPr>
      </w:pPr>
      <w:hyperlink w:anchor="_Toc140666016" w:history="1">
        <w:r w:rsidR="00960665" w:rsidRPr="0032015A">
          <w:rPr>
            <w:rStyle w:val="Hyperlink"/>
          </w:rPr>
          <w:t>Unit description</w:t>
        </w:r>
        <w:r w:rsidR="00960665">
          <w:rPr>
            <w:webHidden/>
          </w:rPr>
          <w:tab/>
        </w:r>
        <w:r w:rsidR="00960665">
          <w:rPr>
            <w:webHidden/>
          </w:rPr>
          <w:fldChar w:fldCharType="begin"/>
        </w:r>
        <w:r w:rsidR="00960665">
          <w:rPr>
            <w:webHidden/>
          </w:rPr>
          <w:instrText xml:space="preserve"> PAGEREF _Toc140666016 \h </w:instrText>
        </w:r>
        <w:r w:rsidR="00960665">
          <w:rPr>
            <w:webHidden/>
          </w:rPr>
        </w:r>
        <w:r w:rsidR="00960665">
          <w:rPr>
            <w:webHidden/>
          </w:rPr>
          <w:fldChar w:fldCharType="separate"/>
        </w:r>
        <w:r w:rsidR="009A315B">
          <w:rPr>
            <w:webHidden/>
          </w:rPr>
          <w:t>7</w:t>
        </w:r>
        <w:r w:rsidR="00960665">
          <w:rPr>
            <w:webHidden/>
          </w:rPr>
          <w:fldChar w:fldCharType="end"/>
        </w:r>
      </w:hyperlink>
    </w:p>
    <w:p w14:paraId="684EA62C" w14:textId="56C354AA" w:rsidR="00960665" w:rsidRDefault="00BD577B">
      <w:pPr>
        <w:pStyle w:val="TOC2"/>
        <w:rPr>
          <w:rFonts w:asciiTheme="minorHAnsi" w:hAnsiTheme="minorHAnsi"/>
          <w:kern w:val="2"/>
          <w:szCs w:val="22"/>
          <w:lang w:eastAsia="en-AU"/>
          <w14:ligatures w14:val="standardContextual"/>
        </w:rPr>
      </w:pPr>
      <w:hyperlink w:anchor="_Toc140666017" w:history="1">
        <w:r w:rsidR="00960665" w:rsidRPr="0032015A">
          <w:rPr>
            <w:rStyle w:val="Hyperlink"/>
          </w:rPr>
          <w:t>Unit content</w:t>
        </w:r>
        <w:r w:rsidR="00960665">
          <w:rPr>
            <w:webHidden/>
          </w:rPr>
          <w:tab/>
        </w:r>
        <w:r w:rsidR="00960665">
          <w:rPr>
            <w:webHidden/>
          </w:rPr>
          <w:fldChar w:fldCharType="begin"/>
        </w:r>
        <w:r w:rsidR="00960665">
          <w:rPr>
            <w:webHidden/>
          </w:rPr>
          <w:instrText xml:space="preserve"> PAGEREF _Toc140666017 \h </w:instrText>
        </w:r>
        <w:r w:rsidR="00960665">
          <w:rPr>
            <w:webHidden/>
          </w:rPr>
        </w:r>
        <w:r w:rsidR="00960665">
          <w:rPr>
            <w:webHidden/>
          </w:rPr>
          <w:fldChar w:fldCharType="separate"/>
        </w:r>
        <w:r w:rsidR="009A315B">
          <w:rPr>
            <w:webHidden/>
          </w:rPr>
          <w:t>7</w:t>
        </w:r>
        <w:r w:rsidR="00960665">
          <w:rPr>
            <w:webHidden/>
          </w:rPr>
          <w:fldChar w:fldCharType="end"/>
        </w:r>
      </w:hyperlink>
    </w:p>
    <w:p w14:paraId="2C49C838" w14:textId="2A3B74C7" w:rsidR="00960665" w:rsidRDefault="00BD577B">
      <w:pPr>
        <w:pStyle w:val="TOC1"/>
        <w:rPr>
          <w:rFonts w:asciiTheme="minorHAnsi" w:hAnsiTheme="minorHAnsi"/>
          <w:b w:val="0"/>
          <w:kern w:val="2"/>
          <w:szCs w:val="22"/>
          <w:lang w:eastAsia="en-AU"/>
          <w14:ligatures w14:val="standardContextual"/>
        </w:rPr>
      </w:pPr>
      <w:hyperlink w:anchor="_Toc140666018" w:history="1">
        <w:r w:rsidR="00960665" w:rsidRPr="0032015A">
          <w:rPr>
            <w:rStyle w:val="Hyperlink"/>
          </w:rPr>
          <w:t>Unit 4 – Reconstructing the Ancient World</w:t>
        </w:r>
        <w:r w:rsidR="00960665">
          <w:rPr>
            <w:webHidden/>
          </w:rPr>
          <w:tab/>
        </w:r>
        <w:r w:rsidR="00960665">
          <w:rPr>
            <w:webHidden/>
          </w:rPr>
          <w:fldChar w:fldCharType="begin"/>
        </w:r>
        <w:r w:rsidR="00960665">
          <w:rPr>
            <w:webHidden/>
          </w:rPr>
          <w:instrText xml:space="preserve"> PAGEREF _Toc140666018 \h </w:instrText>
        </w:r>
        <w:r w:rsidR="00960665">
          <w:rPr>
            <w:webHidden/>
          </w:rPr>
        </w:r>
        <w:r w:rsidR="00960665">
          <w:rPr>
            <w:webHidden/>
          </w:rPr>
          <w:fldChar w:fldCharType="separate"/>
        </w:r>
        <w:r w:rsidR="009A315B">
          <w:rPr>
            <w:webHidden/>
          </w:rPr>
          <w:t>17</w:t>
        </w:r>
        <w:r w:rsidR="00960665">
          <w:rPr>
            <w:webHidden/>
          </w:rPr>
          <w:fldChar w:fldCharType="end"/>
        </w:r>
      </w:hyperlink>
    </w:p>
    <w:p w14:paraId="2592C4D7" w14:textId="66BD4D6C" w:rsidR="00960665" w:rsidRDefault="00BD577B">
      <w:pPr>
        <w:pStyle w:val="TOC2"/>
        <w:rPr>
          <w:rFonts w:asciiTheme="minorHAnsi" w:hAnsiTheme="minorHAnsi"/>
          <w:kern w:val="2"/>
          <w:szCs w:val="22"/>
          <w:lang w:eastAsia="en-AU"/>
          <w14:ligatures w14:val="standardContextual"/>
        </w:rPr>
      </w:pPr>
      <w:hyperlink w:anchor="_Toc140666019" w:history="1">
        <w:r w:rsidR="00960665" w:rsidRPr="0032015A">
          <w:rPr>
            <w:rStyle w:val="Hyperlink"/>
          </w:rPr>
          <w:t>Unit description</w:t>
        </w:r>
        <w:r w:rsidR="00960665">
          <w:rPr>
            <w:webHidden/>
          </w:rPr>
          <w:tab/>
        </w:r>
        <w:r w:rsidR="00960665">
          <w:rPr>
            <w:webHidden/>
          </w:rPr>
          <w:fldChar w:fldCharType="begin"/>
        </w:r>
        <w:r w:rsidR="00960665">
          <w:rPr>
            <w:webHidden/>
          </w:rPr>
          <w:instrText xml:space="preserve"> PAGEREF _Toc140666019 \h </w:instrText>
        </w:r>
        <w:r w:rsidR="00960665">
          <w:rPr>
            <w:webHidden/>
          </w:rPr>
        </w:r>
        <w:r w:rsidR="00960665">
          <w:rPr>
            <w:webHidden/>
          </w:rPr>
          <w:fldChar w:fldCharType="separate"/>
        </w:r>
        <w:r w:rsidR="009A315B">
          <w:rPr>
            <w:webHidden/>
          </w:rPr>
          <w:t>17</w:t>
        </w:r>
        <w:r w:rsidR="00960665">
          <w:rPr>
            <w:webHidden/>
          </w:rPr>
          <w:fldChar w:fldCharType="end"/>
        </w:r>
      </w:hyperlink>
    </w:p>
    <w:p w14:paraId="0A96444D" w14:textId="2401DDDA" w:rsidR="00960665" w:rsidRDefault="00BD577B">
      <w:pPr>
        <w:pStyle w:val="TOC2"/>
        <w:rPr>
          <w:rFonts w:asciiTheme="minorHAnsi" w:hAnsiTheme="minorHAnsi"/>
          <w:kern w:val="2"/>
          <w:szCs w:val="22"/>
          <w:lang w:eastAsia="en-AU"/>
          <w14:ligatures w14:val="standardContextual"/>
        </w:rPr>
      </w:pPr>
      <w:hyperlink w:anchor="_Toc140666020" w:history="1">
        <w:r w:rsidR="00960665" w:rsidRPr="0032015A">
          <w:rPr>
            <w:rStyle w:val="Hyperlink"/>
          </w:rPr>
          <w:t>Unit content</w:t>
        </w:r>
        <w:r w:rsidR="00960665">
          <w:rPr>
            <w:webHidden/>
          </w:rPr>
          <w:tab/>
        </w:r>
        <w:r w:rsidR="00960665">
          <w:rPr>
            <w:webHidden/>
          </w:rPr>
          <w:fldChar w:fldCharType="begin"/>
        </w:r>
        <w:r w:rsidR="00960665">
          <w:rPr>
            <w:webHidden/>
          </w:rPr>
          <w:instrText xml:space="preserve"> PAGEREF _Toc140666020 \h </w:instrText>
        </w:r>
        <w:r w:rsidR="00960665">
          <w:rPr>
            <w:webHidden/>
          </w:rPr>
        </w:r>
        <w:r w:rsidR="00960665">
          <w:rPr>
            <w:webHidden/>
          </w:rPr>
          <w:fldChar w:fldCharType="separate"/>
        </w:r>
        <w:r w:rsidR="009A315B">
          <w:rPr>
            <w:webHidden/>
          </w:rPr>
          <w:t>17</w:t>
        </w:r>
        <w:r w:rsidR="00960665">
          <w:rPr>
            <w:webHidden/>
          </w:rPr>
          <w:fldChar w:fldCharType="end"/>
        </w:r>
      </w:hyperlink>
    </w:p>
    <w:p w14:paraId="41C6E96E" w14:textId="41856884" w:rsidR="00960665" w:rsidRDefault="00BD577B">
      <w:pPr>
        <w:pStyle w:val="TOC1"/>
        <w:rPr>
          <w:rFonts w:asciiTheme="minorHAnsi" w:hAnsiTheme="minorHAnsi"/>
          <w:b w:val="0"/>
          <w:kern w:val="2"/>
          <w:szCs w:val="22"/>
          <w:lang w:eastAsia="en-AU"/>
          <w14:ligatures w14:val="standardContextual"/>
        </w:rPr>
      </w:pPr>
      <w:hyperlink w:anchor="_Toc140666021" w:history="1">
        <w:r w:rsidR="00960665" w:rsidRPr="0032015A">
          <w:rPr>
            <w:rStyle w:val="Hyperlink"/>
          </w:rPr>
          <w:t>Assessment</w:t>
        </w:r>
        <w:r w:rsidR="00960665">
          <w:rPr>
            <w:webHidden/>
          </w:rPr>
          <w:tab/>
        </w:r>
        <w:r w:rsidR="00960665">
          <w:rPr>
            <w:webHidden/>
          </w:rPr>
          <w:fldChar w:fldCharType="begin"/>
        </w:r>
        <w:r w:rsidR="00960665">
          <w:rPr>
            <w:webHidden/>
          </w:rPr>
          <w:instrText xml:space="preserve"> PAGEREF _Toc140666021 \h </w:instrText>
        </w:r>
        <w:r w:rsidR="00960665">
          <w:rPr>
            <w:webHidden/>
          </w:rPr>
        </w:r>
        <w:r w:rsidR="00960665">
          <w:rPr>
            <w:webHidden/>
          </w:rPr>
          <w:fldChar w:fldCharType="separate"/>
        </w:r>
        <w:r w:rsidR="009A315B">
          <w:rPr>
            <w:webHidden/>
          </w:rPr>
          <w:t>25</w:t>
        </w:r>
        <w:r w:rsidR="00960665">
          <w:rPr>
            <w:webHidden/>
          </w:rPr>
          <w:fldChar w:fldCharType="end"/>
        </w:r>
      </w:hyperlink>
    </w:p>
    <w:p w14:paraId="06F6084A" w14:textId="54A36BBA" w:rsidR="00960665" w:rsidRDefault="00BD577B">
      <w:pPr>
        <w:pStyle w:val="TOC2"/>
        <w:rPr>
          <w:rFonts w:asciiTheme="minorHAnsi" w:hAnsiTheme="minorHAnsi"/>
          <w:kern w:val="2"/>
          <w:szCs w:val="22"/>
          <w:lang w:eastAsia="en-AU"/>
          <w14:ligatures w14:val="standardContextual"/>
        </w:rPr>
      </w:pPr>
      <w:hyperlink w:anchor="_Toc140666022" w:history="1">
        <w:r w:rsidR="00960665" w:rsidRPr="0032015A">
          <w:rPr>
            <w:rStyle w:val="Hyperlink"/>
          </w:rPr>
          <w:t>School-based assessment</w:t>
        </w:r>
        <w:r w:rsidR="00960665">
          <w:rPr>
            <w:webHidden/>
          </w:rPr>
          <w:tab/>
        </w:r>
        <w:r w:rsidR="00960665">
          <w:rPr>
            <w:webHidden/>
          </w:rPr>
          <w:fldChar w:fldCharType="begin"/>
        </w:r>
        <w:r w:rsidR="00960665">
          <w:rPr>
            <w:webHidden/>
          </w:rPr>
          <w:instrText xml:space="preserve"> PAGEREF _Toc140666022 \h </w:instrText>
        </w:r>
        <w:r w:rsidR="00960665">
          <w:rPr>
            <w:webHidden/>
          </w:rPr>
        </w:r>
        <w:r w:rsidR="00960665">
          <w:rPr>
            <w:webHidden/>
          </w:rPr>
          <w:fldChar w:fldCharType="separate"/>
        </w:r>
        <w:r w:rsidR="009A315B">
          <w:rPr>
            <w:webHidden/>
          </w:rPr>
          <w:t>26</w:t>
        </w:r>
        <w:r w:rsidR="00960665">
          <w:rPr>
            <w:webHidden/>
          </w:rPr>
          <w:fldChar w:fldCharType="end"/>
        </w:r>
      </w:hyperlink>
    </w:p>
    <w:p w14:paraId="27A8C4DE" w14:textId="77D355F6" w:rsidR="00960665" w:rsidRDefault="00BD577B">
      <w:pPr>
        <w:pStyle w:val="TOC2"/>
        <w:rPr>
          <w:rFonts w:asciiTheme="minorHAnsi" w:hAnsiTheme="minorHAnsi"/>
          <w:kern w:val="2"/>
          <w:szCs w:val="22"/>
          <w:lang w:eastAsia="en-AU"/>
          <w14:ligatures w14:val="standardContextual"/>
        </w:rPr>
      </w:pPr>
      <w:hyperlink w:anchor="_Toc140666023" w:history="1">
        <w:r w:rsidR="00960665" w:rsidRPr="0032015A">
          <w:rPr>
            <w:rStyle w:val="Hyperlink"/>
          </w:rPr>
          <w:t>Reporting</w:t>
        </w:r>
        <w:r w:rsidR="00960665">
          <w:rPr>
            <w:webHidden/>
          </w:rPr>
          <w:tab/>
        </w:r>
        <w:r w:rsidR="00960665">
          <w:rPr>
            <w:webHidden/>
          </w:rPr>
          <w:fldChar w:fldCharType="begin"/>
        </w:r>
        <w:r w:rsidR="00960665">
          <w:rPr>
            <w:webHidden/>
          </w:rPr>
          <w:instrText xml:space="preserve"> PAGEREF _Toc140666023 \h </w:instrText>
        </w:r>
        <w:r w:rsidR="00960665">
          <w:rPr>
            <w:webHidden/>
          </w:rPr>
        </w:r>
        <w:r w:rsidR="00960665">
          <w:rPr>
            <w:webHidden/>
          </w:rPr>
          <w:fldChar w:fldCharType="separate"/>
        </w:r>
        <w:r w:rsidR="009A315B">
          <w:rPr>
            <w:webHidden/>
          </w:rPr>
          <w:t>28</w:t>
        </w:r>
        <w:r w:rsidR="00960665">
          <w:rPr>
            <w:webHidden/>
          </w:rPr>
          <w:fldChar w:fldCharType="end"/>
        </w:r>
      </w:hyperlink>
    </w:p>
    <w:p w14:paraId="10954527" w14:textId="6A2128BF" w:rsidR="00960665" w:rsidRDefault="00BD577B">
      <w:pPr>
        <w:pStyle w:val="TOC1"/>
        <w:rPr>
          <w:rFonts w:asciiTheme="minorHAnsi" w:hAnsiTheme="minorHAnsi"/>
          <w:b w:val="0"/>
          <w:kern w:val="2"/>
          <w:szCs w:val="22"/>
          <w:lang w:eastAsia="en-AU"/>
          <w14:ligatures w14:val="standardContextual"/>
        </w:rPr>
      </w:pPr>
      <w:hyperlink w:anchor="_Toc140666024" w:history="1">
        <w:r w:rsidR="00960665" w:rsidRPr="0032015A">
          <w:rPr>
            <w:rStyle w:val="Hyperlink"/>
          </w:rPr>
          <w:t>ATAR course examination</w:t>
        </w:r>
        <w:r w:rsidR="00960665">
          <w:rPr>
            <w:webHidden/>
          </w:rPr>
          <w:tab/>
        </w:r>
        <w:r w:rsidR="00960665">
          <w:rPr>
            <w:webHidden/>
          </w:rPr>
          <w:fldChar w:fldCharType="begin"/>
        </w:r>
        <w:r w:rsidR="00960665">
          <w:rPr>
            <w:webHidden/>
          </w:rPr>
          <w:instrText xml:space="preserve"> PAGEREF _Toc140666024 \h </w:instrText>
        </w:r>
        <w:r w:rsidR="00960665">
          <w:rPr>
            <w:webHidden/>
          </w:rPr>
        </w:r>
        <w:r w:rsidR="00960665">
          <w:rPr>
            <w:webHidden/>
          </w:rPr>
          <w:fldChar w:fldCharType="separate"/>
        </w:r>
        <w:r w:rsidR="009A315B">
          <w:rPr>
            <w:webHidden/>
          </w:rPr>
          <w:t>29</w:t>
        </w:r>
        <w:r w:rsidR="00960665">
          <w:rPr>
            <w:webHidden/>
          </w:rPr>
          <w:fldChar w:fldCharType="end"/>
        </w:r>
      </w:hyperlink>
    </w:p>
    <w:p w14:paraId="498AAE1A" w14:textId="4C8F52F3" w:rsidR="00960665" w:rsidRDefault="00BD577B">
      <w:pPr>
        <w:pStyle w:val="TOC2"/>
        <w:rPr>
          <w:rFonts w:asciiTheme="minorHAnsi" w:hAnsiTheme="minorHAnsi"/>
          <w:kern w:val="2"/>
          <w:szCs w:val="22"/>
          <w:lang w:eastAsia="en-AU"/>
          <w14:ligatures w14:val="standardContextual"/>
        </w:rPr>
      </w:pPr>
      <w:hyperlink w:anchor="_Toc140666025" w:history="1">
        <w:r w:rsidR="00960665" w:rsidRPr="0032015A">
          <w:rPr>
            <w:rStyle w:val="Hyperlink"/>
          </w:rPr>
          <w:t>Examination design brief – Year 12</w:t>
        </w:r>
        <w:r w:rsidR="00960665">
          <w:rPr>
            <w:webHidden/>
          </w:rPr>
          <w:tab/>
        </w:r>
        <w:r w:rsidR="00960665">
          <w:rPr>
            <w:webHidden/>
          </w:rPr>
          <w:fldChar w:fldCharType="begin"/>
        </w:r>
        <w:r w:rsidR="00960665">
          <w:rPr>
            <w:webHidden/>
          </w:rPr>
          <w:instrText xml:space="preserve"> PAGEREF _Toc140666025 \h </w:instrText>
        </w:r>
        <w:r w:rsidR="00960665">
          <w:rPr>
            <w:webHidden/>
          </w:rPr>
        </w:r>
        <w:r w:rsidR="00960665">
          <w:rPr>
            <w:webHidden/>
          </w:rPr>
          <w:fldChar w:fldCharType="separate"/>
        </w:r>
        <w:r w:rsidR="009A315B">
          <w:rPr>
            <w:webHidden/>
          </w:rPr>
          <w:t>29</w:t>
        </w:r>
        <w:r w:rsidR="00960665">
          <w:rPr>
            <w:webHidden/>
          </w:rPr>
          <w:fldChar w:fldCharType="end"/>
        </w:r>
      </w:hyperlink>
    </w:p>
    <w:p w14:paraId="6845F97A" w14:textId="666B2335" w:rsidR="00960665" w:rsidRDefault="00BD577B">
      <w:pPr>
        <w:pStyle w:val="TOC1"/>
        <w:rPr>
          <w:rFonts w:asciiTheme="minorHAnsi" w:hAnsiTheme="minorHAnsi"/>
          <w:b w:val="0"/>
          <w:kern w:val="2"/>
          <w:szCs w:val="22"/>
          <w:lang w:eastAsia="en-AU"/>
          <w14:ligatures w14:val="standardContextual"/>
        </w:rPr>
      </w:pPr>
      <w:hyperlink w:anchor="_Toc140666026" w:history="1">
        <w:r w:rsidR="00960665" w:rsidRPr="0032015A">
          <w:rPr>
            <w:rStyle w:val="Hyperlink"/>
          </w:rPr>
          <w:t>Appendix 1 – Grade descriptions Year 12</w:t>
        </w:r>
        <w:r w:rsidR="00960665">
          <w:rPr>
            <w:webHidden/>
          </w:rPr>
          <w:tab/>
        </w:r>
        <w:r w:rsidR="00960665">
          <w:rPr>
            <w:webHidden/>
          </w:rPr>
          <w:fldChar w:fldCharType="begin"/>
        </w:r>
        <w:r w:rsidR="00960665">
          <w:rPr>
            <w:webHidden/>
          </w:rPr>
          <w:instrText xml:space="preserve"> PAGEREF _Toc140666026 \h </w:instrText>
        </w:r>
        <w:r w:rsidR="00960665">
          <w:rPr>
            <w:webHidden/>
          </w:rPr>
        </w:r>
        <w:r w:rsidR="00960665">
          <w:rPr>
            <w:webHidden/>
          </w:rPr>
          <w:fldChar w:fldCharType="separate"/>
        </w:r>
        <w:r w:rsidR="009A315B">
          <w:rPr>
            <w:webHidden/>
          </w:rPr>
          <w:t>31</w:t>
        </w:r>
        <w:r w:rsidR="00960665">
          <w:rPr>
            <w:webHidden/>
          </w:rPr>
          <w:fldChar w:fldCharType="end"/>
        </w:r>
      </w:hyperlink>
    </w:p>
    <w:p w14:paraId="5F80BBF3" w14:textId="28D51776" w:rsidR="00960665" w:rsidRDefault="00BD577B">
      <w:pPr>
        <w:pStyle w:val="TOC1"/>
        <w:rPr>
          <w:rFonts w:asciiTheme="minorHAnsi" w:hAnsiTheme="minorHAnsi"/>
          <w:b w:val="0"/>
          <w:kern w:val="2"/>
          <w:szCs w:val="22"/>
          <w:lang w:eastAsia="en-AU"/>
          <w14:ligatures w14:val="standardContextual"/>
        </w:rPr>
      </w:pPr>
      <w:hyperlink w:anchor="_Toc140666027" w:history="1">
        <w:r w:rsidR="00960665" w:rsidRPr="0032015A">
          <w:rPr>
            <w:rStyle w:val="Hyperlink"/>
          </w:rPr>
          <w:t>Appendix 2 – Glossary</w:t>
        </w:r>
        <w:r w:rsidR="00960665">
          <w:rPr>
            <w:webHidden/>
          </w:rPr>
          <w:tab/>
        </w:r>
        <w:r w:rsidR="00960665">
          <w:rPr>
            <w:webHidden/>
          </w:rPr>
          <w:fldChar w:fldCharType="begin"/>
        </w:r>
        <w:r w:rsidR="00960665">
          <w:rPr>
            <w:webHidden/>
          </w:rPr>
          <w:instrText xml:space="preserve"> PAGEREF _Toc140666027 \h </w:instrText>
        </w:r>
        <w:r w:rsidR="00960665">
          <w:rPr>
            <w:webHidden/>
          </w:rPr>
        </w:r>
        <w:r w:rsidR="00960665">
          <w:rPr>
            <w:webHidden/>
          </w:rPr>
          <w:fldChar w:fldCharType="separate"/>
        </w:r>
        <w:r w:rsidR="009A315B">
          <w:rPr>
            <w:webHidden/>
          </w:rPr>
          <w:t>32</w:t>
        </w:r>
        <w:r w:rsidR="00960665">
          <w:rPr>
            <w:webHidden/>
          </w:rPr>
          <w:fldChar w:fldCharType="end"/>
        </w:r>
      </w:hyperlink>
    </w:p>
    <w:p w14:paraId="16AB3B10" w14:textId="68B73211" w:rsidR="001E736E" w:rsidRPr="00293088" w:rsidRDefault="007F1654" w:rsidP="00CA52D5">
      <w:pPr>
        <w:sectPr w:rsidR="001E736E" w:rsidRPr="00293088" w:rsidSect="00DD2C1C">
          <w:headerReference w:type="even" r:id="rId11"/>
          <w:headerReference w:type="default" r:id="rId12"/>
          <w:footerReference w:type="even" r:id="rId13"/>
          <w:footerReference w:type="default" r:id="rId14"/>
          <w:headerReference w:type="first" r:id="rId15"/>
          <w:pgSz w:w="11906" w:h="16838" w:code="9"/>
          <w:pgMar w:top="1644" w:right="1418" w:bottom="1276" w:left="1418" w:header="680" w:footer="567" w:gutter="0"/>
          <w:cols w:space="709"/>
          <w:docGrid w:linePitch="360"/>
        </w:sectPr>
      </w:pPr>
      <w:r>
        <w:rPr>
          <w:color w:val="342568" w:themeColor="accent1" w:themeShade="BF"/>
          <w:sz w:val="40"/>
          <w:szCs w:val="40"/>
        </w:rPr>
        <w:fldChar w:fldCharType="end"/>
      </w:r>
      <w:bookmarkStart w:id="1" w:name="_Toc347908199"/>
    </w:p>
    <w:p w14:paraId="4205A1B0" w14:textId="77777777" w:rsidR="00416C3D" w:rsidRPr="00BB003D" w:rsidRDefault="00416C3D" w:rsidP="002D3398">
      <w:pPr>
        <w:pStyle w:val="SyllabusHeading1"/>
      </w:pPr>
      <w:bookmarkStart w:id="2" w:name="_Toc140666008"/>
      <w:r w:rsidRPr="00BB003D">
        <w:lastRenderedPageBreak/>
        <w:t>Rationale</w:t>
      </w:r>
      <w:bookmarkEnd w:id="1"/>
      <w:bookmarkEnd w:id="2"/>
    </w:p>
    <w:p w14:paraId="6D18C4B6" w14:textId="1F31C2F4" w:rsidR="00F015B1" w:rsidRPr="00B37393" w:rsidRDefault="00F015B1" w:rsidP="00160180">
      <w:bookmarkStart w:id="3" w:name="_Toc347908200"/>
      <w:r w:rsidRPr="00B37393">
        <w:t xml:space="preserve">The Ancient History </w:t>
      </w:r>
      <w:r w:rsidRPr="003E027D">
        <w:t xml:space="preserve">ATAR </w:t>
      </w:r>
      <w:r w:rsidRPr="00B37393">
        <w:t>course enables students to study life in early civilisations based on the analysis and interpretation of physical and written remains. The ancient period, as defined in this syllabus, extends from the development of early human communiti</w:t>
      </w:r>
      <w:r w:rsidR="00D973B2">
        <w:t>es to the end of late antiquity</w:t>
      </w:r>
      <w:r w:rsidRPr="00B37393">
        <w:t xml:space="preserve"> 650</w:t>
      </w:r>
      <w:r w:rsidR="00891A4A">
        <w:t> </w:t>
      </w:r>
      <w:r w:rsidR="0090140F" w:rsidRPr="00D973B2">
        <w:t>CE</w:t>
      </w:r>
      <w:r w:rsidRPr="00B37393">
        <w:t>, with a particular focus on the ancient societies of Europe, the Near East and Asia.</w:t>
      </w:r>
    </w:p>
    <w:p w14:paraId="6A3F69E8" w14:textId="45FF6AED" w:rsidR="00F015B1" w:rsidRDefault="00F015B1" w:rsidP="00160180">
      <w:r>
        <w:t xml:space="preserve">Ancient </w:t>
      </w:r>
      <w:r w:rsidRPr="000B7A91">
        <w:t>history</w:t>
      </w:r>
      <w:r w:rsidRPr="00B37393">
        <w:t xml:space="preserve"> stimulates students’ curiosity and imagination and enriches their appreciation of humanity and the value of the ancient past. It shows how the world and its people have changed, as well as the significant legacies that exist into the present. The study of ancient civilisations illustrates the development of some of the distinctive features of contemporary societies</w:t>
      </w:r>
      <w:r w:rsidR="00233A50">
        <w:t>;</w:t>
      </w:r>
      <w:r w:rsidRPr="00B37393">
        <w:t xml:space="preserve"> for example</w:t>
      </w:r>
      <w:r>
        <w:t>,</w:t>
      </w:r>
      <w:r w:rsidRPr="00B37393">
        <w:t xml:space="preserve"> social organisation, systems of law, governance and religion. Ancient </w:t>
      </w:r>
      <w:r>
        <w:t>h</w:t>
      </w:r>
      <w:r w:rsidRPr="00B37393">
        <w:t>istory is also concerned with the possible motivations, and actions of individuals and groups, and how they shaped the political, social and cultural l</w:t>
      </w:r>
      <w:r>
        <w:t>andscapes of the ancient world.</w:t>
      </w:r>
    </w:p>
    <w:p w14:paraId="1DCEE9C9" w14:textId="77777777" w:rsidR="00F015B1" w:rsidRPr="009B50BF" w:rsidRDefault="00F015B1" w:rsidP="00160180">
      <w:r w:rsidRPr="006B125B">
        <w:t xml:space="preserve">The Ancient History ATAR course begins with a study of </w:t>
      </w:r>
      <w:r w:rsidR="006B125B" w:rsidRPr="009B50BF">
        <w:t xml:space="preserve">the social, political, economic, military and religious </w:t>
      </w:r>
      <w:r w:rsidRPr="009B50BF">
        <w:t>institutions and structures of one ancient society, with an in-depth study of specific features</w:t>
      </w:r>
      <w:r w:rsidR="006B125B" w:rsidRPr="009B50BF">
        <w:t xml:space="preserve"> such as slavery or </w:t>
      </w:r>
      <w:r w:rsidR="00CB2C08">
        <w:t>technology and engineering</w:t>
      </w:r>
      <w:r w:rsidR="006B125B" w:rsidRPr="009B50BF">
        <w:t xml:space="preserve">. </w:t>
      </w:r>
      <w:r w:rsidRPr="009B50BF">
        <w:t xml:space="preserve">Students then investigate </w:t>
      </w:r>
      <w:r w:rsidRPr="000B7A91">
        <w:t xml:space="preserve">the remaining evidence for the ancient past </w:t>
      </w:r>
      <w:r w:rsidRPr="009B50BF">
        <w:t xml:space="preserve">and issues relevant to the investigation of the ancient world, including authentication and reliability. </w:t>
      </w:r>
      <w:r w:rsidRPr="00B37393">
        <w:t>This is followed by a more integrated study of an ancient society focusing on continuity and change in power and authority</w:t>
      </w:r>
      <w:r>
        <w:t>.</w:t>
      </w:r>
      <w:r w:rsidR="009B50BF">
        <w:t xml:space="preserve"> </w:t>
      </w:r>
      <w:r w:rsidRPr="00B37393">
        <w:t>The course concludes with a detailed evaluation of the contribution of various sources to an understanding of a signifi</w:t>
      </w:r>
      <w:r>
        <w:t>cant ancient historical period.</w:t>
      </w:r>
    </w:p>
    <w:p w14:paraId="25EB8B34" w14:textId="17947F72" w:rsidR="00F015B1" w:rsidRPr="00B37393" w:rsidRDefault="00F015B1" w:rsidP="00160180">
      <w:r w:rsidRPr="00B37393">
        <w:t xml:space="preserve">The Ancient History </w:t>
      </w:r>
      <w:r w:rsidRPr="004D3420">
        <w:t>ATAR</w:t>
      </w:r>
      <w:r>
        <w:t xml:space="preserve"> </w:t>
      </w:r>
      <w:r w:rsidRPr="00B37393">
        <w:t xml:space="preserve">course continues to develop the historical skills and understandings taught in the </w:t>
      </w:r>
      <w:r w:rsidR="00A665D8">
        <w:rPr>
          <w:rFonts w:cstheme="minorHAnsi"/>
        </w:rPr>
        <w:t xml:space="preserve">Years 7–10 Humanities and Social Sciences: History </w:t>
      </w:r>
      <w:r>
        <w:t>c</w:t>
      </w:r>
      <w:r w:rsidRPr="00B37393">
        <w:t>urriculum. Students develop transferable skills associated with the process of historical inquiry. These include critical literacy skills</w:t>
      </w:r>
      <w:r w:rsidR="00233A50">
        <w:t>;</w:t>
      </w:r>
      <w:r w:rsidRPr="00B37393">
        <w:t xml:space="preserve"> for example</w:t>
      </w:r>
      <w:r>
        <w:t>,</w:t>
      </w:r>
      <w:r w:rsidRPr="00B37393">
        <w:t xml:space="preserve"> interpreting, analysing and weighing evidence; the ability to synthesise evidence from a variety of sources; and developing reasoned and evidence-based arguments th</w:t>
      </w:r>
      <w:r>
        <w:t>at challenge accepted theories.</w:t>
      </w:r>
    </w:p>
    <w:p w14:paraId="584812CB" w14:textId="77777777" w:rsidR="00F015B1" w:rsidRPr="00B37393" w:rsidRDefault="00F015B1" w:rsidP="00160180">
      <w:r w:rsidRPr="00B37393">
        <w:t>Students are introduced to the complexities of reconstructing the past using often fragmentary evidence from a range of literary, documentary, architectural and archaeological sources, and the skills associated with the analysis and evaluation of historical sources. Students develop increasingly sophisticated historiographical skills and historical understanding, from their analysis of interpretations and representations of the ancient world to their close study of features and structures of ancient societies.</w:t>
      </w:r>
    </w:p>
    <w:p w14:paraId="6005EBD5" w14:textId="77777777" w:rsidR="000558AC" w:rsidRDefault="000558AC" w:rsidP="006F7BDA">
      <w:pPr>
        <w:rPr>
          <w:rFonts w:eastAsiaTheme="majorEastAsia"/>
        </w:rPr>
      </w:pPr>
      <w:r>
        <w:br w:type="page"/>
      </w:r>
    </w:p>
    <w:p w14:paraId="5E352E68" w14:textId="77777777" w:rsidR="002279E8" w:rsidRPr="00293088" w:rsidRDefault="002279E8" w:rsidP="00120451">
      <w:pPr>
        <w:pStyle w:val="SyllabusHeading1"/>
      </w:pPr>
      <w:bookmarkStart w:id="4" w:name="_Toc140666009"/>
      <w:r w:rsidRPr="00293088">
        <w:lastRenderedPageBreak/>
        <w:t>Aims</w:t>
      </w:r>
      <w:bookmarkEnd w:id="4"/>
    </w:p>
    <w:p w14:paraId="3942386E" w14:textId="77777777" w:rsidR="002279E8" w:rsidRPr="009B50BF" w:rsidRDefault="004D3420" w:rsidP="00160180">
      <w:r>
        <w:t xml:space="preserve">The </w:t>
      </w:r>
      <w:r w:rsidR="00F76C06">
        <w:t>Ancient History</w:t>
      </w:r>
      <w:r w:rsidR="00FB1C3A" w:rsidRPr="003E027D">
        <w:t xml:space="preserve"> </w:t>
      </w:r>
      <w:r w:rsidRPr="003E027D">
        <w:t>ATAR course</w:t>
      </w:r>
      <w:r w:rsidR="00261BD2">
        <w:t xml:space="preserve"> </w:t>
      </w:r>
      <w:r w:rsidR="00261BD2" w:rsidRPr="009B50BF">
        <w:t>enables students to</w:t>
      </w:r>
      <w:r w:rsidR="002279E8" w:rsidRPr="009B50BF">
        <w:t>:</w:t>
      </w:r>
    </w:p>
    <w:p w14:paraId="3C7B95F9" w14:textId="77777777" w:rsidR="00B37393" w:rsidRPr="00B37393" w:rsidRDefault="00FA528D" w:rsidP="008F7B45">
      <w:pPr>
        <w:pStyle w:val="SyllabusListParagraph"/>
        <w:numPr>
          <w:ilvl w:val="0"/>
          <w:numId w:val="11"/>
        </w:numPr>
      </w:pPr>
      <w:r w:rsidRPr="009B50BF">
        <w:t>d</w:t>
      </w:r>
      <w:r w:rsidR="00261BD2" w:rsidRPr="009B50BF">
        <w:t xml:space="preserve">evelop </w:t>
      </w:r>
      <w:r w:rsidR="00B37393" w:rsidRPr="00B37393">
        <w:t>knowledge and understanding of the ancient past, including key individuals, institutions, structures and features of ancient societies</w:t>
      </w:r>
    </w:p>
    <w:p w14:paraId="6C354C45" w14:textId="4231A74F" w:rsidR="00B37393" w:rsidRPr="00B37393" w:rsidRDefault="00261BD2" w:rsidP="008F7B45">
      <w:pPr>
        <w:pStyle w:val="SyllabusListParagraph"/>
        <w:numPr>
          <w:ilvl w:val="0"/>
          <w:numId w:val="11"/>
        </w:numPr>
      </w:pPr>
      <w:r w:rsidRPr="009B50BF">
        <w:t>develop a</w:t>
      </w:r>
      <w:r>
        <w:t xml:space="preserve"> </w:t>
      </w:r>
      <w:r w:rsidR="00B37393" w:rsidRPr="00B37393">
        <w:t>capacity to undertake historical inquiry, including skills in inquiry and research, interpretation using sources, evidence-based arguments and communication</w:t>
      </w:r>
    </w:p>
    <w:p w14:paraId="53BBD299" w14:textId="25F0AE32" w:rsidR="00D56562" w:rsidRDefault="00261BD2" w:rsidP="008F7B45">
      <w:pPr>
        <w:pStyle w:val="SyllabusListParagraph"/>
        <w:numPr>
          <w:ilvl w:val="0"/>
          <w:numId w:val="11"/>
        </w:numPr>
      </w:pPr>
      <w:r w:rsidRPr="009B50BF">
        <w:t xml:space="preserve">develop </w:t>
      </w:r>
      <w:r w:rsidR="00B37393" w:rsidRPr="00D56562">
        <w:t>analytical and critical thinking using key historical concepts</w:t>
      </w:r>
      <w:r w:rsidR="001731A7" w:rsidRPr="00D56562">
        <w:t>,</w:t>
      </w:r>
      <w:r w:rsidR="00B37393" w:rsidRPr="00D56562">
        <w:t xml:space="preserve"> including evidence, continuity and change, cause and effect, significance, empathy,</w:t>
      </w:r>
      <w:r w:rsidR="00D56562" w:rsidRPr="00D56562">
        <w:t xml:space="preserve"> perspectives, interpretations and </w:t>
      </w:r>
      <w:r w:rsidR="00D56562">
        <w:t>representations</w:t>
      </w:r>
    </w:p>
    <w:p w14:paraId="678B2832" w14:textId="77777777" w:rsidR="00B37393" w:rsidRPr="00D56562" w:rsidRDefault="00261BD2" w:rsidP="008F7B45">
      <w:pPr>
        <w:pStyle w:val="SyllabusListParagraph"/>
        <w:numPr>
          <w:ilvl w:val="0"/>
          <w:numId w:val="11"/>
        </w:numPr>
      </w:pPr>
      <w:r w:rsidRPr="009B50BF">
        <w:t>develop an</w:t>
      </w:r>
      <w:r w:rsidRPr="00D56562">
        <w:t xml:space="preserve"> </w:t>
      </w:r>
      <w:r w:rsidR="00B37393" w:rsidRPr="00D56562">
        <w:t>appreciation of the origins, impact and legacy of ideas, beliefs and values of the ancient world.</w:t>
      </w:r>
    </w:p>
    <w:p w14:paraId="60920697" w14:textId="77777777" w:rsidR="000558AC" w:rsidRDefault="000558AC" w:rsidP="006F7BDA">
      <w:pPr>
        <w:rPr>
          <w:rFonts w:eastAsiaTheme="majorEastAsia"/>
        </w:rPr>
      </w:pPr>
      <w:r>
        <w:br w:type="page"/>
      </w:r>
    </w:p>
    <w:p w14:paraId="5D13B56E" w14:textId="77777777" w:rsidR="002279E8" w:rsidRPr="00293088" w:rsidRDefault="002279E8" w:rsidP="00120451">
      <w:pPr>
        <w:pStyle w:val="SyllabusHeading1"/>
      </w:pPr>
      <w:bookmarkStart w:id="5" w:name="_Toc140666010"/>
      <w:r w:rsidRPr="00293088">
        <w:lastRenderedPageBreak/>
        <w:t>Organisation</w:t>
      </w:r>
      <w:bookmarkEnd w:id="5"/>
    </w:p>
    <w:p w14:paraId="58243059" w14:textId="77777777" w:rsidR="002F31CF" w:rsidRPr="00293088" w:rsidRDefault="002F31CF" w:rsidP="00293088">
      <w:r w:rsidRPr="00293088">
        <w:t>This course is organised into a Year 11 syllabus and a Year 12 syllabus.</w:t>
      </w:r>
      <w:r w:rsidR="006B2BA8" w:rsidRPr="00293088">
        <w:t xml:space="preserve"> The cognitive complexity of the</w:t>
      </w:r>
      <w:r w:rsidRPr="00293088">
        <w:t xml:space="preserve"> syllabus</w:t>
      </w:r>
      <w:r w:rsidR="006B2BA8" w:rsidRPr="00293088">
        <w:t xml:space="preserve"> content </w:t>
      </w:r>
      <w:r w:rsidRPr="00293088">
        <w:t>increases from Year 11 to Year 12.</w:t>
      </w:r>
    </w:p>
    <w:p w14:paraId="7F5FBC0A" w14:textId="77777777" w:rsidR="002279E8" w:rsidRPr="000A1877" w:rsidRDefault="002279E8" w:rsidP="00120451">
      <w:pPr>
        <w:pStyle w:val="SyllabusHeading2"/>
      </w:pPr>
      <w:bookmarkStart w:id="6" w:name="_Toc140666011"/>
      <w:r w:rsidRPr="000A1877">
        <w:t>Structure of the syllabus</w:t>
      </w:r>
      <w:bookmarkEnd w:id="6"/>
    </w:p>
    <w:p w14:paraId="16BDD98D" w14:textId="77777777" w:rsidR="00A03635" w:rsidRDefault="00A03635" w:rsidP="00A03635">
      <w:pPr>
        <w:spacing w:before="120"/>
        <w:rPr>
          <w:rFonts w:eastAsiaTheme="minorHAnsi" w:cs="Calibri"/>
          <w:lang w:eastAsia="en-AU"/>
        </w:rPr>
      </w:pPr>
      <w:r w:rsidRPr="00A03635">
        <w:rPr>
          <w:rFonts w:eastAsiaTheme="minorHAnsi" w:cs="Calibri"/>
          <w:lang w:eastAsia="en-AU"/>
        </w:rPr>
        <w:t>The Year 12 syllabus is divided into two units which are delivered as a pair. The notional time for the pair of un</w:t>
      </w:r>
      <w:r w:rsidR="002275E3">
        <w:rPr>
          <w:rFonts w:eastAsiaTheme="minorHAnsi" w:cs="Calibri"/>
          <w:lang w:eastAsia="en-AU"/>
        </w:rPr>
        <w:t>its is 110 class contact hours.</w:t>
      </w:r>
    </w:p>
    <w:p w14:paraId="0C4FAAE7" w14:textId="77777777" w:rsidR="002279E8" w:rsidRPr="000A1877" w:rsidRDefault="002279E8" w:rsidP="00120451">
      <w:pPr>
        <w:pStyle w:val="SyllabusHeading3"/>
      </w:pPr>
      <w:r w:rsidRPr="000A1877">
        <w:t>Unit 3</w:t>
      </w:r>
      <w:r w:rsidR="00CA52D5" w:rsidRPr="000A1877">
        <w:t xml:space="preserve"> –</w:t>
      </w:r>
      <w:r w:rsidR="009B50BF" w:rsidRPr="000A1877">
        <w:t xml:space="preserve"> </w:t>
      </w:r>
      <w:r w:rsidR="00617A14" w:rsidRPr="000A1877">
        <w:t>P</w:t>
      </w:r>
      <w:r w:rsidR="00B37393" w:rsidRPr="000A1877">
        <w:t>ower and authority</w:t>
      </w:r>
    </w:p>
    <w:p w14:paraId="675C07A1" w14:textId="77777777" w:rsidR="00FC3BFE" w:rsidRPr="009B50BF" w:rsidRDefault="00B37393" w:rsidP="00160180">
      <w:pPr>
        <w:rPr>
          <w:rFonts w:eastAsia="Calibri"/>
        </w:rPr>
      </w:pPr>
      <w:r w:rsidRPr="00B37393">
        <w:rPr>
          <w:rFonts w:eastAsia="Calibri"/>
        </w:rPr>
        <w:t xml:space="preserve">This unit examines the nature and exercise of power and authority in ancient societies in key periods, with reference to the evidence of significant political, military, religious, cultural and economic features. </w:t>
      </w:r>
      <w:r w:rsidRPr="009B50BF">
        <w:rPr>
          <w:rFonts w:eastAsia="Calibri"/>
        </w:rPr>
        <w:t>The study of individual</w:t>
      </w:r>
      <w:r w:rsidR="00FC3BFE" w:rsidRPr="009B50BF">
        <w:rPr>
          <w:rFonts w:eastAsia="Calibri"/>
        </w:rPr>
        <w:t>s</w:t>
      </w:r>
      <w:r w:rsidRPr="009B50BF">
        <w:rPr>
          <w:rFonts w:eastAsia="Calibri"/>
        </w:rPr>
        <w:t xml:space="preserve"> </w:t>
      </w:r>
      <w:r w:rsidR="00FC3BFE" w:rsidRPr="009B50BF">
        <w:rPr>
          <w:rFonts w:eastAsia="Calibri"/>
        </w:rPr>
        <w:t>who had a significant impact on their times develops students’ understanding of the importance of human agency</w:t>
      </w:r>
      <w:r w:rsidR="009B50BF" w:rsidRPr="009B50BF">
        <w:rPr>
          <w:rFonts w:eastAsia="Calibri"/>
        </w:rPr>
        <w:t>.</w:t>
      </w:r>
      <w:r w:rsidR="00FC3BFE" w:rsidRPr="009B50BF">
        <w:rPr>
          <w:rFonts w:eastAsia="Calibri"/>
        </w:rPr>
        <w:t xml:space="preserve"> </w:t>
      </w:r>
    </w:p>
    <w:p w14:paraId="509D8FAB" w14:textId="03D8F12E" w:rsidR="002279E8" w:rsidRPr="00293088" w:rsidRDefault="002279E8" w:rsidP="00120451">
      <w:pPr>
        <w:pStyle w:val="SyllabusHeading3"/>
      </w:pPr>
      <w:r w:rsidRPr="00293088">
        <w:t>Unit 4</w:t>
      </w:r>
      <w:r w:rsidR="00CA52D5">
        <w:t xml:space="preserve"> –</w:t>
      </w:r>
      <w:r w:rsidRPr="00293088">
        <w:t xml:space="preserve"> </w:t>
      </w:r>
      <w:r w:rsidR="0070039F">
        <w:t xml:space="preserve">Reconstructing the </w:t>
      </w:r>
      <w:r w:rsidR="00A665D8">
        <w:t>A</w:t>
      </w:r>
      <w:r w:rsidR="00B37393" w:rsidRPr="00B37393">
        <w:t xml:space="preserve">ncient </w:t>
      </w:r>
      <w:r w:rsidR="00A665D8">
        <w:t>W</w:t>
      </w:r>
      <w:r w:rsidR="00B37393" w:rsidRPr="00B37393">
        <w:t>orld</w:t>
      </w:r>
    </w:p>
    <w:p w14:paraId="479D6757" w14:textId="77777777" w:rsidR="00B37393" w:rsidRDefault="00B37393" w:rsidP="00160180">
      <w:pPr>
        <w:rPr>
          <w:rFonts w:eastAsia="Calibri"/>
        </w:rPr>
      </w:pPr>
      <w:r w:rsidRPr="00B37393">
        <w:rPr>
          <w:rFonts w:eastAsia="Calibri"/>
        </w:rPr>
        <w:t>This unit focuses on a significant historical period to develop an understanding of th</w:t>
      </w:r>
      <w:r w:rsidR="006E03DA">
        <w:rPr>
          <w:rFonts w:eastAsia="Calibri"/>
        </w:rPr>
        <w:t>e relevant institutions, practic</w:t>
      </w:r>
      <w:r w:rsidRPr="00B37393">
        <w:rPr>
          <w:rFonts w:eastAsia="Calibri"/>
        </w:rPr>
        <w:t>es, key events and individuals of the period, in the context of a wide range of sources. This unit allows for greater study of the challenges associated with the interpretation and evaluation of evidence.</w:t>
      </w:r>
    </w:p>
    <w:p w14:paraId="7C9254BC" w14:textId="3ABEF52F" w:rsidR="002B5E69" w:rsidRPr="00D973B2" w:rsidRDefault="002B5E69" w:rsidP="00160180">
      <w:pPr>
        <w:rPr>
          <w:rFonts w:eastAsia="Calibri"/>
          <w:bCs/>
          <w:iCs/>
          <w:color w:val="000000"/>
          <w:lang w:eastAsia="en-AU"/>
        </w:rPr>
      </w:pPr>
      <w:r w:rsidRPr="00D973B2">
        <w:rPr>
          <w:rFonts w:eastAsia="Calibri"/>
          <w:color w:val="000000"/>
          <w:lang w:eastAsia="en-AU"/>
          <w14:textFill>
            <w14:solidFill>
              <w14:srgbClr w14:val="000000">
                <w14:lumMod w14:val="75000"/>
                <w14:lumMod w14:val="75000"/>
                <w14:lumMod w14:val="75000"/>
                <w14:lumMod w14:val="75000"/>
              </w14:srgbClr>
            </w14:solidFill>
          </w14:textFill>
        </w:rPr>
        <w:t>The elective offered in Unit 4 must be the same society as the Unit 3 elective</w:t>
      </w:r>
      <w:r w:rsidR="00A665D8">
        <w:rPr>
          <w:rFonts w:eastAsia="Calibri"/>
          <w:color w:val="000000"/>
          <w:lang w:eastAsia="en-AU"/>
          <w14:textFill>
            <w14:solidFill>
              <w14:srgbClr w14:val="000000">
                <w14:lumMod w14:val="75000"/>
                <w14:lumMod w14:val="75000"/>
                <w14:lumMod w14:val="75000"/>
                <w14:lumMod w14:val="75000"/>
              </w14:srgbClr>
            </w14:solidFill>
          </w14:textFill>
        </w:rPr>
        <w:t>;</w:t>
      </w:r>
      <w:r w:rsidRPr="00D973B2">
        <w:rPr>
          <w:rFonts w:eastAsia="Calibri"/>
          <w:color w:val="000000"/>
          <w:lang w:eastAsia="en-AU"/>
          <w14:textFill>
            <w14:solidFill>
              <w14:srgbClr w14:val="000000">
                <w14:lumMod w14:val="75000"/>
                <w14:lumMod w14:val="75000"/>
                <w14:lumMod w14:val="75000"/>
                <w14:lumMod w14:val="75000"/>
              </w14:srgbClr>
            </w14:solidFill>
          </w14:textFill>
        </w:rPr>
        <w:t xml:space="preserve"> </w:t>
      </w:r>
      <w:r w:rsidR="00A665D8">
        <w:rPr>
          <w:rFonts w:eastAsia="Calibri"/>
          <w:color w:val="000000"/>
          <w:lang w:eastAsia="en-AU"/>
          <w14:textFill>
            <w14:solidFill>
              <w14:srgbClr w14:val="000000">
                <w14:lumMod w14:val="75000"/>
                <w14:lumMod w14:val="75000"/>
                <w14:lumMod w14:val="75000"/>
                <w14:lumMod w14:val="75000"/>
              </w14:srgbClr>
            </w14:solidFill>
          </w14:textFill>
        </w:rPr>
        <w:t>f</w:t>
      </w:r>
      <w:r w:rsidRPr="00D973B2">
        <w:rPr>
          <w:rFonts w:eastAsia="Calibri"/>
          <w:color w:val="000000"/>
          <w:lang w:eastAsia="en-AU"/>
          <w14:textFill>
            <w14:solidFill>
              <w14:srgbClr w14:val="000000">
                <w14:lumMod w14:val="75000"/>
                <w14:lumMod w14:val="75000"/>
                <w14:lumMod w14:val="75000"/>
                <w14:lumMod w14:val="75000"/>
              </w14:srgbClr>
            </w14:solidFill>
          </w14:textFill>
        </w:rPr>
        <w:t>or example</w:t>
      </w:r>
      <w:r w:rsidR="00A665D8">
        <w:rPr>
          <w:rFonts w:eastAsia="Calibri"/>
          <w:color w:val="000000"/>
          <w:lang w:eastAsia="en-AU"/>
          <w14:textFill>
            <w14:solidFill>
              <w14:srgbClr w14:val="000000">
                <w14:lumMod w14:val="75000"/>
                <w14:lumMod w14:val="75000"/>
                <w14:lumMod w14:val="75000"/>
                <w14:lumMod w14:val="75000"/>
              </w14:srgbClr>
            </w14:solidFill>
          </w14:textFill>
        </w:rPr>
        <w:t>,</w:t>
      </w:r>
      <w:r w:rsidRPr="00D973B2">
        <w:rPr>
          <w:rFonts w:eastAsia="Calibri"/>
          <w:color w:val="000000"/>
          <w:lang w:eastAsia="en-AU"/>
          <w14:textFill>
            <w14:solidFill>
              <w14:srgbClr w14:val="000000">
                <w14:lumMod w14:val="75000"/>
                <w14:lumMod w14:val="75000"/>
                <w14:lumMod w14:val="75000"/>
                <w14:lumMod w14:val="75000"/>
              </w14:srgbClr>
            </w14:solidFill>
          </w14:textFill>
        </w:rPr>
        <w:t xml:space="preserve"> Unit 3</w:t>
      </w:r>
      <w:r w:rsidR="00233A50">
        <w:rPr>
          <w:rFonts w:eastAsia="Calibri"/>
          <w:color w:val="000000"/>
          <w:lang w:eastAsia="en-AU"/>
          <w14:textFill>
            <w14:solidFill>
              <w14:srgbClr w14:val="000000">
                <w14:lumMod w14:val="75000"/>
                <w14:lumMod w14:val="75000"/>
                <w14:lumMod w14:val="75000"/>
                <w14:lumMod w14:val="75000"/>
              </w14:srgbClr>
            </w14:solidFill>
          </w14:textFill>
        </w:rPr>
        <w:t>,</w:t>
      </w:r>
      <w:r w:rsidRPr="00D973B2">
        <w:rPr>
          <w:rFonts w:eastAsia="Calibri"/>
          <w:color w:val="000000"/>
          <w:lang w:eastAsia="en-AU"/>
          <w14:textFill>
            <w14:solidFill>
              <w14:srgbClr w14:val="000000">
                <w14:lumMod w14:val="75000"/>
                <w14:lumMod w14:val="75000"/>
                <w14:lumMod w14:val="75000"/>
                <w14:lumMod w14:val="75000"/>
              </w14:srgbClr>
            </w14:solidFill>
          </w14:textFill>
        </w:rPr>
        <w:t xml:space="preserve"> Egypt: From Tetisheri to </w:t>
      </w:r>
      <w:proofErr w:type="spellStart"/>
      <w:r w:rsidRPr="00D973B2">
        <w:rPr>
          <w:rFonts w:eastAsia="Calibri"/>
          <w:color w:val="000000"/>
          <w:lang w:eastAsia="en-AU"/>
          <w14:textFill>
            <w14:solidFill>
              <w14:srgbClr w14:val="000000">
                <w14:lumMod w14:val="75000"/>
                <w14:lumMod w14:val="75000"/>
                <w14:lumMod w14:val="75000"/>
                <w14:lumMod w14:val="75000"/>
              </w14:srgbClr>
            </w14:solidFill>
          </w14:textFill>
        </w:rPr>
        <w:t>Tuthmosis</w:t>
      </w:r>
      <w:proofErr w:type="spellEnd"/>
      <w:r w:rsidRPr="00D973B2">
        <w:rPr>
          <w:rFonts w:eastAsia="Calibri"/>
          <w:color w:val="000000"/>
          <w:lang w:eastAsia="en-AU"/>
          <w14:textFill>
            <w14:solidFill>
              <w14:srgbClr w14:val="000000">
                <w14:lumMod w14:val="75000"/>
                <w14:lumMod w14:val="75000"/>
                <w14:lumMod w14:val="75000"/>
                <w14:lumMod w14:val="75000"/>
              </w14:srgbClr>
            </w14:solidFill>
          </w14:textFill>
        </w:rPr>
        <w:t xml:space="preserve"> III and Unit 4</w:t>
      </w:r>
      <w:r w:rsidR="00233A50">
        <w:rPr>
          <w:rFonts w:eastAsia="Calibri"/>
          <w:color w:val="000000"/>
          <w:lang w:eastAsia="en-AU"/>
          <w14:textFill>
            <w14:solidFill>
              <w14:srgbClr w14:val="000000">
                <w14:lumMod w14:val="75000"/>
                <w14:lumMod w14:val="75000"/>
                <w14:lumMod w14:val="75000"/>
                <w14:lumMod w14:val="75000"/>
              </w14:srgbClr>
            </w14:solidFill>
          </w14:textFill>
        </w:rPr>
        <w:t>,</w:t>
      </w:r>
      <w:r w:rsidRPr="00D973B2">
        <w:rPr>
          <w:rFonts w:eastAsia="Calibri"/>
          <w:color w:val="000000"/>
          <w:lang w:eastAsia="en-AU"/>
          <w14:textFill>
            <w14:solidFill>
              <w14:srgbClr w14:val="000000">
                <w14:lumMod w14:val="75000"/>
                <w14:lumMod w14:val="75000"/>
                <w14:lumMod w14:val="75000"/>
                <w14:lumMod w14:val="75000"/>
              </w14:srgbClr>
            </w14:solidFill>
          </w14:textFill>
        </w:rPr>
        <w:t xml:space="preserve"> Egypt: From Amenhotep II to Horemheb.</w:t>
      </w:r>
    </w:p>
    <w:p w14:paraId="14C9B23A" w14:textId="77777777" w:rsidR="006B2BA8" w:rsidRPr="00293088" w:rsidRDefault="006B2BA8" w:rsidP="00160180">
      <w:r w:rsidRPr="00293088">
        <w:t>Each unit includes:</w:t>
      </w:r>
    </w:p>
    <w:p w14:paraId="18C70D5A" w14:textId="77777777" w:rsidR="006B2BA8" w:rsidRPr="004D3420" w:rsidRDefault="006B2BA8" w:rsidP="008F7B45">
      <w:pPr>
        <w:pStyle w:val="SyllabusListParagraph"/>
        <w:numPr>
          <w:ilvl w:val="0"/>
          <w:numId w:val="10"/>
        </w:numPr>
      </w:pPr>
      <w:r w:rsidRPr="004D3420">
        <w:t>a unit description – a short description of the focus of the unit</w:t>
      </w:r>
    </w:p>
    <w:p w14:paraId="2757E49A" w14:textId="77777777" w:rsidR="004D3420" w:rsidRPr="00101842" w:rsidRDefault="004D3420" w:rsidP="008F7B45">
      <w:pPr>
        <w:pStyle w:val="SyllabusListParagraph"/>
        <w:numPr>
          <w:ilvl w:val="0"/>
          <w:numId w:val="10"/>
        </w:numPr>
      </w:pPr>
      <w:bookmarkStart w:id="7" w:name="_Toc359420699"/>
      <w:r w:rsidRPr="00101842">
        <w:t>unit content – the content to be taught and learned</w:t>
      </w:r>
    </w:p>
    <w:p w14:paraId="71E9B68B" w14:textId="05EC4909" w:rsidR="00B37393" w:rsidRDefault="00B37393" w:rsidP="008F7B45">
      <w:pPr>
        <w:pStyle w:val="SyllabusListParagraph"/>
        <w:numPr>
          <w:ilvl w:val="0"/>
          <w:numId w:val="10"/>
        </w:numPr>
      </w:pPr>
      <w:r w:rsidRPr="004D3420">
        <w:t>electives – the content is delivered through the chosen elective for each unit which focuses on a particular ancient society, significant individual, site, event or historical period.</w:t>
      </w:r>
    </w:p>
    <w:p w14:paraId="2E0CE117" w14:textId="77777777" w:rsidR="00293088" w:rsidRPr="00C97598" w:rsidRDefault="002279E8" w:rsidP="00120451">
      <w:pPr>
        <w:pStyle w:val="SyllabusHeading2"/>
      </w:pPr>
      <w:bookmarkStart w:id="8" w:name="_Toc140666012"/>
      <w:r w:rsidRPr="00C97598">
        <w:t>Organisation of content</w:t>
      </w:r>
      <w:bookmarkEnd w:id="7"/>
      <w:bookmarkEnd w:id="8"/>
    </w:p>
    <w:p w14:paraId="3F240D17" w14:textId="77777777" w:rsidR="00B37393" w:rsidRPr="00B37393" w:rsidRDefault="00802FFE" w:rsidP="002E42E8">
      <w:pPr>
        <w:rPr>
          <w:rFonts w:eastAsia="Calibri"/>
        </w:rPr>
      </w:pPr>
      <w:bookmarkStart w:id="9" w:name="_Toc359503795"/>
      <w:bookmarkStart w:id="10" w:name="_Toc359505487"/>
      <w:bookmarkStart w:id="11" w:name="_Toc359483686"/>
      <w:bookmarkStart w:id="12" w:name="_Toc359415277"/>
      <w:bookmarkStart w:id="13" w:name="_Toc347908213"/>
      <w:bookmarkEnd w:id="3"/>
      <w:r>
        <w:rPr>
          <w:rFonts w:eastAsia="Calibri"/>
        </w:rPr>
        <w:t>T</w:t>
      </w:r>
      <w:r w:rsidRPr="00802FFE">
        <w:rPr>
          <w:rFonts w:eastAsia="Calibri"/>
        </w:rPr>
        <w:t>he Ancient History ATAR course</w:t>
      </w:r>
      <w:r>
        <w:t xml:space="preserve"> </w:t>
      </w:r>
      <w:r w:rsidR="00B37393" w:rsidRPr="00B37393">
        <w:rPr>
          <w:rFonts w:eastAsia="Calibri"/>
        </w:rPr>
        <w:t xml:space="preserve">continues to develop student learning in history through the two </w:t>
      </w:r>
      <w:r w:rsidR="00CC648F">
        <w:rPr>
          <w:rFonts w:eastAsia="Calibri"/>
        </w:rPr>
        <w:t xml:space="preserve">interrelated </w:t>
      </w:r>
      <w:r w:rsidR="00B37393" w:rsidRPr="00B37393">
        <w:rPr>
          <w:rFonts w:eastAsia="Calibri"/>
        </w:rPr>
        <w:t xml:space="preserve">strands of </w:t>
      </w:r>
      <w:r w:rsidR="00B37393" w:rsidRPr="0070039F">
        <w:rPr>
          <w:rFonts w:eastAsia="Calibri"/>
        </w:rPr>
        <w:t>Historical Knowledge and Understanding,</w:t>
      </w:r>
      <w:r w:rsidR="00B37393" w:rsidRPr="00B37393">
        <w:rPr>
          <w:rFonts w:eastAsia="Calibri"/>
        </w:rPr>
        <w:t xml:space="preserve"> and </w:t>
      </w:r>
      <w:r w:rsidR="00B37393" w:rsidRPr="0070039F">
        <w:rPr>
          <w:rFonts w:eastAsia="Calibri"/>
        </w:rPr>
        <w:t>Historical Skills</w:t>
      </w:r>
      <w:r w:rsidR="00B37393" w:rsidRPr="00B37393">
        <w:rPr>
          <w:rFonts w:eastAsia="Calibri"/>
        </w:rPr>
        <w:t>. This strand organisation provides an opportunity to integrate content in flexible and meaningful ways.</w:t>
      </w:r>
    </w:p>
    <w:p w14:paraId="65170E1C" w14:textId="77777777" w:rsidR="00EB450D" w:rsidRPr="00293088" w:rsidRDefault="006E0B80" w:rsidP="00120451">
      <w:pPr>
        <w:pStyle w:val="SyllabusHeading3"/>
      </w:pPr>
      <w:r>
        <w:t>Historical Knowledge and Understanding</w:t>
      </w:r>
    </w:p>
    <w:p w14:paraId="40853172" w14:textId="53877DDF" w:rsidR="00120451" w:rsidRDefault="00B37393" w:rsidP="002E42E8">
      <w:pPr>
        <w:rPr>
          <w:rFonts w:eastAsia="Calibri" w:cs="Calibri"/>
        </w:rPr>
      </w:pPr>
      <w:r w:rsidRPr="00B37393">
        <w:rPr>
          <w:rFonts w:eastAsia="Calibri" w:cs="Calibri"/>
        </w:rPr>
        <w:t xml:space="preserve">This strand focuses on knowledge and understanding of key institutions, structures and features of ancient societies through the study of significant periods, events, developments and individuals. Historical understanding is developed through concepts that define history as a discipline, including evidence, continuity and change, cause and effect, significance, </w:t>
      </w:r>
      <w:r w:rsidRPr="00A07902">
        <w:rPr>
          <w:rFonts w:eastAsia="Calibri" w:cs="Calibri"/>
        </w:rPr>
        <w:t>empathy,</w:t>
      </w:r>
      <w:r w:rsidRPr="00B37393">
        <w:rPr>
          <w:rFonts w:eastAsia="Calibri" w:cs="Calibri"/>
        </w:rPr>
        <w:t xml:space="preserve"> p</w:t>
      </w:r>
      <w:r w:rsidR="001D6E2C">
        <w:rPr>
          <w:rFonts w:eastAsia="Calibri" w:cs="Calibri"/>
        </w:rPr>
        <w:t>erspectives</w:t>
      </w:r>
      <w:r w:rsidR="00815555">
        <w:rPr>
          <w:rFonts w:eastAsia="Calibri" w:cs="Calibri"/>
        </w:rPr>
        <w:t>, interpretations and representations</w:t>
      </w:r>
      <w:r w:rsidR="001D6E2C">
        <w:rPr>
          <w:rFonts w:eastAsia="Calibri" w:cs="Calibri"/>
        </w:rPr>
        <w:t>.</w:t>
      </w:r>
    </w:p>
    <w:p w14:paraId="55FAF89C" w14:textId="77777777" w:rsidR="00120451" w:rsidRDefault="00120451">
      <w:pPr>
        <w:rPr>
          <w:rFonts w:eastAsia="Calibri" w:cs="Calibri"/>
        </w:rPr>
      </w:pPr>
      <w:r>
        <w:rPr>
          <w:rFonts w:eastAsia="Calibri" w:cs="Calibri"/>
        </w:rPr>
        <w:br w:type="page"/>
      </w:r>
    </w:p>
    <w:p w14:paraId="50C6C41F" w14:textId="30DDBF3D" w:rsidR="00EB450D" w:rsidRPr="00293088" w:rsidRDefault="00B37393" w:rsidP="00120451">
      <w:pPr>
        <w:pStyle w:val="SyllabusHeading3"/>
      </w:pPr>
      <w:r w:rsidRPr="00B37393">
        <w:lastRenderedPageBreak/>
        <w:t>Historical Skills</w:t>
      </w:r>
    </w:p>
    <w:p w14:paraId="24A835EA" w14:textId="5AAC18CE" w:rsidR="00B41B40" w:rsidRDefault="00B41B40" w:rsidP="00B41B40">
      <w:pPr>
        <w:pStyle w:val="Paragraph"/>
        <w:rPr>
          <w:rFonts w:ascii="Calibri" w:hAnsi="Calibri"/>
          <w:color w:val="auto"/>
        </w:rPr>
      </w:pPr>
      <w:bookmarkStart w:id="14" w:name="_Hlk126681019"/>
      <w:r>
        <w:rPr>
          <w:rFonts w:ascii="Calibri" w:hAnsi="Calibri"/>
          <w:color w:val="auto"/>
        </w:rPr>
        <w:t>This strand presents</w:t>
      </w:r>
      <w:r w:rsidRPr="00FA01F9">
        <w:rPr>
          <w:rFonts w:ascii="Calibri" w:hAnsi="Calibri"/>
          <w:color w:val="auto"/>
        </w:rPr>
        <w:t xml:space="preserve"> </w:t>
      </w:r>
      <w:r>
        <w:rPr>
          <w:rFonts w:ascii="Calibri" w:hAnsi="Calibri"/>
          <w:color w:val="auto"/>
        </w:rPr>
        <w:t>historical skills, including</w:t>
      </w:r>
      <w:r w:rsidRPr="00FA01F9">
        <w:rPr>
          <w:rFonts w:ascii="Calibri" w:hAnsi="Calibri"/>
          <w:color w:val="auto"/>
        </w:rPr>
        <w:t xml:space="preserve"> skills</w:t>
      </w:r>
      <w:r>
        <w:rPr>
          <w:rFonts w:ascii="Calibri" w:hAnsi="Calibri"/>
          <w:color w:val="auto"/>
        </w:rPr>
        <w:t xml:space="preserve"> that are used in historical inquiry. There are five key skills</w:t>
      </w:r>
      <w:r w:rsidR="00891A4A">
        <w:rPr>
          <w:rFonts w:ascii="Calibri" w:hAnsi="Calibri"/>
          <w:color w:val="auto"/>
        </w:rPr>
        <w:t xml:space="preserve"> areas</w:t>
      </w:r>
      <w:r>
        <w:rPr>
          <w:rFonts w:ascii="Calibri" w:hAnsi="Calibri"/>
          <w:color w:val="auto"/>
        </w:rPr>
        <w:t xml:space="preserve"> that build on those learned in the Years 7–10 Humanities and Social Sciences curriculum and which continue to be developed in the </w:t>
      </w:r>
      <w:r w:rsidR="00A665D8">
        <w:rPr>
          <w:rFonts w:ascii="Calibri" w:hAnsi="Calibri"/>
          <w:color w:val="auto"/>
        </w:rPr>
        <w:t>Ancient</w:t>
      </w:r>
      <w:r>
        <w:rPr>
          <w:rFonts w:ascii="Calibri" w:hAnsi="Calibri"/>
          <w:color w:val="auto"/>
        </w:rPr>
        <w:t xml:space="preserve"> History ATAR course. There is an emphasis through this strand on the development of informed and defensible responses to inquiry questions through a critical use of sources</w:t>
      </w:r>
      <w:r w:rsidRPr="00FA01F9">
        <w:rPr>
          <w:rFonts w:ascii="Calibri" w:hAnsi="Calibri"/>
          <w:color w:val="auto"/>
        </w:rPr>
        <w:t xml:space="preserve">. </w:t>
      </w:r>
    </w:p>
    <w:p w14:paraId="64291E0F" w14:textId="17408A87" w:rsidR="00B41B40" w:rsidRPr="00FA01F9" w:rsidRDefault="00B41B40" w:rsidP="00B41B40">
      <w:pPr>
        <w:pStyle w:val="Paragraph"/>
        <w:rPr>
          <w:rFonts w:ascii="Calibri" w:hAnsi="Calibri"/>
          <w:color w:val="auto"/>
        </w:rPr>
      </w:pPr>
      <w:r w:rsidRPr="00FA01F9">
        <w:rPr>
          <w:rFonts w:ascii="Calibri" w:hAnsi="Calibri"/>
          <w:color w:val="auto"/>
        </w:rPr>
        <w:t>The</w:t>
      </w:r>
      <w:r>
        <w:rPr>
          <w:rFonts w:ascii="Calibri" w:hAnsi="Calibri"/>
          <w:color w:val="auto"/>
        </w:rPr>
        <w:t>se</w:t>
      </w:r>
      <w:r w:rsidRPr="00FA01F9">
        <w:rPr>
          <w:rFonts w:ascii="Calibri" w:hAnsi="Calibri"/>
          <w:color w:val="auto"/>
        </w:rPr>
        <w:t xml:space="preserve"> key skill</w:t>
      </w:r>
      <w:r w:rsidR="00891A4A">
        <w:rPr>
          <w:rFonts w:ascii="Calibri" w:hAnsi="Calibri"/>
          <w:color w:val="auto"/>
        </w:rPr>
        <w:t>s</w:t>
      </w:r>
      <w:r w:rsidRPr="00FA01F9">
        <w:rPr>
          <w:rFonts w:ascii="Calibri" w:hAnsi="Calibri"/>
          <w:color w:val="auto"/>
        </w:rPr>
        <w:t xml:space="preserve"> areas </w:t>
      </w:r>
      <w:r>
        <w:rPr>
          <w:rFonts w:ascii="Calibri" w:hAnsi="Calibri"/>
          <w:color w:val="auto"/>
        </w:rPr>
        <w:t>are</w:t>
      </w:r>
      <w:r w:rsidRPr="00FA01F9">
        <w:rPr>
          <w:rFonts w:ascii="Calibri" w:hAnsi="Calibri"/>
          <w:color w:val="auto"/>
        </w:rPr>
        <w:t>:</w:t>
      </w:r>
    </w:p>
    <w:bookmarkEnd w:id="14"/>
    <w:p w14:paraId="18730D4D" w14:textId="77777777" w:rsidR="00B41B40" w:rsidRDefault="00B41B40" w:rsidP="00B41B40">
      <w:pPr>
        <w:pStyle w:val="Paragraph"/>
        <w:numPr>
          <w:ilvl w:val="0"/>
          <w:numId w:val="74"/>
        </w:numPr>
        <w:spacing w:before="0"/>
        <w:ind w:left="357" w:hanging="357"/>
        <w:rPr>
          <w:rFonts w:ascii="Calibri" w:hAnsi="Calibri"/>
          <w:color w:val="auto"/>
        </w:rPr>
      </w:pPr>
      <w:r>
        <w:rPr>
          <w:rFonts w:ascii="Calibri" w:hAnsi="Calibri"/>
          <w:color w:val="auto"/>
        </w:rPr>
        <w:t>chronology, terms and concepts</w:t>
      </w:r>
    </w:p>
    <w:p w14:paraId="10D21360" w14:textId="77777777" w:rsidR="00B41B40" w:rsidRDefault="00B41B40" w:rsidP="00B41B40">
      <w:pPr>
        <w:pStyle w:val="Paragraph"/>
        <w:numPr>
          <w:ilvl w:val="0"/>
          <w:numId w:val="74"/>
        </w:numPr>
        <w:spacing w:before="0"/>
        <w:ind w:left="357" w:hanging="357"/>
        <w:rPr>
          <w:rFonts w:ascii="Calibri" w:hAnsi="Calibri"/>
          <w:color w:val="auto"/>
        </w:rPr>
      </w:pPr>
      <w:r w:rsidRPr="00F82D06">
        <w:rPr>
          <w:rFonts w:ascii="Calibri" w:hAnsi="Calibri"/>
          <w:color w:val="auto"/>
        </w:rPr>
        <w:t>historical questions an</w:t>
      </w:r>
      <w:r>
        <w:rPr>
          <w:rFonts w:ascii="Calibri" w:hAnsi="Calibri"/>
          <w:color w:val="auto"/>
        </w:rPr>
        <w:t>d research</w:t>
      </w:r>
    </w:p>
    <w:p w14:paraId="663DF987" w14:textId="77777777" w:rsidR="00B41B40" w:rsidRDefault="00B41B40" w:rsidP="00B41B40">
      <w:pPr>
        <w:pStyle w:val="Paragraph"/>
        <w:numPr>
          <w:ilvl w:val="0"/>
          <w:numId w:val="74"/>
        </w:numPr>
        <w:spacing w:before="0"/>
        <w:ind w:left="357" w:hanging="357"/>
        <w:rPr>
          <w:rFonts w:ascii="Calibri" w:hAnsi="Calibri"/>
          <w:color w:val="auto"/>
        </w:rPr>
      </w:pPr>
      <w:r>
        <w:rPr>
          <w:rFonts w:ascii="Calibri" w:hAnsi="Calibri"/>
          <w:color w:val="auto"/>
        </w:rPr>
        <w:t>analysis and use of sources</w:t>
      </w:r>
    </w:p>
    <w:p w14:paraId="729A9DF6" w14:textId="77777777" w:rsidR="00B41B40" w:rsidRDefault="00B41B40" w:rsidP="00B41B40">
      <w:pPr>
        <w:pStyle w:val="Paragraph"/>
        <w:numPr>
          <w:ilvl w:val="0"/>
          <w:numId w:val="74"/>
        </w:numPr>
        <w:spacing w:before="0"/>
        <w:ind w:left="357" w:hanging="357"/>
        <w:rPr>
          <w:rFonts w:ascii="Calibri" w:hAnsi="Calibri"/>
          <w:color w:val="auto"/>
        </w:rPr>
      </w:pPr>
      <w:r w:rsidRPr="00F82D06">
        <w:rPr>
          <w:rFonts w:ascii="Calibri" w:hAnsi="Calibri"/>
          <w:color w:val="auto"/>
        </w:rPr>
        <w:t>p</w:t>
      </w:r>
      <w:r>
        <w:rPr>
          <w:rFonts w:ascii="Calibri" w:hAnsi="Calibri"/>
          <w:color w:val="auto"/>
        </w:rPr>
        <w:t>erspectives and interpretations</w:t>
      </w:r>
      <w:r w:rsidRPr="00FA01F9">
        <w:rPr>
          <w:rFonts w:ascii="Calibri" w:hAnsi="Calibri"/>
          <w:strike/>
          <w:color w:val="auto"/>
        </w:rPr>
        <w:t xml:space="preserve"> </w:t>
      </w:r>
    </w:p>
    <w:p w14:paraId="244B842B" w14:textId="642F8CC8" w:rsidR="00B41B40" w:rsidRPr="00891A4A" w:rsidRDefault="00B41B40" w:rsidP="00B41B40">
      <w:pPr>
        <w:pStyle w:val="Paragraph"/>
        <w:numPr>
          <w:ilvl w:val="0"/>
          <w:numId w:val="74"/>
        </w:numPr>
        <w:spacing w:before="0"/>
        <w:ind w:left="357" w:hanging="357"/>
        <w:rPr>
          <w:rFonts w:ascii="Calibri" w:hAnsi="Calibri"/>
          <w:color w:val="auto"/>
        </w:rPr>
      </w:pPr>
      <w:r w:rsidRPr="00FA01F9">
        <w:rPr>
          <w:rFonts w:ascii="Calibri" w:hAnsi="Calibri"/>
          <w:color w:val="auto"/>
        </w:rPr>
        <w:t>explanation</w:t>
      </w:r>
      <w:r w:rsidRPr="00292EF4">
        <w:rPr>
          <w:rFonts w:ascii="Calibri" w:hAnsi="Calibri"/>
          <w:color w:val="auto"/>
        </w:rPr>
        <w:t xml:space="preserve"> and communication. </w:t>
      </w:r>
    </w:p>
    <w:p w14:paraId="6F3AC76D" w14:textId="77777777" w:rsidR="00EB450D" w:rsidRPr="00293088" w:rsidRDefault="00B37393" w:rsidP="00120451">
      <w:pPr>
        <w:pStyle w:val="SyllabusHeading3"/>
      </w:pPr>
      <w:r w:rsidRPr="00B37393">
        <w:t>Relationships between the strands</w:t>
      </w:r>
    </w:p>
    <w:p w14:paraId="3D01964F" w14:textId="77777777" w:rsidR="00B37393" w:rsidRPr="00360960" w:rsidRDefault="00B37393" w:rsidP="002E42E8">
      <w:pPr>
        <w:rPr>
          <w:rFonts w:eastAsia="Calibri"/>
        </w:rPr>
      </w:pPr>
      <w:r w:rsidRPr="00B37393">
        <w:rPr>
          <w:rFonts w:eastAsia="Calibri" w:cs="Calibri"/>
        </w:rPr>
        <w:t xml:space="preserve">The two strands are interrelated and the content enables integration of the strands in the development of a teaching and learning program. The </w:t>
      </w:r>
      <w:r w:rsidRPr="0070039F">
        <w:rPr>
          <w:rFonts w:eastAsia="Calibri" w:cs="Calibri"/>
        </w:rPr>
        <w:t>Historical Knowledge and Understanding</w:t>
      </w:r>
      <w:r w:rsidRPr="00794BA3">
        <w:rPr>
          <w:rFonts w:eastAsia="Calibri" w:cs="Calibri"/>
        </w:rPr>
        <w:t xml:space="preserve"> </w:t>
      </w:r>
      <w:r w:rsidRPr="00B37393">
        <w:rPr>
          <w:rFonts w:eastAsia="Calibri" w:cs="Calibri"/>
        </w:rPr>
        <w:t>strand provides the contexts through which particular skills are to be developed. The same set of</w:t>
      </w:r>
      <w:r w:rsidRPr="00794BA3">
        <w:rPr>
          <w:rFonts w:eastAsia="Calibri" w:cs="Calibri"/>
        </w:rPr>
        <w:t xml:space="preserve"> historical skills is included in each of the units to provide a common focus for the teaching and learning of content in the Historical Knowledge and Understanding strand.</w:t>
      </w:r>
    </w:p>
    <w:p w14:paraId="00F03C54" w14:textId="77777777" w:rsidR="003B3ECB" w:rsidRPr="00360960" w:rsidRDefault="003B3ECB" w:rsidP="00120451">
      <w:pPr>
        <w:pStyle w:val="SyllabusHeading2"/>
      </w:pPr>
      <w:bookmarkStart w:id="15" w:name="_Toc140666013"/>
      <w:bookmarkEnd w:id="9"/>
      <w:bookmarkEnd w:id="10"/>
      <w:r w:rsidRPr="00360960">
        <w:t xml:space="preserve">Representation of </w:t>
      </w:r>
      <w:r w:rsidR="00C3079F" w:rsidRPr="00360960">
        <w:t xml:space="preserve">the </w:t>
      </w:r>
      <w:r w:rsidRPr="00360960">
        <w:t>general capabilities</w:t>
      </w:r>
      <w:bookmarkEnd w:id="11"/>
      <w:bookmarkEnd w:id="12"/>
      <w:bookmarkEnd w:id="15"/>
      <w:r w:rsidR="00092B73" w:rsidRPr="00360960">
        <w:t xml:space="preserve"> </w:t>
      </w:r>
    </w:p>
    <w:p w14:paraId="1B471E03" w14:textId="77777777" w:rsidR="009D48B2" w:rsidRPr="00A10CC6" w:rsidRDefault="006B2BA8" w:rsidP="00A10CC6">
      <w:r w:rsidRPr="00360960">
        <w:rPr>
          <w:rFonts w:eastAsia="Calibri" w:cs="Calibri"/>
        </w:rPr>
        <w:t>The general capabilities encompass the knowledge, skill</w:t>
      </w:r>
      <w:r w:rsidR="00AC4A31" w:rsidRPr="00360960">
        <w:rPr>
          <w:rFonts w:eastAsia="Calibri" w:cs="Calibri"/>
        </w:rPr>
        <w:t>s</w:t>
      </w:r>
      <w:r w:rsidRPr="00360960">
        <w:rPr>
          <w:rFonts w:eastAsia="Calibri" w:cs="Calibri"/>
        </w:rPr>
        <w:t xml:space="preserve">, behaviours </w:t>
      </w:r>
      <w:r w:rsidRPr="00794BA3">
        <w:rPr>
          <w:rFonts w:eastAsia="Calibri" w:cs="Calibri"/>
        </w:rPr>
        <w:t>and dispositions that</w:t>
      </w:r>
      <w:r w:rsidR="00C866D6" w:rsidRPr="00794BA3">
        <w:rPr>
          <w:rFonts w:eastAsia="Calibri" w:cs="Calibri"/>
        </w:rPr>
        <w:t xml:space="preserve"> will assist </w:t>
      </w:r>
      <w:r w:rsidRPr="00794BA3">
        <w:rPr>
          <w:rFonts w:eastAsia="Calibri" w:cs="Calibri"/>
        </w:rPr>
        <w:t xml:space="preserve">students to live and work successfully in the twenty-first century. </w:t>
      </w:r>
      <w:r w:rsidR="00A10CC6">
        <w:rPr>
          <w:rFonts w:eastAsia="Calibri" w:cs="Calibri"/>
        </w:rPr>
        <w:t>Teachers may</w:t>
      </w:r>
      <w:r w:rsidR="009D48B2" w:rsidRPr="00794BA3">
        <w:rPr>
          <w:rFonts w:eastAsia="Calibri" w:cs="Calibri"/>
        </w:rPr>
        <w:t xml:space="preserve"> find opportunities to incorporate the capabilities </w:t>
      </w:r>
      <w:r w:rsidR="00B55E7D">
        <w:rPr>
          <w:rFonts w:eastAsia="Calibri" w:cs="Calibri"/>
        </w:rPr>
        <w:t xml:space="preserve">into the teaching, </w:t>
      </w:r>
      <w:r w:rsidR="00AC4A31" w:rsidRPr="00794BA3">
        <w:rPr>
          <w:rFonts w:eastAsia="Calibri" w:cs="Calibri"/>
        </w:rPr>
        <w:t xml:space="preserve">learning </w:t>
      </w:r>
      <w:r w:rsidR="00B55E7D">
        <w:rPr>
          <w:rFonts w:eastAsia="Calibri" w:cs="Calibri"/>
        </w:rPr>
        <w:t xml:space="preserve">and assessment </w:t>
      </w:r>
      <w:r w:rsidR="00AC4A31" w:rsidRPr="00794BA3">
        <w:rPr>
          <w:rFonts w:eastAsia="Calibri" w:cs="Calibri"/>
        </w:rPr>
        <w:t xml:space="preserve">program for </w:t>
      </w:r>
      <w:r w:rsidR="00802FFE" w:rsidRPr="00802FFE">
        <w:rPr>
          <w:rFonts w:eastAsia="Calibri" w:cs="Calibri"/>
        </w:rPr>
        <w:t>the Ancient History ATAR course</w:t>
      </w:r>
      <w:r w:rsidR="00AC4A31" w:rsidRPr="00794BA3">
        <w:rPr>
          <w:rFonts w:eastAsia="Calibri" w:cs="Calibri"/>
        </w:rPr>
        <w:t>.</w:t>
      </w:r>
      <w:r w:rsidR="00A10CC6" w:rsidRPr="00A10CC6">
        <w:t xml:space="preserve"> </w:t>
      </w:r>
      <w:r w:rsidR="00A10CC6">
        <w:t>The general capabilities are not assessed unless they are identified within the specified unit content.</w:t>
      </w:r>
    </w:p>
    <w:p w14:paraId="1257151D" w14:textId="77777777" w:rsidR="00BD3707" w:rsidRPr="00120451" w:rsidRDefault="00BD3707" w:rsidP="00120451">
      <w:pPr>
        <w:pStyle w:val="SyllabusHeading3"/>
      </w:pPr>
      <w:r w:rsidRPr="00120451">
        <w:t>Literacy</w:t>
      </w:r>
    </w:p>
    <w:p w14:paraId="31D1A51B" w14:textId="399471FC" w:rsidR="00891A4A" w:rsidRDefault="00B37393" w:rsidP="002E42E8">
      <w:pPr>
        <w:rPr>
          <w:rFonts w:eastAsia="Calibri" w:cs="Calibri"/>
        </w:rPr>
      </w:pPr>
      <w:r w:rsidRPr="00794BA3">
        <w:rPr>
          <w:rFonts w:eastAsia="Calibri" w:cs="Calibri"/>
        </w:rPr>
        <w:t>Literacy is of fundamen</w:t>
      </w:r>
      <w:r w:rsidR="00557DEE">
        <w:rPr>
          <w:rFonts w:eastAsia="Calibri" w:cs="Calibri"/>
        </w:rPr>
        <w:t>tal importance in the study of a</w:t>
      </w:r>
      <w:r w:rsidRPr="00794BA3">
        <w:rPr>
          <w:rFonts w:eastAsia="Calibri" w:cs="Calibri"/>
        </w:rPr>
        <w:t xml:space="preserve">ncient </w:t>
      </w:r>
      <w:r w:rsidR="00557DEE">
        <w:rPr>
          <w:rFonts w:eastAsia="Calibri" w:cs="Calibri"/>
        </w:rPr>
        <w:t>h</w:t>
      </w:r>
      <w:r w:rsidRPr="00794BA3">
        <w:rPr>
          <w:rFonts w:eastAsia="Calibri" w:cs="Calibri"/>
        </w:rPr>
        <w:t>istory. Students access historical content through a variety of print, oral, visual, spatial and electronic forms, including inscriptions, reliefs, accounts of the past by ancient writers, photographs, films, artefacts, sites and archiv</w:t>
      </w:r>
      <w:r w:rsidR="00A665D8">
        <w:rPr>
          <w:rFonts w:eastAsia="Calibri" w:cs="Calibri"/>
        </w:rPr>
        <w:t>al</w:t>
      </w:r>
      <w:r w:rsidRPr="00794BA3">
        <w:rPr>
          <w:rFonts w:eastAsia="Calibri" w:cs="Calibri"/>
        </w:rPr>
        <w:t xml:space="preserve"> material. They learn to interpret and extrapolate meaning from a variety of sources to identify evidence. They analyse and evaluate texts for authority, reliability, relevance and accuracy. </w:t>
      </w:r>
      <w:r w:rsidR="00D43EBD" w:rsidRPr="00B55E7D">
        <w:rPr>
          <w:rFonts w:eastAsia="Calibri" w:cs="Calibri"/>
        </w:rPr>
        <w:t xml:space="preserve">Ancient history </w:t>
      </w:r>
      <w:r w:rsidR="00D43EBD">
        <w:rPr>
          <w:rFonts w:eastAsia="Calibri" w:cs="Calibri"/>
        </w:rPr>
        <w:t>s</w:t>
      </w:r>
      <w:r w:rsidRPr="00794BA3">
        <w:rPr>
          <w:rFonts w:eastAsia="Calibri" w:cs="Calibri"/>
        </w:rPr>
        <w:t xml:space="preserve">tudents have opportunities to create a wide range of texts to communicate, explore, discuss, explain and argue a point of view, </w:t>
      </w:r>
      <w:r w:rsidR="00B55E7D" w:rsidRPr="00B55E7D">
        <w:rPr>
          <w:rFonts w:eastAsia="Calibri" w:cs="Calibri"/>
        </w:rPr>
        <w:t xml:space="preserve">and </w:t>
      </w:r>
      <w:r w:rsidRPr="00794BA3">
        <w:rPr>
          <w:rFonts w:eastAsia="Calibri" w:cs="Calibri"/>
        </w:rPr>
        <w:t>to express their thoughts and ideas logically and fluently, supported by evidence. They learn to monitor their own language use for accuracy in the use of historical terms, clarity of ideas and explanations</w:t>
      </w:r>
      <w:r w:rsidR="00C93BBE">
        <w:rPr>
          <w:rFonts w:eastAsia="Calibri" w:cs="Calibri"/>
        </w:rPr>
        <w:t xml:space="preserve"> and </w:t>
      </w:r>
      <w:r w:rsidRPr="00794BA3">
        <w:rPr>
          <w:rFonts w:eastAsia="Calibri" w:cs="Calibri"/>
        </w:rPr>
        <w:t>conciseness of expression</w:t>
      </w:r>
      <w:r w:rsidR="00C93BBE">
        <w:rPr>
          <w:rFonts w:eastAsia="Calibri" w:cs="Calibri"/>
        </w:rPr>
        <w:t>. They learn to</w:t>
      </w:r>
      <w:r w:rsidR="00777501">
        <w:rPr>
          <w:rFonts w:eastAsia="Calibri" w:cs="Calibri"/>
        </w:rPr>
        <w:t xml:space="preserve"> </w:t>
      </w:r>
      <w:r w:rsidRPr="00794BA3">
        <w:rPr>
          <w:rFonts w:eastAsia="Calibri" w:cs="Calibri"/>
        </w:rPr>
        <w:t>use language effecti</w:t>
      </w:r>
      <w:r w:rsidR="002275E3">
        <w:rPr>
          <w:rFonts w:eastAsia="Calibri" w:cs="Calibri"/>
        </w:rPr>
        <w:t>vely to articulate a position.</w:t>
      </w:r>
      <w:r w:rsidR="00891A4A">
        <w:rPr>
          <w:rFonts w:eastAsia="Calibri" w:cs="Calibri"/>
        </w:rPr>
        <w:br w:type="page"/>
      </w:r>
    </w:p>
    <w:p w14:paraId="52B7DB68" w14:textId="77777777" w:rsidR="00C866D6" w:rsidRPr="00120451" w:rsidRDefault="00BD3707" w:rsidP="00120451">
      <w:pPr>
        <w:pStyle w:val="SyllabusHeading3"/>
      </w:pPr>
      <w:r w:rsidRPr="00120451">
        <w:lastRenderedPageBreak/>
        <w:t>Numeracy</w:t>
      </w:r>
    </w:p>
    <w:p w14:paraId="7268F7C3" w14:textId="77777777" w:rsidR="00B37393" w:rsidRPr="00794BA3" w:rsidRDefault="00B37393" w:rsidP="002E42E8">
      <w:pPr>
        <w:rPr>
          <w:rFonts w:eastAsia="Calibri"/>
        </w:rPr>
      </w:pPr>
      <w:r w:rsidRPr="00794BA3">
        <w:rPr>
          <w:rFonts w:eastAsia="Calibri" w:cs="Calibri"/>
        </w:rPr>
        <w:t>Numeracy is useful in the historical inquiry process, which requires students to recognise patterns and relationships chronologically and spatially through the use of scaled timelines and maps. Students have opportunities to support their views with data, some of which is numerical in nature. They develop numeracy capability when they analyse, interpret and draw conclusions from statistical information, for example</w:t>
      </w:r>
      <w:r w:rsidR="000D1320">
        <w:rPr>
          <w:rFonts w:eastAsia="Calibri" w:cs="Calibri"/>
        </w:rPr>
        <w:t>,</w:t>
      </w:r>
      <w:r w:rsidRPr="00794BA3">
        <w:rPr>
          <w:rFonts w:eastAsia="Calibri" w:cs="Calibri"/>
        </w:rPr>
        <w:t xml:space="preserve"> i</w:t>
      </w:r>
      <w:r w:rsidR="002275E3">
        <w:rPr>
          <w:rFonts w:eastAsia="Calibri" w:cs="Calibri"/>
        </w:rPr>
        <w:t>n relation to change over time.</w:t>
      </w:r>
    </w:p>
    <w:p w14:paraId="3FF5E73B" w14:textId="77777777" w:rsidR="00BD3707" w:rsidRPr="00120451" w:rsidRDefault="00BD3707" w:rsidP="00120451">
      <w:pPr>
        <w:pStyle w:val="SyllabusHeading3"/>
      </w:pPr>
      <w:r w:rsidRPr="00120451">
        <w:t>Informatio</w:t>
      </w:r>
      <w:r w:rsidR="00CC648F" w:rsidRPr="00120451">
        <w:t xml:space="preserve">n and communication technology </w:t>
      </w:r>
      <w:r w:rsidRPr="00120451">
        <w:t>capability</w:t>
      </w:r>
    </w:p>
    <w:p w14:paraId="57B491C8" w14:textId="6ECEA0E0" w:rsidR="00B37393" w:rsidRPr="00794BA3" w:rsidRDefault="00B37393" w:rsidP="002E42E8">
      <w:pPr>
        <w:rPr>
          <w:rFonts w:eastAsia="Calibri"/>
        </w:rPr>
      </w:pPr>
      <w:r w:rsidRPr="00794BA3">
        <w:rPr>
          <w:rFonts w:eastAsia="Calibri" w:cs="Calibri"/>
        </w:rPr>
        <w:t xml:space="preserve">Information and </w:t>
      </w:r>
      <w:r w:rsidR="00CA52D5" w:rsidRPr="00794BA3">
        <w:rPr>
          <w:rFonts w:eastAsia="Calibri" w:cs="Calibri"/>
        </w:rPr>
        <w:t>c</w:t>
      </w:r>
      <w:r w:rsidRPr="00794BA3">
        <w:rPr>
          <w:rFonts w:eastAsia="Calibri" w:cs="Calibri"/>
        </w:rPr>
        <w:t xml:space="preserve">ommunication </w:t>
      </w:r>
      <w:r w:rsidR="00CA52D5" w:rsidRPr="00794BA3">
        <w:rPr>
          <w:rFonts w:eastAsia="Calibri" w:cs="Calibri"/>
        </w:rPr>
        <w:t>t</w:t>
      </w:r>
      <w:r w:rsidRPr="00794BA3">
        <w:rPr>
          <w:rFonts w:eastAsia="Calibri" w:cs="Calibri"/>
        </w:rPr>
        <w:t xml:space="preserve">echnology (ICT) capability is important in the </w:t>
      </w:r>
      <w:r w:rsidR="00B55E7D">
        <w:rPr>
          <w:rFonts w:eastAsia="Calibri" w:cs="Calibri"/>
        </w:rPr>
        <w:t xml:space="preserve">historical </w:t>
      </w:r>
      <w:r w:rsidRPr="00794BA3">
        <w:rPr>
          <w:rFonts w:eastAsia="Calibri" w:cs="Calibri"/>
        </w:rPr>
        <w:t>inquiry process, particularly in relation to investigation, analysis and communication. Students use digital tools and strategies to locate, access, process and analyse information. They use ICT skills and understandings to investigate and identify the provenance and credibility of evidence and to communicate historical information. Students have opportunities to scrutinise websites and the interpretations and representations of the past they convey, including how and why such sites are constructed, the audiences they serve and their goals in</w:t>
      </w:r>
      <w:r w:rsidR="00233A50">
        <w:rPr>
          <w:rFonts w:eastAsia="Calibri" w:cs="Calibri"/>
        </w:rPr>
        <w:t>;</w:t>
      </w:r>
      <w:r w:rsidRPr="00794BA3">
        <w:rPr>
          <w:rFonts w:eastAsia="Calibri" w:cs="Calibri"/>
        </w:rPr>
        <w:t xml:space="preserve"> for example, preservation, education, </w:t>
      </w:r>
      <w:r w:rsidR="0013253E">
        <w:rPr>
          <w:rFonts w:eastAsia="Calibri" w:cs="Calibri"/>
        </w:rPr>
        <w:t xml:space="preserve">and </w:t>
      </w:r>
      <w:r w:rsidRPr="00794BA3">
        <w:rPr>
          <w:rFonts w:eastAsia="Calibri" w:cs="Calibri"/>
        </w:rPr>
        <w:t>scholarship. They develop an understanding of the issues involved in the use of ICT when practising ethical scholarship as part of the historical inquiry</w:t>
      </w:r>
      <w:r w:rsidR="002275E3">
        <w:rPr>
          <w:rFonts w:eastAsia="Calibri" w:cs="Calibri"/>
        </w:rPr>
        <w:t xml:space="preserve"> process.</w:t>
      </w:r>
    </w:p>
    <w:p w14:paraId="45498D35" w14:textId="77777777" w:rsidR="00BD3707" w:rsidRPr="00120451" w:rsidRDefault="00BD3707" w:rsidP="00120451">
      <w:pPr>
        <w:pStyle w:val="SyllabusHeading3"/>
      </w:pPr>
      <w:r w:rsidRPr="00120451">
        <w:t>Critical and creative thinking</w:t>
      </w:r>
    </w:p>
    <w:p w14:paraId="31BB0525" w14:textId="77777777" w:rsidR="00B37393" w:rsidRPr="00794BA3" w:rsidRDefault="00B37393" w:rsidP="002E42E8">
      <w:pPr>
        <w:rPr>
          <w:rFonts w:eastAsia="Calibri"/>
        </w:rPr>
      </w:pPr>
      <w:r w:rsidRPr="00794BA3">
        <w:rPr>
          <w:rFonts w:eastAsia="Calibri" w:cs="Calibri"/>
        </w:rPr>
        <w:t>Critical and creative thinking is integral to the historical inquiry process. There are opportunities for students to delve deeply and broadly into the implications of any missing or questionable information in their investigation of historical topics. The demands of historical inquiry include the ability to pose intelligent questions, interrogate, select and cross-reference sources, and develop interpretations based on an assessment of the evidence and reasoning. Students identify possible weaknesses in their own positions, and analyse, evaluate and synthesise alternative interpretations a</w:t>
      </w:r>
      <w:r w:rsidR="002275E3">
        <w:rPr>
          <w:rFonts w:eastAsia="Calibri" w:cs="Calibri"/>
        </w:rPr>
        <w:t>nd representations of the past.</w:t>
      </w:r>
    </w:p>
    <w:p w14:paraId="6EC11C94" w14:textId="77777777" w:rsidR="00BD3707" w:rsidRPr="00120451" w:rsidRDefault="00BD3707" w:rsidP="00120451">
      <w:pPr>
        <w:pStyle w:val="SyllabusHeading3"/>
      </w:pPr>
      <w:r w:rsidRPr="00120451">
        <w:t>Personal and social capability</w:t>
      </w:r>
    </w:p>
    <w:p w14:paraId="01724631" w14:textId="77777777" w:rsidR="00B37393" w:rsidRPr="00794BA3" w:rsidRDefault="00B37393" w:rsidP="002E42E8">
      <w:pPr>
        <w:rPr>
          <w:rFonts w:eastAsia="Calibri"/>
        </w:rPr>
      </w:pPr>
      <w:r w:rsidRPr="00794BA3">
        <w:rPr>
          <w:rFonts w:eastAsia="Calibri" w:cs="Calibri"/>
        </w:rPr>
        <w:t xml:space="preserve">Personal and social capability </w:t>
      </w:r>
      <w:r w:rsidR="00DD3724" w:rsidRPr="00794BA3">
        <w:rPr>
          <w:rFonts w:eastAsia="Calibri" w:cs="Calibri"/>
        </w:rPr>
        <w:t>skills are developed and practis</w:t>
      </w:r>
      <w:r w:rsidRPr="00794BA3">
        <w:rPr>
          <w:rFonts w:eastAsia="Calibri" w:cs="Calibri"/>
        </w:rPr>
        <w:t xml:space="preserve">ed in </w:t>
      </w:r>
      <w:bookmarkStart w:id="16" w:name="_Hlk126682166"/>
      <w:r w:rsidR="0056298F">
        <w:rPr>
          <w:rFonts w:eastAsia="Calibri" w:cs="Calibri"/>
        </w:rPr>
        <w:t>the A</w:t>
      </w:r>
      <w:r w:rsidRPr="00794BA3">
        <w:rPr>
          <w:rFonts w:eastAsia="Calibri" w:cs="Calibri"/>
        </w:rPr>
        <w:t xml:space="preserve">ncient </w:t>
      </w:r>
      <w:r w:rsidR="0056298F">
        <w:rPr>
          <w:rFonts w:eastAsia="Calibri" w:cs="Calibri"/>
        </w:rPr>
        <w:t>H</w:t>
      </w:r>
      <w:r w:rsidRPr="00794BA3">
        <w:rPr>
          <w:rFonts w:eastAsia="Calibri" w:cs="Calibri"/>
        </w:rPr>
        <w:t xml:space="preserve">istory </w:t>
      </w:r>
      <w:r w:rsidR="0056298F">
        <w:rPr>
          <w:rFonts w:eastAsia="Calibri" w:cs="Calibri"/>
        </w:rPr>
        <w:t xml:space="preserve">ATAR course </w:t>
      </w:r>
      <w:bookmarkEnd w:id="16"/>
      <w:r w:rsidRPr="00794BA3">
        <w:rPr>
          <w:rFonts w:eastAsia="Calibri" w:cs="Calibri"/>
        </w:rPr>
        <w:t>by students enhancing their communication skills and participating in</w:t>
      </w:r>
      <w:r w:rsidR="00B55E7D">
        <w:rPr>
          <w:rFonts w:eastAsia="Calibri" w:cs="Calibri"/>
        </w:rPr>
        <w:t xml:space="preserve"> collaborative investigative group work</w:t>
      </w:r>
      <w:r w:rsidRPr="00794BA3">
        <w:rPr>
          <w:rFonts w:eastAsia="Calibri" w:cs="Calibri"/>
        </w:rPr>
        <w:t xml:space="preserve">. Students have opportunities to work both collaboratively in teams and also independently as part of their learning and research in </w:t>
      </w:r>
      <w:r w:rsidR="00557DEE">
        <w:rPr>
          <w:rFonts w:eastAsia="Calibri" w:cs="Calibri"/>
        </w:rPr>
        <w:t>a</w:t>
      </w:r>
      <w:r w:rsidRPr="00794BA3">
        <w:rPr>
          <w:rFonts w:eastAsia="Calibri" w:cs="Calibri"/>
        </w:rPr>
        <w:t xml:space="preserve">ncient </w:t>
      </w:r>
      <w:r w:rsidR="00557DEE">
        <w:rPr>
          <w:rFonts w:eastAsia="Calibri" w:cs="Calibri"/>
        </w:rPr>
        <w:t>h</w:t>
      </w:r>
      <w:r w:rsidRPr="00794BA3">
        <w:rPr>
          <w:rFonts w:eastAsia="Calibri" w:cs="Calibri"/>
        </w:rPr>
        <w:t>istory. Students develop advanced research and presentation skills to express and justify their views</w:t>
      </w:r>
      <w:r w:rsidR="00AB1FBE" w:rsidRPr="00794BA3">
        <w:rPr>
          <w:rFonts w:eastAsia="Calibri" w:cs="Calibri"/>
        </w:rPr>
        <w:t xml:space="preserve"> effectively to others. </w:t>
      </w:r>
      <w:r w:rsidRPr="00794BA3">
        <w:rPr>
          <w:rFonts w:eastAsia="Calibri" w:cs="Calibri"/>
        </w:rPr>
        <w:t>Through the study of individuals and groups in the past</w:t>
      </w:r>
      <w:r w:rsidR="006E03DA">
        <w:rPr>
          <w:rFonts w:eastAsia="Calibri" w:cs="Calibri"/>
        </w:rPr>
        <w:t>,</w:t>
      </w:r>
      <w:r w:rsidRPr="00794BA3">
        <w:rPr>
          <w:rFonts w:eastAsia="Calibri" w:cs="Calibri"/>
        </w:rPr>
        <w:t xml:space="preserve"> and their source work in particular, students develop their ability to appreciate the perspectives and experiences of others through</w:t>
      </w:r>
      <w:r w:rsidR="00CD5CA5">
        <w:rPr>
          <w:rFonts w:eastAsia="Calibri" w:cs="Calibri"/>
        </w:rPr>
        <w:t xml:space="preserve"> the practic</w:t>
      </w:r>
      <w:r w:rsidRPr="00794BA3">
        <w:rPr>
          <w:rFonts w:eastAsia="Calibri" w:cs="Calibri"/>
        </w:rPr>
        <w:t>e of empathy.</w:t>
      </w:r>
      <w:r w:rsidR="00AB1FBE" w:rsidRPr="00794BA3">
        <w:rPr>
          <w:rFonts w:eastAsia="Calibri" w:cs="Calibri"/>
        </w:rPr>
        <w:t xml:space="preserve"> </w:t>
      </w:r>
      <w:r w:rsidRPr="00794BA3">
        <w:rPr>
          <w:rFonts w:eastAsia="Calibri" w:cs="Calibri"/>
        </w:rPr>
        <w:t>Students develop increasing social awareness through the study of relationships between individuals and diverse soc</w:t>
      </w:r>
      <w:r w:rsidR="002275E3">
        <w:rPr>
          <w:rFonts w:eastAsia="Calibri" w:cs="Calibri"/>
        </w:rPr>
        <w:t>ial groups in the ancient past.</w:t>
      </w:r>
    </w:p>
    <w:p w14:paraId="17FB72FC" w14:textId="77777777" w:rsidR="00BD3707" w:rsidRPr="00120451" w:rsidRDefault="00BA7E13" w:rsidP="00120451">
      <w:pPr>
        <w:pStyle w:val="SyllabusHeading3"/>
      </w:pPr>
      <w:r w:rsidRPr="00120451">
        <w:t>Ethical understanding</w:t>
      </w:r>
    </w:p>
    <w:p w14:paraId="2476F555" w14:textId="77777777" w:rsidR="00B37393" w:rsidRPr="00794BA3" w:rsidRDefault="00B37393" w:rsidP="002E42E8">
      <w:pPr>
        <w:rPr>
          <w:rFonts w:eastAsia="Calibri"/>
        </w:rPr>
      </w:pPr>
      <w:r w:rsidRPr="00794BA3">
        <w:rPr>
          <w:rFonts w:eastAsia="Calibri" w:cs="Calibri"/>
        </w:rPr>
        <w:t>Ethical understanding provides opportunities for students to explore and understand the diverse perspectives and circumstances that shaped the actions and possible motivations of people in the past compared with those of today. Students have opportunities</w:t>
      </w:r>
      <w:r w:rsidR="006E03DA">
        <w:rPr>
          <w:rFonts w:eastAsia="Calibri" w:cs="Calibri"/>
        </w:rPr>
        <w:t>,</w:t>
      </w:r>
      <w:r w:rsidRPr="00794BA3">
        <w:rPr>
          <w:rFonts w:eastAsia="Calibri" w:cs="Calibri"/>
        </w:rPr>
        <w:t xml:space="preserve"> both independently and collaboratively</w:t>
      </w:r>
      <w:r w:rsidR="006E03DA">
        <w:rPr>
          <w:rFonts w:eastAsia="Calibri" w:cs="Calibri"/>
        </w:rPr>
        <w:t>,</w:t>
      </w:r>
      <w:r w:rsidRPr="00794BA3">
        <w:rPr>
          <w:rFonts w:eastAsia="Calibri" w:cs="Calibri"/>
        </w:rPr>
        <w:t xml:space="preserve"> to explore the values, beliefs and principles that were the basis for the judg</w:t>
      </w:r>
      <w:r w:rsidR="001D6E2C">
        <w:rPr>
          <w:rFonts w:eastAsia="Calibri" w:cs="Calibri"/>
        </w:rPr>
        <w:t>e</w:t>
      </w:r>
      <w:r w:rsidRPr="00794BA3">
        <w:rPr>
          <w:rFonts w:eastAsia="Calibri" w:cs="Calibri"/>
        </w:rPr>
        <w:t>ments and</w:t>
      </w:r>
      <w:r w:rsidR="002275E3">
        <w:rPr>
          <w:rFonts w:eastAsia="Calibri" w:cs="Calibri"/>
        </w:rPr>
        <w:t xml:space="preserve"> actions of people in the past.</w:t>
      </w:r>
    </w:p>
    <w:p w14:paraId="02AE7D4F" w14:textId="77777777" w:rsidR="00BD3707" w:rsidRPr="00120451" w:rsidRDefault="00BD3707" w:rsidP="00120451">
      <w:pPr>
        <w:pStyle w:val="SyllabusHeading3"/>
      </w:pPr>
      <w:r w:rsidRPr="00120451">
        <w:lastRenderedPageBreak/>
        <w:t>Intercultural understanding</w:t>
      </w:r>
    </w:p>
    <w:p w14:paraId="7B09FD1A" w14:textId="0BBE0376" w:rsidR="006E0B80" w:rsidRPr="006F7BDA" w:rsidRDefault="00B37393" w:rsidP="002E42E8">
      <w:bookmarkStart w:id="17" w:name="_Toc359415278"/>
      <w:r w:rsidRPr="00794BA3">
        <w:rPr>
          <w:rFonts w:eastAsia="Calibri" w:cs="Calibri"/>
        </w:rPr>
        <w:t xml:space="preserve">Intercultural understanding is a vital part of historical learning in </w:t>
      </w:r>
      <w:r w:rsidR="00C93BBE">
        <w:rPr>
          <w:rFonts w:eastAsia="Calibri" w:cs="Calibri"/>
        </w:rPr>
        <w:t>the A</w:t>
      </w:r>
      <w:r w:rsidR="00C93BBE" w:rsidRPr="00794BA3">
        <w:rPr>
          <w:rFonts w:eastAsia="Calibri" w:cs="Calibri"/>
        </w:rPr>
        <w:t xml:space="preserve">ncient </w:t>
      </w:r>
      <w:r w:rsidR="00C93BBE">
        <w:rPr>
          <w:rFonts w:eastAsia="Calibri" w:cs="Calibri"/>
        </w:rPr>
        <w:t>H</w:t>
      </w:r>
      <w:r w:rsidR="00C93BBE" w:rsidRPr="00794BA3">
        <w:rPr>
          <w:rFonts w:eastAsia="Calibri" w:cs="Calibri"/>
        </w:rPr>
        <w:t xml:space="preserve">istory </w:t>
      </w:r>
      <w:r w:rsidR="00C93BBE">
        <w:rPr>
          <w:rFonts w:eastAsia="Calibri" w:cs="Calibri"/>
        </w:rPr>
        <w:t>ATAR course</w:t>
      </w:r>
      <w:r w:rsidRPr="00794BA3">
        <w:rPr>
          <w:rFonts w:eastAsia="Calibri" w:cs="Calibri"/>
        </w:rPr>
        <w:t>. Students acquire knowledge of culturally diverse pe</w:t>
      </w:r>
      <w:r w:rsidR="004568B6" w:rsidRPr="00794BA3">
        <w:rPr>
          <w:rFonts w:eastAsia="Calibri" w:cs="Calibri"/>
        </w:rPr>
        <w:t xml:space="preserve">rspectives and roles and learn </w:t>
      </w:r>
      <w:r w:rsidRPr="00794BA3">
        <w:rPr>
          <w:rFonts w:eastAsia="Calibri" w:cs="Calibri"/>
        </w:rPr>
        <w:t>how these can change over time</w:t>
      </w:r>
      <w:r w:rsidR="004568B6" w:rsidRPr="00794BA3">
        <w:rPr>
          <w:rFonts w:eastAsia="Calibri" w:cs="Calibri"/>
        </w:rPr>
        <w:t>.</w:t>
      </w:r>
      <w:r w:rsidRPr="00794BA3">
        <w:rPr>
          <w:rFonts w:eastAsia="Calibri" w:cs="Calibri"/>
        </w:rPr>
        <w:t xml:space="preserve"> Students develop an understanding of the diverse societies and cultures of the ancient world</w:t>
      </w:r>
      <w:r w:rsidR="006E03DA">
        <w:rPr>
          <w:rFonts w:eastAsia="Calibri" w:cs="Calibri"/>
        </w:rPr>
        <w:t>,</w:t>
      </w:r>
      <w:r w:rsidRPr="00794BA3">
        <w:rPr>
          <w:rFonts w:eastAsia="Calibri" w:cs="Calibri"/>
        </w:rPr>
        <w:t xml:space="preserve"> and that different ways of life provide a frame of reference for recognising and appreciating intercultural diversity in the contemporary world. They also explore different perspectives, the historical contexts for those perspectives</w:t>
      </w:r>
      <w:r w:rsidR="006E03DA">
        <w:rPr>
          <w:rFonts w:eastAsia="Calibri" w:cs="Calibri"/>
        </w:rPr>
        <w:t>,</w:t>
      </w:r>
      <w:r w:rsidRPr="00794BA3">
        <w:rPr>
          <w:rFonts w:eastAsia="Calibri" w:cs="Calibri"/>
        </w:rPr>
        <w:t xml:space="preserve"> and the legacies of ancient societies in relation to the contemporary world.</w:t>
      </w:r>
    </w:p>
    <w:p w14:paraId="493FB5E3" w14:textId="77777777" w:rsidR="00627492" w:rsidRPr="00132E99" w:rsidRDefault="00627492" w:rsidP="00120451">
      <w:pPr>
        <w:pStyle w:val="SyllabusHeading2"/>
      </w:pPr>
      <w:bookmarkStart w:id="18" w:name="_Toc140666014"/>
      <w:r w:rsidRPr="00132E99">
        <w:t xml:space="preserve">Representation of </w:t>
      </w:r>
      <w:r w:rsidR="00C3079F" w:rsidRPr="00132E99">
        <w:t xml:space="preserve">the </w:t>
      </w:r>
      <w:r w:rsidRPr="00132E99">
        <w:t>cross-curriculum priorities</w:t>
      </w:r>
      <w:bookmarkEnd w:id="17"/>
      <w:bookmarkEnd w:id="18"/>
      <w:r w:rsidR="00D45F2E" w:rsidRPr="00132E99">
        <w:t xml:space="preserve"> </w:t>
      </w:r>
    </w:p>
    <w:p w14:paraId="2C3199C3" w14:textId="77777777" w:rsidR="009D48B2" w:rsidRPr="00A10CC6" w:rsidRDefault="003046FF" w:rsidP="00A10CC6">
      <w:r w:rsidRPr="00360960">
        <w:rPr>
          <w:rFonts w:eastAsia="Calibri" w:cs="Calibri"/>
        </w:rPr>
        <w:t>The c</w:t>
      </w:r>
      <w:r w:rsidR="00AC4A31" w:rsidRPr="00360960">
        <w:rPr>
          <w:rFonts w:eastAsia="Calibri" w:cs="Calibri"/>
        </w:rPr>
        <w:t>ross-curriculum priorities address contemporary issues which students face in a</w:t>
      </w:r>
      <w:r w:rsidR="00A10CC6" w:rsidRPr="00360960">
        <w:rPr>
          <w:rFonts w:eastAsia="Calibri" w:cs="Calibri"/>
        </w:rPr>
        <w:t xml:space="preserve"> globalised world. Teachers may</w:t>
      </w:r>
      <w:r w:rsidR="00AC4A31" w:rsidRPr="00360960">
        <w:rPr>
          <w:rFonts w:eastAsia="Calibri" w:cs="Calibri"/>
        </w:rPr>
        <w:t xml:space="preserve"> find opportunities to incorporate the </w:t>
      </w:r>
      <w:r w:rsidR="00376611" w:rsidRPr="00360960">
        <w:rPr>
          <w:rFonts w:eastAsia="Calibri" w:cs="Calibri"/>
        </w:rPr>
        <w:t>following priorities</w:t>
      </w:r>
      <w:r w:rsidR="00AC4A31" w:rsidRPr="00360960">
        <w:rPr>
          <w:rFonts w:eastAsia="Calibri" w:cs="Calibri"/>
        </w:rPr>
        <w:t xml:space="preserve"> into the </w:t>
      </w:r>
      <w:r w:rsidR="00AC4A31" w:rsidRPr="00794BA3">
        <w:rPr>
          <w:rFonts w:eastAsia="Calibri" w:cs="Calibri"/>
        </w:rPr>
        <w:t xml:space="preserve">teaching and learning program for </w:t>
      </w:r>
      <w:r w:rsidR="00557DEE">
        <w:t xml:space="preserve">the </w:t>
      </w:r>
      <w:r w:rsidR="00557DEE" w:rsidRPr="00557DEE">
        <w:rPr>
          <w:rFonts w:eastAsia="Calibri" w:cs="Calibri"/>
        </w:rPr>
        <w:t>Ancient History ATAR course</w:t>
      </w:r>
      <w:r w:rsidR="00B37393" w:rsidRPr="00794BA3">
        <w:rPr>
          <w:rFonts w:eastAsia="Calibri" w:cs="Calibri"/>
        </w:rPr>
        <w:t>.</w:t>
      </w:r>
      <w:r w:rsidR="00A10CC6" w:rsidRPr="00A10CC6">
        <w:t xml:space="preserve"> </w:t>
      </w:r>
      <w:r w:rsidR="00A10CC6">
        <w:t>The cross-curriculum priorities are not assessed unless they are identified within the specified unit content.</w:t>
      </w:r>
    </w:p>
    <w:p w14:paraId="05E48E95" w14:textId="77777777" w:rsidR="00CA52D5" w:rsidRPr="00CA52D5" w:rsidRDefault="00CA52D5" w:rsidP="00120451">
      <w:pPr>
        <w:pStyle w:val="SyllabusHeading3"/>
      </w:pPr>
      <w:r w:rsidRPr="00CA52D5">
        <w:t>Aboriginal and Torres Strait Islander histories and cultures</w:t>
      </w:r>
    </w:p>
    <w:p w14:paraId="2C3E9B35" w14:textId="60FA4979" w:rsidR="00CA52D5" w:rsidRPr="00794BA3" w:rsidRDefault="00557DEE" w:rsidP="002E42E8">
      <w:pPr>
        <w:rPr>
          <w:rFonts w:eastAsia="Calibri"/>
        </w:rPr>
      </w:pPr>
      <w:r w:rsidRPr="00557DEE">
        <w:rPr>
          <w:rFonts w:eastAsia="Calibri" w:cs="Calibri"/>
        </w:rPr>
        <w:t xml:space="preserve">The Ancient History ATAR course </w:t>
      </w:r>
      <w:r w:rsidR="00CA52D5" w:rsidRPr="00794BA3">
        <w:rPr>
          <w:rFonts w:eastAsia="Calibri" w:cs="Calibri"/>
        </w:rPr>
        <w:t xml:space="preserve">provides the opportunity to draw comparisons between the </w:t>
      </w:r>
      <w:r w:rsidR="00502102">
        <w:rPr>
          <w:rFonts w:eastAsia="Calibri" w:cs="Calibri"/>
        </w:rPr>
        <w:t>traditional</w:t>
      </w:r>
      <w:r w:rsidR="00CA52D5" w:rsidRPr="00794BA3">
        <w:rPr>
          <w:rFonts w:eastAsia="Calibri" w:cs="Calibri"/>
        </w:rPr>
        <w:t xml:space="preserve"> cultures of Aboriginal and Torres Strait Islander Peoples</w:t>
      </w:r>
      <w:r w:rsidR="00502102">
        <w:rPr>
          <w:rFonts w:eastAsia="Calibri" w:cs="Calibri"/>
        </w:rPr>
        <w:t>, as practised prior to the European settlement of Australia,</w:t>
      </w:r>
      <w:r w:rsidR="00CA52D5" w:rsidRPr="00794BA3">
        <w:rPr>
          <w:rFonts w:eastAsia="Calibri" w:cs="Calibri"/>
        </w:rPr>
        <w:t xml:space="preserve"> and those of ancient Egypt, Greece</w:t>
      </w:r>
      <w:r w:rsidR="00891A4A">
        <w:rPr>
          <w:rFonts w:eastAsia="Calibri" w:cs="Calibri"/>
        </w:rPr>
        <w:t xml:space="preserve"> or</w:t>
      </w:r>
      <w:r w:rsidR="00CA52D5" w:rsidRPr="00794BA3">
        <w:rPr>
          <w:rFonts w:eastAsia="Calibri" w:cs="Calibri"/>
        </w:rPr>
        <w:t xml:space="preserve"> Rome.</w:t>
      </w:r>
    </w:p>
    <w:p w14:paraId="78D5191E" w14:textId="77777777" w:rsidR="00CA52D5" w:rsidRPr="00CA52D5" w:rsidRDefault="00CA52D5" w:rsidP="00120451">
      <w:pPr>
        <w:pStyle w:val="SyllabusHeading3"/>
      </w:pPr>
      <w:r w:rsidRPr="00CA52D5">
        <w:t>Asia and Australia’s engagement with Asia</w:t>
      </w:r>
    </w:p>
    <w:p w14:paraId="22317E13" w14:textId="77777777" w:rsidR="00CA52D5" w:rsidRPr="00794BA3" w:rsidRDefault="00557DEE" w:rsidP="002E42E8">
      <w:pPr>
        <w:rPr>
          <w:rFonts w:eastAsia="Calibri"/>
        </w:rPr>
      </w:pPr>
      <w:r w:rsidRPr="00557DEE">
        <w:rPr>
          <w:rFonts w:eastAsia="Calibri" w:cs="Calibri"/>
        </w:rPr>
        <w:t xml:space="preserve">The Ancient History ATAR course </w:t>
      </w:r>
      <w:r w:rsidR="00CA52D5" w:rsidRPr="00794BA3">
        <w:rPr>
          <w:rFonts w:eastAsia="Calibri" w:cs="Calibri"/>
        </w:rPr>
        <w:t>provides the opportunity to draw comparisons between the ancient cultures of Asia and those of Egypt, Greece and Rome.</w:t>
      </w:r>
    </w:p>
    <w:p w14:paraId="5FBE6136" w14:textId="77777777" w:rsidR="00BD3707" w:rsidRPr="00293088" w:rsidRDefault="00BD3707" w:rsidP="00120451">
      <w:pPr>
        <w:pStyle w:val="SyllabusHeading3"/>
      </w:pPr>
      <w:r w:rsidRPr="00293088">
        <w:t>Sustainability</w:t>
      </w:r>
    </w:p>
    <w:p w14:paraId="25A44B4E" w14:textId="77777777" w:rsidR="00CC2B74" w:rsidRPr="006F7BDA" w:rsidRDefault="00B37393" w:rsidP="002E42E8">
      <w:r w:rsidRPr="00794BA3">
        <w:rPr>
          <w:rFonts w:eastAsia="Calibri" w:cs="Calibri"/>
        </w:rPr>
        <w:t xml:space="preserve">Sustainability is addressed in </w:t>
      </w:r>
      <w:r w:rsidR="00557DEE">
        <w:rPr>
          <w:rFonts w:eastAsia="Calibri" w:cs="Calibri"/>
        </w:rPr>
        <w:t>t</w:t>
      </w:r>
      <w:r w:rsidR="00557DEE" w:rsidRPr="00557DEE">
        <w:rPr>
          <w:rFonts w:eastAsia="Calibri" w:cs="Calibri"/>
        </w:rPr>
        <w:t xml:space="preserve">he Ancient History ATAR course </w:t>
      </w:r>
      <w:r w:rsidRPr="00794BA3">
        <w:rPr>
          <w:rFonts w:eastAsia="Calibri" w:cs="Calibri"/>
        </w:rPr>
        <w:t xml:space="preserve">through opportunities to study the use of technology in ancient times to access resources and </w:t>
      </w:r>
      <w:r w:rsidR="001F46AC" w:rsidRPr="00794BA3">
        <w:rPr>
          <w:rFonts w:eastAsia="Calibri" w:cs="Calibri"/>
        </w:rPr>
        <w:t xml:space="preserve">to </w:t>
      </w:r>
      <w:r w:rsidR="002275E3">
        <w:rPr>
          <w:rFonts w:eastAsia="Calibri" w:cs="Calibri"/>
        </w:rPr>
        <w:t>control the environment.</w:t>
      </w:r>
      <w:r w:rsidR="00CC2B74">
        <w:br w:type="page"/>
      </w:r>
    </w:p>
    <w:p w14:paraId="2AE9BE63" w14:textId="77777777" w:rsidR="00416C3D" w:rsidRPr="00293088" w:rsidRDefault="00416C3D" w:rsidP="00120451">
      <w:pPr>
        <w:pStyle w:val="SyllabusHeading1"/>
      </w:pPr>
      <w:bookmarkStart w:id="19" w:name="_Toc140666015"/>
      <w:r w:rsidRPr="00293088">
        <w:lastRenderedPageBreak/>
        <w:t xml:space="preserve">Unit </w:t>
      </w:r>
      <w:bookmarkEnd w:id="13"/>
      <w:r w:rsidR="007836F1" w:rsidRPr="00293088">
        <w:t>3</w:t>
      </w:r>
      <w:r w:rsidR="00403269" w:rsidRPr="00293088">
        <w:t xml:space="preserve"> </w:t>
      </w:r>
      <w:r w:rsidR="002C54CE" w:rsidRPr="00293088">
        <w:t>–</w:t>
      </w:r>
      <w:r w:rsidR="00403269" w:rsidRPr="00293088">
        <w:t xml:space="preserve"> </w:t>
      </w:r>
      <w:r w:rsidR="00A424F5" w:rsidRPr="009B50BF">
        <w:t>P</w:t>
      </w:r>
      <w:r w:rsidR="001C3A8D" w:rsidRPr="001C3A8D">
        <w:t>ower and authority</w:t>
      </w:r>
      <w:bookmarkEnd w:id="19"/>
    </w:p>
    <w:p w14:paraId="6439A7A4" w14:textId="77777777" w:rsidR="007C6AA3" w:rsidRPr="00293088" w:rsidRDefault="007C6AA3" w:rsidP="00120451">
      <w:pPr>
        <w:pStyle w:val="SyllabusHeading2"/>
      </w:pPr>
      <w:bookmarkStart w:id="20" w:name="_Toc359505491"/>
      <w:bookmarkStart w:id="21" w:name="_Toc140666016"/>
      <w:bookmarkStart w:id="22" w:name="_Toc359506615"/>
      <w:bookmarkStart w:id="23" w:name="_Toc359503799"/>
      <w:bookmarkStart w:id="24" w:name="_Toc359483691"/>
      <w:bookmarkStart w:id="25" w:name="_Toc347908227"/>
      <w:r w:rsidRPr="00293088">
        <w:t>Unit description</w:t>
      </w:r>
      <w:bookmarkEnd w:id="20"/>
      <w:bookmarkEnd w:id="21"/>
    </w:p>
    <w:p w14:paraId="12E129F4" w14:textId="364DD8BB" w:rsidR="00B37393" w:rsidRPr="00B37393" w:rsidRDefault="00B37393" w:rsidP="002E42E8">
      <w:bookmarkStart w:id="26" w:name="_Toc359505492"/>
      <w:r w:rsidRPr="00B37393">
        <w:rPr>
          <w:rFonts w:cs="Calibri"/>
        </w:rPr>
        <w:t xml:space="preserve">This unit involves an investigation of </w:t>
      </w:r>
      <w:r w:rsidRPr="00DB497B">
        <w:rPr>
          <w:rFonts w:cs="Calibri"/>
          <w:b/>
        </w:rPr>
        <w:t>one</w:t>
      </w:r>
      <w:r w:rsidRPr="00B37393">
        <w:rPr>
          <w:rFonts w:cs="Calibri"/>
          <w:b/>
        </w:rPr>
        <w:t xml:space="preserve"> </w:t>
      </w:r>
      <w:r w:rsidRPr="00B37393">
        <w:rPr>
          <w:rFonts w:cs="Calibri"/>
        </w:rPr>
        <w:t>ancient society across a historical period, with a particular emphasis on the nature and exercise of powe</w:t>
      </w:r>
      <w:r w:rsidR="009B50BF">
        <w:rPr>
          <w:rFonts w:cs="Calibri"/>
        </w:rPr>
        <w:t>r and authority in that society</w:t>
      </w:r>
      <w:r w:rsidRPr="00B37393">
        <w:rPr>
          <w:rFonts w:cs="Calibri"/>
        </w:rPr>
        <w:t>. This unit requires a focus on a range of written and archaeological source material and an evaluation of the significa</w:t>
      </w:r>
      <w:r w:rsidR="002275E3">
        <w:rPr>
          <w:rFonts w:cs="Calibri"/>
        </w:rPr>
        <w:t xml:space="preserve">nce of </w:t>
      </w:r>
      <w:r w:rsidR="00D45F2E">
        <w:rPr>
          <w:rFonts w:cs="Calibri"/>
        </w:rPr>
        <w:t>particular</w:t>
      </w:r>
      <w:r w:rsidR="002275E3">
        <w:rPr>
          <w:rFonts w:cs="Calibri"/>
        </w:rPr>
        <w:t xml:space="preserve"> individual</w:t>
      </w:r>
      <w:r w:rsidR="00D45F2E">
        <w:rPr>
          <w:rFonts w:cs="Calibri"/>
        </w:rPr>
        <w:t>s</w:t>
      </w:r>
      <w:r w:rsidR="002275E3">
        <w:rPr>
          <w:rFonts w:cs="Calibri"/>
        </w:rPr>
        <w:t>.</w:t>
      </w:r>
    </w:p>
    <w:p w14:paraId="63133447" w14:textId="77777777" w:rsidR="004D60E1" w:rsidRDefault="00B37393" w:rsidP="002E42E8">
      <w:r w:rsidRPr="00B37393">
        <w:t>Students examine the nature of power and authority in the society and the ways in which it was demonstrated through political, military, religious, cultural and economi</w:t>
      </w:r>
      <w:r w:rsidR="004C68CD">
        <w:t xml:space="preserve">c structures and institutions. </w:t>
      </w:r>
      <w:r w:rsidRPr="00B37393">
        <w:t xml:space="preserve">This study requires a focus on the reasons for continuity and change. </w:t>
      </w:r>
      <w:r w:rsidRPr="00A424F5">
        <w:t>The study of individual</w:t>
      </w:r>
      <w:r w:rsidR="00A424F5" w:rsidRPr="009B50BF">
        <w:t>s</w:t>
      </w:r>
      <w:r w:rsidRPr="00A424F5">
        <w:t xml:space="preserve"> who had a significant impact on their times develops students’ understanding of the importance of human agency.</w:t>
      </w:r>
      <w:r w:rsidRPr="00B37393">
        <w:t xml:space="preserve"> Students develop their skills of historical analysis with an emphasis on the identification and evaluation of different perspectives and interpretations of the past</w:t>
      </w:r>
      <w:r w:rsidR="004D60E1">
        <w:t>.</w:t>
      </w:r>
      <w:r w:rsidRPr="00B37393">
        <w:t xml:space="preserve"> </w:t>
      </w:r>
    </w:p>
    <w:p w14:paraId="72C9824C" w14:textId="335EC1F2" w:rsidR="00B37393" w:rsidRPr="00B37393" w:rsidRDefault="00B37393" w:rsidP="002E42E8">
      <w:r w:rsidRPr="00B37393">
        <w:t>The key conceptual under</w:t>
      </w:r>
      <w:r w:rsidR="009B50BF">
        <w:t xml:space="preserve">standings of this unit include </w:t>
      </w:r>
      <w:r w:rsidR="00D52695" w:rsidRPr="009B50BF">
        <w:t xml:space="preserve">evidence, </w:t>
      </w:r>
      <w:r w:rsidRPr="00B37393">
        <w:t>continuity</w:t>
      </w:r>
      <w:r w:rsidR="00DD3724">
        <w:t xml:space="preserve"> and change</w:t>
      </w:r>
      <w:r w:rsidRPr="00B37393">
        <w:t xml:space="preserve">, </w:t>
      </w:r>
      <w:r w:rsidR="00D52695" w:rsidRPr="009B50BF">
        <w:t>cause and effect</w:t>
      </w:r>
      <w:r w:rsidR="00D52695">
        <w:t xml:space="preserve">, </w:t>
      </w:r>
      <w:r w:rsidRPr="00B37393">
        <w:t xml:space="preserve">perspectives, interpretations and </w:t>
      </w:r>
      <w:r w:rsidR="004D60E1">
        <w:t>representations</w:t>
      </w:r>
      <w:r w:rsidRPr="00B37393">
        <w:t>.</w:t>
      </w:r>
    </w:p>
    <w:p w14:paraId="37989D23" w14:textId="77777777" w:rsidR="007C6AA3" w:rsidRPr="00293088" w:rsidRDefault="007C6AA3" w:rsidP="00120451">
      <w:pPr>
        <w:pStyle w:val="SyllabusHeading2"/>
      </w:pPr>
      <w:bookmarkStart w:id="27" w:name="_Toc358372276"/>
      <w:bookmarkStart w:id="28" w:name="_Toc359503802"/>
      <w:bookmarkStart w:id="29" w:name="_Toc359505494"/>
      <w:bookmarkStart w:id="30" w:name="_Toc140666017"/>
      <w:bookmarkEnd w:id="26"/>
      <w:r w:rsidRPr="00293088">
        <w:t>Unit content</w:t>
      </w:r>
      <w:bookmarkEnd w:id="27"/>
      <w:bookmarkEnd w:id="28"/>
      <w:bookmarkEnd w:id="29"/>
      <w:bookmarkEnd w:id="30"/>
    </w:p>
    <w:p w14:paraId="74D1278C" w14:textId="77777777" w:rsidR="007C6AA3" w:rsidRPr="00DD3724" w:rsidRDefault="007C6AA3" w:rsidP="002E42E8">
      <w:r w:rsidRPr="00DD3724">
        <w:rPr>
          <w:rFonts w:cs="Calibri"/>
        </w:rPr>
        <w:t>This unit includes the knowledge, understandings and skills described below. This is the examinable content.</w:t>
      </w:r>
    </w:p>
    <w:p w14:paraId="16E70BEA" w14:textId="77777777" w:rsidR="00D268FE" w:rsidRPr="0015254E" w:rsidRDefault="00D268FE" w:rsidP="00120451">
      <w:pPr>
        <w:pStyle w:val="SyllabusHeading3"/>
      </w:pPr>
      <w:r w:rsidRPr="0015254E">
        <w:t>Histo</w:t>
      </w:r>
      <w:r w:rsidR="00C40513">
        <w:t>rical S</w:t>
      </w:r>
      <w:r w:rsidRPr="0015254E">
        <w:t>kills</w:t>
      </w:r>
    </w:p>
    <w:p w14:paraId="38C0D2C5" w14:textId="77777777" w:rsidR="00D268FE" w:rsidRDefault="00D268FE" w:rsidP="002E42E8">
      <w:pPr>
        <w:rPr>
          <w:lang w:val="en-US"/>
        </w:rPr>
      </w:pPr>
      <w:r w:rsidRPr="00D268FE">
        <w:rPr>
          <w:rFonts w:cs="Calibri"/>
          <w:lang w:val="en-US"/>
        </w:rPr>
        <w:t xml:space="preserve">The following skills will </w:t>
      </w:r>
      <w:r w:rsidR="00FF1D2B">
        <w:rPr>
          <w:rFonts w:cs="Calibri"/>
          <w:lang w:val="en-US"/>
        </w:rPr>
        <w:t>be developed during this unit.</w:t>
      </w:r>
    </w:p>
    <w:p w14:paraId="5862A356" w14:textId="77777777" w:rsidR="00D268FE" w:rsidRPr="00D05241" w:rsidRDefault="00D268FE" w:rsidP="00D05241">
      <w:pPr>
        <w:rPr>
          <w:b/>
          <w:bCs/>
        </w:rPr>
      </w:pPr>
      <w:r w:rsidRPr="00D05241">
        <w:rPr>
          <w:b/>
          <w:bCs/>
        </w:rPr>
        <w:t>Chronology, terms and concepts</w:t>
      </w:r>
    </w:p>
    <w:p w14:paraId="5B20F6ED" w14:textId="77777777" w:rsidR="00D268FE" w:rsidRPr="00557DEE" w:rsidRDefault="00DD3724" w:rsidP="008F7B45">
      <w:pPr>
        <w:pStyle w:val="SyllabusListParagraph"/>
        <w:numPr>
          <w:ilvl w:val="0"/>
          <w:numId w:val="12"/>
        </w:numPr>
      </w:pPr>
      <w:r w:rsidRPr="00557DEE">
        <w:t>i</w:t>
      </w:r>
      <w:r w:rsidR="00D268FE" w:rsidRPr="00557DEE">
        <w:t>dentify links between events to understand the nature and signif</w:t>
      </w:r>
      <w:r w:rsidRPr="00557DEE">
        <w:t xml:space="preserve">icance of causation, </w:t>
      </w:r>
      <w:r w:rsidR="00D268FE" w:rsidRPr="00557DEE">
        <w:t>continuity</w:t>
      </w:r>
      <w:r w:rsidRPr="00557DEE">
        <w:t xml:space="preserve"> and change</w:t>
      </w:r>
      <w:r w:rsidR="00D268FE" w:rsidRPr="00557DEE">
        <w:t xml:space="preserve"> over time</w:t>
      </w:r>
    </w:p>
    <w:p w14:paraId="1AADD664" w14:textId="77777777" w:rsidR="00D268FE" w:rsidRPr="00557DEE" w:rsidRDefault="00DD3724" w:rsidP="008F7B45">
      <w:pPr>
        <w:pStyle w:val="SyllabusListParagraph"/>
        <w:numPr>
          <w:ilvl w:val="0"/>
          <w:numId w:val="12"/>
        </w:numPr>
      </w:pPr>
      <w:r w:rsidRPr="00557DEE">
        <w:t>u</w:t>
      </w:r>
      <w:r w:rsidR="00D268FE" w:rsidRPr="00557DEE">
        <w:t>se historical terms and concepts in appropriate contexts to demonstrate historical knowledge and understanding</w:t>
      </w:r>
    </w:p>
    <w:p w14:paraId="1A066A36" w14:textId="77777777" w:rsidR="00D268FE" w:rsidRPr="00D05241" w:rsidRDefault="00D268FE" w:rsidP="00D05241">
      <w:pPr>
        <w:rPr>
          <w:b/>
          <w:bCs/>
        </w:rPr>
      </w:pPr>
      <w:r w:rsidRPr="00D05241">
        <w:rPr>
          <w:b/>
          <w:bCs/>
        </w:rPr>
        <w:t>Historical questions and research</w:t>
      </w:r>
    </w:p>
    <w:p w14:paraId="03254FB8" w14:textId="77777777" w:rsidR="00D268FE" w:rsidRPr="00557DEE" w:rsidRDefault="00DD3724" w:rsidP="008F7B45">
      <w:pPr>
        <w:pStyle w:val="SyllabusListParagraph"/>
        <w:numPr>
          <w:ilvl w:val="0"/>
          <w:numId w:val="13"/>
        </w:numPr>
      </w:pPr>
      <w:r w:rsidRPr="00557DEE">
        <w:t>f</w:t>
      </w:r>
      <w:r w:rsidR="00D268FE" w:rsidRPr="00557DEE">
        <w:t>ormulate, test and modify propositions to investigate historical issues</w:t>
      </w:r>
    </w:p>
    <w:p w14:paraId="496FFEDD" w14:textId="77777777" w:rsidR="00D268FE" w:rsidRPr="00557DEE" w:rsidRDefault="00DD3724" w:rsidP="008F7B45">
      <w:pPr>
        <w:pStyle w:val="SyllabusListParagraph"/>
        <w:numPr>
          <w:ilvl w:val="0"/>
          <w:numId w:val="13"/>
        </w:numPr>
      </w:pPr>
      <w:r w:rsidRPr="00557DEE">
        <w:t>f</w:t>
      </w:r>
      <w:r w:rsidR="00D268FE" w:rsidRPr="00557DEE">
        <w:t>rame questions to guide inquiry and develop a coherent research plan for inquiry</w:t>
      </w:r>
    </w:p>
    <w:p w14:paraId="689146E4" w14:textId="77777777" w:rsidR="00D268FE" w:rsidRPr="00557DEE" w:rsidRDefault="00DD3724" w:rsidP="008F7B45">
      <w:pPr>
        <w:pStyle w:val="SyllabusListParagraph"/>
        <w:numPr>
          <w:ilvl w:val="0"/>
          <w:numId w:val="13"/>
        </w:numPr>
      </w:pPr>
      <w:r w:rsidRPr="00557DEE">
        <w:t>i</w:t>
      </w:r>
      <w:r w:rsidR="00D268FE" w:rsidRPr="00557DEE">
        <w:t>dentify, locate and organise relevant information from a rang</w:t>
      </w:r>
      <w:r w:rsidR="002275E3">
        <w:t>e of ancient and modern sources</w:t>
      </w:r>
    </w:p>
    <w:p w14:paraId="28598B2C" w14:textId="77777777" w:rsidR="00D268FE" w:rsidRPr="00557DEE" w:rsidRDefault="00DD3724" w:rsidP="008F7B45">
      <w:pPr>
        <w:pStyle w:val="SyllabusListParagraph"/>
        <w:numPr>
          <w:ilvl w:val="0"/>
          <w:numId w:val="13"/>
        </w:numPr>
      </w:pPr>
      <w:r w:rsidRPr="00557DEE">
        <w:t>i</w:t>
      </w:r>
      <w:r w:rsidR="00D268FE" w:rsidRPr="00557DEE">
        <w:t>dentify and practise ethical scholarship when conducting research</w:t>
      </w:r>
    </w:p>
    <w:p w14:paraId="0E3CD182" w14:textId="77777777" w:rsidR="00D268FE" w:rsidRPr="00D05241" w:rsidRDefault="00D268FE" w:rsidP="00D05241">
      <w:pPr>
        <w:rPr>
          <w:b/>
          <w:bCs/>
        </w:rPr>
      </w:pPr>
      <w:r w:rsidRPr="00D05241">
        <w:rPr>
          <w:b/>
          <w:bCs/>
        </w:rPr>
        <w:t>Analysis and use of sources</w:t>
      </w:r>
    </w:p>
    <w:p w14:paraId="4E3E1662" w14:textId="77777777" w:rsidR="00D268FE" w:rsidRPr="00557DEE" w:rsidRDefault="00DD3724" w:rsidP="008F7B45">
      <w:pPr>
        <w:pStyle w:val="SyllabusListParagraph"/>
        <w:numPr>
          <w:ilvl w:val="0"/>
          <w:numId w:val="14"/>
        </w:numPr>
      </w:pPr>
      <w:r w:rsidRPr="00557DEE">
        <w:t>i</w:t>
      </w:r>
      <w:r w:rsidR="00D268FE" w:rsidRPr="00557DEE">
        <w:t>dentify the origin, purpose and context of historical sources</w:t>
      </w:r>
    </w:p>
    <w:p w14:paraId="3EED833F" w14:textId="1666F32C" w:rsidR="00D268FE" w:rsidRPr="00557DEE" w:rsidRDefault="00DD3724" w:rsidP="008F7B45">
      <w:pPr>
        <w:pStyle w:val="SyllabusListParagraph"/>
        <w:numPr>
          <w:ilvl w:val="0"/>
          <w:numId w:val="14"/>
        </w:numPr>
      </w:pPr>
      <w:r w:rsidRPr="00557DEE">
        <w:t>a</w:t>
      </w:r>
      <w:r w:rsidR="00D268FE" w:rsidRPr="00557DEE">
        <w:t>nalyse, interpret and synthesise evidence from different types of sources to develop and sustain a historical argument</w:t>
      </w:r>
    </w:p>
    <w:p w14:paraId="38D0D2F7" w14:textId="068BA6B2" w:rsidR="00D268FE" w:rsidRPr="00557DEE" w:rsidRDefault="00DD3724" w:rsidP="008F7B45">
      <w:pPr>
        <w:pStyle w:val="SyllabusListParagraph"/>
        <w:numPr>
          <w:ilvl w:val="0"/>
          <w:numId w:val="14"/>
        </w:numPr>
      </w:pPr>
      <w:r w:rsidRPr="00557DEE">
        <w:lastRenderedPageBreak/>
        <w:t>e</w:t>
      </w:r>
      <w:r w:rsidR="00E16BC4">
        <w:t xml:space="preserve">valuate the reliability and </w:t>
      </w:r>
      <w:r w:rsidR="00D268FE" w:rsidRPr="00557DEE">
        <w:t>usefulness of sources to develop informed judg</w:t>
      </w:r>
      <w:r w:rsidR="001D6E2C" w:rsidRPr="00557DEE">
        <w:t>e</w:t>
      </w:r>
      <w:r w:rsidR="00D268FE" w:rsidRPr="00557DEE">
        <w:t>ments that</w:t>
      </w:r>
      <w:r w:rsidR="00D02FD0" w:rsidRPr="00557DEE">
        <w:t xml:space="preserve"> support a historical argument</w:t>
      </w:r>
    </w:p>
    <w:p w14:paraId="3E3A27B8" w14:textId="77777777" w:rsidR="00D268FE" w:rsidRPr="00D05241" w:rsidRDefault="00D268FE" w:rsidP="00D05241">
      <w:pPr>
        <w:rPr>
          <w:b/>
          <w:bCs/>
        </w:rPr>
      </w:pPr>
      <w:r w:rsidRPr="00D05241">
        <w:rPr>
          <w:b/>
          <w:bCs/>
        </w:rPr>
        <w:t>Perspectives and interpretations</w:t>
      </w:r>
    </w:p>
    <w:p w14:paraId="58129D73" w14:textId="77777777" w:rsidR="00D268FE" w:rsidRPr="00557DEE" w:rsidRDefault="00DD3724" w:rsidP="008F7B45">
      <w:pPr>
        <w:pStyle w:val="SyllabusListParagraph"/>
        <w:numPr>
          <w:ilvl w:val="0"/>
          <w:numId w:val="15"/>
        </w:numPr>
      </w:pPr>
      <w:r w:rsidRPr="00557DEE">
        <w:t>a</w:t>
      </w:r>
      <w:r w:rsidR="00D268FE" w:rsidRPr="00557DEE">
        <w:t>nalyse and account for the different perspectives of ind</w:t>
      </w:r>
      <w:r w:rsidR="002275E3">
        <w:t>ividuals and groups in the past</w:t>
      </w:r>
    </w:p>
    <w:p w14:paraId="5D2F3C49" w14:textId="3686A79F" w:rsidR="00D268FE" w:rsidRPr="00557DEE" w:rsidRDefault="00DD3724" w:rsidP="008F7B45">
      <w:pPr>
        <w:pStyle w:val="SyllabusListParagraph"/>
        <w:numPr>
          <w:ilvl w:val="0"/>
          <w:numId w:val="15"/>
        </w:numPr>
      </w:pPr>
      <w:r w:rsidRPr="00557DEE">
        <w:t>e</w:t>
      </w:r>
      <w:r w:rsidR="00D268FE" w:rsidRPr="00557DEE">
        <w:t>valuate different historical interpretations of the past, how they evolved, and how they are shaped by the historian’s perspective</w:t>
      </w:r>
    </w:p>
    <w:p w14:paraId="7828B1DB" w14:textId="0ECCA4B2" w:rsidR="00D268FE" w:rsidRPr="00557DEE" w:rsidRDefault="00D973B2" w:rsidP="008F7B45">
      <w:pPr>
        <w:pStyle w:val="SyllabusListParagraph"/>
        <w:numPr>
          <w:ilvl w:val="0"/>
          <w:numId w:val="15"/>
        </w:numPr>
      </w:pPr>
      <w:r w:rsidRPr="00D973B2">
        <w:t>r</w:t>
      </w:r>
      <w:r w:rsidR="00C22D88" w:rsidRPr="00D973B2">
        <w:t>ecognise</w:t>
      </w:r>
      <w:r w:rsidRPr="00D973B2">
        <w:t xml:space="preserve"> </w:t>
      </w:r>
      <w:r w:rsidR="00D268FE" w:rsidRPr="00557DEE">
        <w:t xml:space="preserve">the provisional nature of historical </w:t>
      </w:r>
      <w:r w:rsidR="00D268FE" w:rsidRPr="00D973B2">
        <w:t>knowledge t</w:t>
      </w:r>
      <w:r w:rsidR="00D268FE" w:rsidRPr="00557DEE">
        <w:t>o arrive at rea</w:t>
      </w:r>
      <w:r w:rsidR="00D02FD0" w:rsidRPr="00557DEE">
        <w:t>soned and supported conclusions</w:t>
      </w:r>
    </w:p>
    <w:p w14:paraId="4C3C09A1" w14:textId="77777777" w:rsidR="00D268FE" w:rsidRPr="00D05241" w:rsidRDefault="00D268FE" w:rsidP="00D05241">
      <w:pPr>
        <w:rPr>
          <w:b/>
          <w:bCs/>
        </w:rPr>
      </w:pPr>
      <w:r w:rsidRPr="00D05241">
        <w:rPr>
          <w:b/>
          <w:bCs/>
        </w:rPr>
        <w:t>Explanation and communication</w:t>
      </w:r>
    </w:p>
    <w:p w14:paraId="364A550F" w14:textId="77777777" w:rsidR="00D268FE" w:rsidRPr="00557DEE" w:rsidRDefault="00DD3724" w:rsidP="008F7B45">
      <w:pPr>
        <w:pStyle w:val="SyllabusListParagraph"/>
        <w:numPr>
          <w:ilvl w:val="0"/>
          <w:numId w:val="16"/>
        </w:numPr>
      </w:pPr>
      <w:r w:rsidRPr="00557DEE">
        <w:t>d</w:t>
      </w:r>
      <w:r w:rsidR="00D268FE" w:rsidRPr="00557DEE">
        <w:t>evelop texts that integrate appropriate evidence from a range of sources to explain the past and to support and refute arguments</w:t>
      </w:r>
    </w:p>
    <w:p w14:paraId="5CADE5AE" w14:textId="77777777" w:rsidR="00D268FE" w:rsidRPr="00557DEE" w:rsidRDefault="00DD3724" w:rsidP="008F7B45">
      <w:pPr>
        <w:pStyle w:val="SyllabusListParagraph"/>
        <w:numPr>
          <w:ilvl w:val="0"/>
          <w:numId w:val="16"/>
        </w:numPr>
      </w:pPr>
      <w:r w:rsidRPr="00557DEE">
        <w:t>c</w:t>
      </w:r>
      <w:r w:rsidR="00D268FE" w:rsidRPr="00557DEE">
        <w:t>ommunicate historical understanding by selecting and using text forms appropri</w:t>
      </w:r>
      <w:r w:rsidR="002275E3">
        <w:t>ate to the purpose and audience</w:t>
      </w:r>
    </w:p>
    <w:p w14:paraId="16513E1F" w14:textId="77777777" w:rsidR="00D268FE" w:rsidRPr="00557DEE" w:rsidRDefault="00DD3724" w:rsidP="008F7B45">
      <w:pPr>
        <w:pStyle w:val="SyllabusListParagraph"/>
        <w:numPr>
          <w:ilvl w:val="0"/>
          <w:numId w:val="16"/>
        </w:numPr>
      </w:pPr>
      <w:r w:rsidRPr="00557DEE">
        <w:t>a</w:t>
      </w:r>
      <w:r w:rsidR="00D268FE" w:rsidRPr="00557DEE">
        <w:t>pply appropriate referencing techniques accurately and consistently</w:t>
      </w:r>
    </w:p>
    <w:p w14:paraId="4920C749" w14:textId="77777777" w:rsidR="006F63A7" w:rsidRPr="005B51E1" w:rsidRDefault="006F63A7" w:rsidP="000A1877">
      <w:pPr>
        <w:pStyle w:val="Heading3"/>
        <w:rPr>
          <w:iCs/>
        </w:rPr>
      </w:pPr>
      <w:r w:rsidRPr="005B51E1">
        <w:t>Historical Knowledge and Understanding</w:t>
      </w:r>
    </w:p>
    <w:p w14:paraId="1155850E" w14:textId="77777777" w:rsidR="00677FD9" w:rsidRPr="00AD6257" w:rsidRDefault="006F63A7" w:rsidP="00677FD9">
      <w:r w:rsidRPr="00AD6257">
        <w:t xml:space="preserve">Students study </w:t>
      </w:r>
      <w:r w:rsidRPr="00AD6257">
        <w:rPr>
          <w:b/>
          <w:bCs/>
        </w:rPr>
        <w:t>one</w:t>
      </w:r>
      <w:r w:rsidRPr="00AD6257">
        <w:t xml:space="preserve"> of the following societies/time periods, which is to be taught with the requisite historical skills described as part of this unit</w:t>
      </w:r>
      <w:r w:rsidR="00677FD9" w:rsidRPr="00AD6257">
        <w:t>.</w:t>
      </w:r>
    </w:p>
    <w:p w14:paraId="10AD243F" w14:textId="1F837613" w:rsidR="006F63A7" w:rsidRPr="00AD6257" w:rsidRDefault="006D5578" w:rsidP="00677FD9">
      <w:pPr>
        <w:pStyle w:val="ListBullet"/>
        <w:numPr>
          <w:ilvl w:val="0"/>
          <w:numId w:val="7"/>
        </w:numPr>
        <w:tabs>
          <w:tab w:val="clear" w:pos="397"/>
        </w:tabs>
        <w:ind w:left="357" w:hanging="357"/>
        <w:rPr>
          <w:bCs/>
          <w:iCs/>
        </w:rPr>
      </w:pPr>
      <w:r w:rsidRPr="00AD6257">
        <w:t>Egypt: F</w:t>
      </w:r>
      <w:r w:rsidR="006F63A7" w:rsidRPr="00AD6257">
        <w:t xml:space="preserve">rom Tetisheri to </w:t>
      </w:r>
      <w:proofErr w:type="spellStart"/>
      <w:r w:rsidR="006F63A7" w:rsidRPr="00AD6257">
        <w:t>Tuthmosis</w:t>
      </w:r>
      <w:proofErr w:type="spellEnd"/>
      <w:r w:rsidR="006F63A7" w:rsidRPr="00AD6257">
        <w:t xml:space="preserve"> III</w:t>
      </w:r>
    </w:p>
    <w:p w14:paraId="5D542EFF" w14:textId="4C35690B" w:rsidR="006F63A7" w:rsidRPr="00AD6257" w:rsidRDefault="006F63A7" w:rsidP="008F7B45">
      <w:pPr>
        <w:pStyle w:val="ListBullet"/>
        <w:numPr>
          <w:ilvl w:val="0"/>
          <w:numId w:val="7"/>
        </w:numPr>
        <w:tabs>
          <w:tab w:val="clear" w:pos="397"/>
        </w:tabs>
        <w:ind w:left="357" w:hanging="357"/>
        <w:rPr>
          <w:bCs/>
          <w:iCs/>
        </w:rPr>
      </w:pPr>
      <w:r w:rsidRPr="00AD6257">
        <w:t>Athens</w:t>
      </w:r>
      <w:r w:rsidR="007E7BF9" w:rsidRPr="00AD6257">
        <w:t xml:space="preserve">: </w:t>
      </w:r>
      <w:r w:rsidR="009924FE" w:rsidRPr="00AD6257">
        <w:t>The r</w:t>
      </w:r>
      <w:r w:rsidR="007E7BF9" w:rsidRPr="00AD6257">
        <w:t>ise of Athens</w:t>
      </w:r>
    </w:p>
    <w:p w14:paraId="019BC9A0" w14:textId="64A88614" w:rsidR="006F63A7" w:rsidRPr="00AD6257" w:rsidRDefault="00D973B2" w:rsidP="008F7B45">
      <w:pPr>
        <w:pStyle w:val="ListBullet"/>
        <w:numPr>
          <w:ilvl w:val="0"/>
          <w:numId w:val="7"/>
        </w:numPr>
        <w:tabs>
          <w:tab w:val="clear" w:pos="397"/>
        </w:tabs>
        <w:ind w:left="357" w:hanging="357"/>
        <w:rPr>
          <w:bCs/>
          <w:iCs/>
        </w:rPr>
      </w:pPr>
      <w:r w:rsidRPr="00AD6257">
        <w:t>Rome: Decline of the Republic</w:t>
      </w:r>
    </w:p>
    <w:p w14:paraId="5092C28F" w14:textId="6625754E" w:rsidR="00550624" w:rsidRPr="00AD6257" w:rsidRDefault="00732C8A" w:rsidP="006D1C1E">
      <w:pPr>
        <w:rPr>
          <w:b/>
          <w:iCs/>
        </w:rPr>
      </w:pPr>
      <w:r w:rsidRPr="00AD6257">
        <w:t>The elective offered in Unit 4 must be the same society as the Unit 3 elective</w:t>
      </w:r>
      <w:r w:rsidR="00A665D8" w:rsidRPr="00AD6257">
        <w:t>;</w:t>
      </w:r>
      <w:r w:rsidRPr="00AD6257">
        <w:t xml:space="preserve"> </w:t>
      </w:r>
      <w:r w:rsidR="00A665D8" w:rsidRPr="00AD6257">
        <w:t>f</w:t>
      </w:r>
      <w:r w:rsidRPr="00AD6257">
        <w:t>or example</w:t>
      </w:r>
      <w:r w:rsidR="00A665D8" w:rsidRPr="00AD6257">
        <w:t>,</w:t>
      </w:r>
      <w:r w:rsidRPr="00AD6257">
        <w:t xml:space="preserve"> Unit 3</w:t>
      </w:r>
      <w:r w:rsidR="00C51C10">
        <w:t>,</w:t>
      </w:r>
      <w:r w:rsidRPr="00AD6257">
        <w:t xml:space="preserve"> Egypt: From Tetisheri to </w:t>
      </w:r>
      <w:proofErr w:type="spellStart"/>
      <w:r w:rsidRPr="00AD6257">
        <w:t>Tuthmosis</w:t>
      </w:r>
      <w:proofErr w:type="spellEnd"/>
      <w:r w:rsidRPr="00AD6257">
        <w:t xml:space="preserve"> III and Unit 4</w:t>
      </w:r>
      <w:r w:rsidR="00C51C10">
        <w:t>,</w:t>
      </w:r>
      <w:r w:rsidRPr="00AD6257">
        <w:t xml:space="preserve"> Egypt: From Amenhotep II to Horemheb.</w:t>
      </w:r>
    </w:p>
    <w:p w14:paraId="2F2B0878" w14:textId="07FEA25F" w:rsidR="00F60B86" w:rsidRPr="00550624" w:rsidRDefault="00F60B86" w:rsidP="000A1877">
      <w:pPr>
        <w:pStyle w:val="Heading3"/>
      </w:pPr>
      <w:r w:rsidRPr="005B51E1">
        <w:t>Elective 1</w:t>
      </w:r>
      <w:r w:rsidR="00C51C10">
        <w:t xml:space="preserve"> –</w:t>
      </w:r>
      <w:r w:rsidRPr="005B51E1">
        <w:t xml:space="preserve"> </w:t>
      </w:r>
      <w:r w:rsidRPr="006D5578">
        <w:t>Egypt</w:t>
      </w:r>
      <w:r w:rsidRPr="00C23F7D">
        <w:t>: F</w:t>
      </w:r>
      <w:r w:rsidRPr="00550624">
        <w:t>rom Tetisheri to Tuthmosis III</w:t>
      </w:r>
    </w:p>
    <w:p w14:paraId="20F0B93D" w14:textId="77777777" w:rsidR="00F60B86" w:rsidRPr="005273AF" w:rsidRDefault="00F60B86" w:rsidP="00B14B06">
      <w:r w:rsidRPr="005273AF">
        <w:t>Essential to an understanding of this period are:</w:t>
      </w:r>
    </w:p>
    <w:p w14:paraId="4DFF243D" w14:textId="017DB29B" w:rsidR="00F60B86" w:rsidRPr="000A1877" w:rsidRDefault="00245DEA" w:rsidP="000A1877">
      <w:pPr>
        <w:pStyle w:val="Heading4"/>
      </w:pPr>
      <w:r w:rsidRPr="000A1877">
        <w:t xml:space="preserve">The historical, </w:t>
      </w:r>
      <w:r w:rsidR="00F60B86" w:rsidRPr="000A1877">
        <w:t xml:space="preserve">geographical </w:t>
      </w:r>
      <w:r w:rsidRPr="000A1877">
        <w:t xml:space="preserve">and political </w:t>
      </w:r>
      <w:r w:rsidR="00F60B86" w:rsidRPr="000A1877">
        <w:t>context</w:t>
      </w:r>
    </w:p>
    <w:p w14:paraId="501E1226" w14:textId="23C48C6A" w:rsidR="00F60B86" w:rsidRPr="005273AF" w:rsidRDefault="00A665D8" w:rsidP="00F60B86">
      <w:pPr>
        <w:rPr>
          <w:rFonts w:cs="Calibri"/>
          <w:bCs/>
        </w:rPr>
      </w:pPr>
      <w:r w:rsidRPr="0092640A">
        <w:t>An</w:t>
      </w:r>
      <w:r w:rsidRPr="005273AF">
        <w:rPr>
          <w:rFonts w:cs="Calibri"/>
          <w:bCs/>
        </w:rPr>
        <w:t xml:space="preserve"> </w:t>
      </w:r>
      <w:r>
        <w:rPr>
          <w:rFonts w:cs="Calibri"/>
          <w:bCs/>
        </w:rPr>
        <w:t>o</w:t>
      </w:r>
      <w:r w:rsidR="00F60B86" w:rsidRPr="005273AF">
        <w:rPr>
          <w:rFonts w:cs="Calibri"/>
          <w:bCs/>
        </w:rPr>
        <w:t>verview of</w:t>
      </w:r>
    </w:p>
    <w:p w14:paraId="2CAB1B6A" w14:textId="21DB1F42" w:rsidR="00F60B86" w:rsidRPr="00677FD9" w:rsidRDefault="00F60B86" w:rsidP="008F7B45">
      <w:pPr>
        <w:pStyle w:val="SyllabusListParagraph"/>
        <w:numPr>
          <w:ilvl w:val="0"/>
          <w:numId w:val="17"/>
        </w:numPr>
        <w:rPr>
          <w:bCs/>
        </w:rPr>
      </w:pPr>
      <w:r w:rsidRPr="005273AF">
        <w:t xml:space="preserve">the geography of the Nile </w:t>
      </w:r>
      <w:r w:rsidR="00EB557B">
        <w:t>V</w:t>
      </w:r>
      <w:r w:rsidRPr="005273AF">
        <w:t xml:space="preserve">alley, the </w:t>
      </w:r>
      <w:proofErr w:type="spellStart"/>
      <w:r w:rsidRPr="005273AF">
        <w:t>Faiyum</w:t>
      </w:r>
      <w:proofErr w:type="spellEnd"/>
      <w:r w:rsidRPr="005273AF">
        <w:t xml:space="preserve"> and the Delta, the Black Land of the Nile floodplain and the Red Land</w:t>
      </w:r>
      <w:r>
        <w:t xml:space="preserve"> of the desert</w:t>
      </w:r>
    </w:p>
    <w:p w14:paraId="3B4782A8" w14:textId="77777777" w:rsidR="00F60B86" w:rsidRPr="00677FD9" w:rsidRDefault="00F60B86" w:rsidP="008F7B45">
      <w:pPr>
        <w:pStyle w:val="SyllabusListParagraph"/>
        <w:numPr>
          <w:ilvl w:val="0"/>
          <w:numId w:val="17"/>
        </w:numPr>
        <w:rPr>
          <w:bCs/>
        </w:rPr>
      </w:pPr>
      <w:r w:rsidRPr="005273AF">
        <w:t>the importance of inundation of the Nile</w:t>
      </w:r>
    </w:p>
    <w:p w14:paraId="416C3602" w14:textId="7439F2F6" w:rsidR="00F60B86" w:rsidRPr="00677FD9" w:rsidRDefault="00F60B86" w:rsidP="008F7B45">
      <w:pPr>
        <w:pStyle w:val="SyllabusListParagraph"/>
        <w:numPr>
          <w:ilvl w:val="0"/>
          <w:numId w:val="17"/>
        </w:numPr>
        <w:rPr>
          <w:bCs/>
        </w:rPr>
      </w:pPr>
      <w:r w:rsidRPr="005273AF">
        <w:t xml:space="preserve">the location of Egypt in </w:t>
      </w:r>
      <w:r w:rsidRPr="001B60FB">
        <w:t xml:space="preserve">relation to </w:t>
      </w:r>
      <w:r w:rsidRPr="005273AF">
        <w:t>the wider area of Syria-Palestine, the great powers and city</w:t>
      </w:r>
      <w:r w:rsidR="00210D01">
        <w:noBreakHyphen/>
      </w:r>
      <w:r w:rsidRPr="005273AF">
        <w:t>states of the Near East, and the country of Nubia</w:t>
      </w:r>
    </w:p>
    <w:p w14:paraId="6F60AF6F" w14:textId="5C566C44" w:rsidR="00F60B86" w:rsidRPr="00677FD9" w:rsidRDefault="00F60B86" w:rsidP="008F7B45">
      <w:pPr>
        <w:pStyle w:val="SyllabusListParagraph"/>
        <w:numPr>
          <w:ilvl w:val="0"/>
          <w:numId w:val="17"/>
        </w:numPr>
        <w:rPr>
          <w:bCs/>
        </w:rPr>
      </w:pPr>
      <w:r w:rsidRPr="005273AF">
        <w:t xml:space="preserve">the division of Egyptian history into </w:t>
      </w:r>
      <w:r w:rsidR="00463BFD">
        <w:t>k</w:t>
      </w:r>
      <w:r w:rsidRPr="005273AF">
        <w:t xml:space="preserve">ingdoms, </w:t>
      </w:r>
      <w:r w:rsidR="00463BFD">
        <w:t>i</w:t>
      </w:r>
      <w:r w:rsidRPr="005273AF">
        <w:t xml:space="preserve">ntermediate </w:t>
      </w:r>
      <w:r w:rsidR="00463BFD">
        <w:t>p</w:t>
      </w:r>
      <w:r w:rsidRPr="005273AF">
        <w:t xml:space="preserve">eriods and </w:t>
      </w:r>
      <w:r w:rsidR="00463BFD">
        <w:t>d</w:t>
      </w:r>
      <w:r w:rsidRPr="005273AF">
        <w:t>ynasties</w:t>
      </w:r>
    </w:p>
    <w:p w14:paraId="6B3724D1" w14:textId="464B94D3" w:rsidR="00F60B86" w:rsidRPr="005273AF" w:rsidRDefault="00F60B86" w:rsidP="008F7B45">
      <w:pPr>
        <w:pStyle w:val="SyllabusListParagraph"/>
        <w:numPr>
          <w:ilvl w:val="0"/>
          <w:numId w:val="17"/>
        </w:numPr>
      </w:pPr>
      <w:r w:rsidRPr="005273AF">
        <w:t>the nature of power and authority at the beginning of the New Kingdom, including</w:t>
      </w:r>
    </w:p>
    <w:p w14:paraId="3D8C4A8E" w14:textId="7A844471" w:rsidR="00F60B86" w:rsidRPr="00B14B06" w:rsidRDefault="00F60B86" w:rsidP="008F7B45">
      <w:pPr>
        <w:pStyle w:val="SyllabusListParagraph"/>
        <w:numPr>
          <w:ilvl w:val="1"/>
          <w:numId w:val="18"/>
        </w:numPr>
      </w:pPr>
      <w:r w:rsidRPr="00B14B06">
        <w:t xml:space="preserve">the nature of the dual </w:t>
      </w:r>
      <w:r w:rsidR="00463BFD">
        <w:t>k</w:t>
      </w:r>
      <w:r w:rsidRPr="00B14B06">
        <w:t>ingship of Upper and Lower Egypt</w:t>
      </w:r>
    </w:p>
    <w:p w14:paraId="4A150154" w14:textId="65100F58" w:rsidR="00F60B86" w:rsidRPr="0009031B" w:rsidRDefault="00170E15" w:rsidP="008F7B45">
      <w:pPr>
        <w:pStyle w:val="SyllabusListParagraph"/>
        <w:numPr>
          <w:ilvl w:val="1"/>
          <w:numId w:val="18"/>
        </w:numPr>
      </w:pPr>
      <w:proofErr w:type="spellStart"/>
      <w:r>
        <w:lastRenderedPageBreak/>
        <w:t>n</w:t>
      </w:r>
      <w:r w:rsidR="00F60B86" w:rsidRPr="00B14B06">
        <w:t>omes</w:t>
      </w:r>
      <w:proofErr w:type="spellEnd"/>
      <w:r w:rsidR="00F60B86" w:rsidRPr="00B14B06">
        <w:t xml:space="preserve"> </w:t>
      </w:r>
      <w:r w:rsidR="00B33FDD" w:rsidRPr="0009031B">
        <w:t xml:space="preserve">and nomarchs </w:t>
      </w:r>
      <w:r w:rsidR="00F60B86" w:rsidRPr="0009031B">
        <w:t>as part of the political structure</w:t>
      </w:r>
      <w:r w:rsidR="0093777E" w:rsidRPr="0009031B">
        <w:t xml:space="preserve"> of the country</w:t>
      </w:r>
    </w:p>
    <w:p w14:paraId="22E0C1E5" w14:textId="3F4297CA" w:rsidR="00F60B86" w:rsidRPr="00B14B06" w:rsidRDefault="00F60B86" w:rsidP="008F7B45">
      <w:pPr>
        <w:pStyle w:val="SyllabusListParagraph"/>
        <w:numPr>
          <w:ilvl w:val="1"/>
          <w:numId w:val="18"/>
        </w:numPr>
      </w:pPr>
      <w:r w:rsidRPr="00B14B06">
        <w:t xml:space="preserve">the role and status of </w:t>
      </w:r>
      <w:r w:rsidR="00463BFD">
        <w:t xml:space="preserve">the </w:t>
      </w:r>
      <w:r w:rsidRPr="00B14B06">
        <w:t>pharaoh/royalty,</w:t>
      </w:r>
      <w:r w:rsidR="000229D6">
        <w:t xml:space="preserve"> viziers,</w:t>
      </w:r>
      <w:r w:rsidRPr="00B14B06">
        <w:t xml:space="preserve"> nobility, scribes, artisans</w:t>
      </w:r>
      <w:r w:rsidR="00463BFD">
        <w:t xml:space="preserve"> and</w:t>
      </w:r>
      <w:r w:rsidRPr="00B14B06">
        <w:t xml:space="preserve"> agricultural workers</w:t>
      </w:r>
    </w:p>
    <w:p w14:paraId="237B2185" w14:textId="3954E3F7" w:rsidR="00F60B86" w:rsidRPr="00B14B06" w:rsidRDefault="00F60B86" w:rsidP="008F7B45">
      <w:pPr>
        <w:pStyle w:val="SyllabusListParagraph"/>
        <w:numPr>
          <w:ilvl w:val="1"/>
          <w:numId w:val="18"/>
        </w:numPr>
      </w:pPr>
      <w:r w:rsidRPr="00B14B06">
        <w:t xml:space="preserve">religion (the pharaoh as divine </w:t>
      </w:r>
      <w:r w:rsidRPr="0009031B">
        <w:t xml:space="preserve">ruler, </w:t>
      </w:r>
      <w:r w:rsidR="00D56301" w:rsidRPr="0009031B">
        <w:t xml:space="preserve">the son of Re and </w:t>
      </w:r>
      <w:r w:rsidR="00891A4A" w:rsidRPr="0009031B">
        <w:t xml:space="preserve">upholder </w:t>
      </w:r>
      <w:r w:rsidRPr="0009031B">
        <w:t xml:space="preserve">of </w:t>
      </w:r>
      <w:proofErr w:type="spellStart"/>
      <w:r w:rsidR="00170E15">
        <w:t>m</w:t>
      </w:r>
      <w:r w:rsidRPr="0009031B">
        <w:t>a</w:t>
      </w:r>
      <w:r w:rsidR="00050057" w:rsidRPr="0009031B">
        <w:t>’</w:t>
      </w:r>
      <w:r w:rsidRPr="0009031B">
        <w:t>at</w:t>
      </w:r>
      <w:proofErr w:type="spellEnd"/>
      <w:r w:rsidRPr="0009031B">
        <w:t>; the role</w:t>
      </w:r>
      <w:r w:rsidR="00D56301" w:rsidRPr="0009031B">
        <w:t>/s</w:t>
      </w:r>
      <w:r w:rsidRPr="0009031B">
        <w:t xml:space="preserve"> and </w:t>
      </w:r>
      <w:r w:rsidRPr="00B14B06">
        <w:t>importance of Amun and Re)</w:t>
      </w:r>
    </w:p>
    <w:p w14:paraId="45C1AF0D" w14:textId="6383B21E" w:rsidR="00F60B86" w:rsidRPr="005273AF" w:rsidRDefault="00F60B86" w:rsidP="008F7B45">
      <w:pPr>
        <w:pStyle w:val="SyllabusListParagraph"/>
        <w:numPr>
          <w:ilvl w:val="0"/>
          <w:numId w:val="18"/>
        </w:numPr>
      </w:pPr>
      <w:r w:rsidRPr="005273AF">
        <w:t>the key material, pictorial and written sources for the period, both ancient and modern, including human remains, tombs, cult and mortuary temples, obelisks, shrines, statues, reliefs, stelae, papyri, ostraca, inscriptions, tomb paintings and reliefs, and other artefacts.</w:t>
      </w:r>
    </w:p>
    <w:p w14:paraId="3265675B" w14:textId="6EAA8DDB" w:rsidR="00F60B86" w:rsidRPr="005273AF" w:rsidRDefault="00677FD9" w:rsidP="00B14B06">
      <w:r w:rsidRPr="00677FD9">
        <w:rPr>
          <w:bCs/>
        </w:rPr>
        <w:t>Note:</w:t>
      </w:r>
      <w:r w:rsidR="00F60B86" w:rsidRPr="00677FD9">
        <w:rPr>
          <w:bCs/>
        </w:rPr>
        <w:t xml:space="preserve"> there is</w:t>
      </w:r>
      <w:r w:rsidR="00F60B86" w:rsidRPr="005273AF">
        <w:t xml:space="preserve"> variability in the spelling of Egyptian names, and the dating of Egyptian chronology</w:t>
      </w:r>
      <w:r w:rsidR="00F60B86">
        <w:t>. Regnal years are used in Egyptian chronology.</w:t>
      </w:r>
    </w:p>
    <w:p w14:paraId="101F3FC7" w14:textId="4E551671" w:rsidR="00245DEA" w:rsidRPr="0096199D" w:rsidRDefault="00245DEA" w:rsidP="000A1877">
      <w:pPr>
        <w:pStyle w:val="Heading4"/>
        <w:rPr>
          <w:iCs/>
        </w:rPr>
      </w:pPr>
      <w:r w:rsidRPr="00D05241">
        <w:t>The ancient historical narrative</w:t>
      </w:r>
    </w:p>
    <w:p w14:paraId="2804E991" w14:textId="5F25F06F" w:rsidR="00F60B86" w:rsidRPr="00D05241" w:rsidRDefault="00F60B86" w:rsidP="00D05241">
      <w:pPr>
        <w:rPr>
          <w:b/>
          <w:bCs/>
        </w:rPr>
      </w:pPr>
      <w:r w:rsidRPr="00D05241">
        <w:rPr>
          <w:b/>
          <w:bCs/>
        </w:rPr>
        <w:t>Expulsion of the Hyksos, reunification of Egypt under Theban leadership and the establishment of the 18</w:t>
      </w:r>
      <w:r w:rsidRPr="00677FD9">
        <w:rPr>
          <w:b/>
          <w:bCs/>
        </w:rPr>
        <w:t>th</w:t>
      </w:r>
      <w:r w:rsidRPr="00D05241">
        <w:rPr>
          <w:b/>
          <w:bCs/>
        </w:rPr>
        <w:t xml:space="preserve"> </w:t>
      </w:r>
      <w:r w:rsidR="0078628D">
        <w:rPr>
          <w:b/>
          <w:bCs/>
        </w:rPr>
        <w:t>d</w:t>
      </w:r>
      <w:r w:rsidRPr="00D05241">
        <w:rPr>
          <w:b/>
          <w:bCs/>
        </w:rPr>
        <w:t>ynasty</w:t>
      </w:r>
    </w:p>
    <w:p w14:paraId="5F812E93" w14:textId="77777777" w:rsidR="00F60B86" w:rsidRPr="005273AF" w:rsidRDefault="00F60B86" w:rsidP="008F7B45">
      <w:pPr>
        <w:pStyle w:val="SyllabusListParagraph"/>
        <w:numPr>
          <w:ilvl w:val="0"/>
          <w:numId w:val="19"/>
        </w:numPr>
      </w:pPr>
      <w:r w:rsidRPr="001B60FB">
        <w:t>the family tree of the Theban rulers from</w:t>
      </w:r>
      <w:r w:rsidRPr="006A378D">
        <w:rPr>
          <w:color w:val="FF0000"/>
        </w:rPr>
        <w:t xml:space="preserve"> </w:t>
      </w:r>
      <w:r>
        <w:t>Tetisheri to Amenho</w:t>
      </w:r>
      <w:r w:rsidRPr="005273AF">
        <w:t>tep I</w:t>
      </w:r>
    </w:p>
    <w:p w14:paraId="79E4A181" w14:textId="77777777" w:rsidR="00F60B86" w:rsidRPr="001B60FB" w:rsidRDefault="00F60B86" w:rsidP="008F7B45">
      <w:pPr>
        <w:pStyle w:val="SyllabusListParagraph"/>
        <w:numPr>
          <w:ilvl w:val="0"/>
          <w:numId w:val="19"/>
        </w:numPr>
      </w:pPr>
      <w:r w:rsidRPr="00ED095D">
        <w:t>the role of 17th and 18th dynasty rulers (</w:t>
      </w:r>
      <w:proofErr w:type="spellStart"/>
      <w:r w:rsidRPr="00ED095D">
        <w:t>Seqenenre</w:t>
      </w:r>
      <w:proofErr w:type="spellEnd"/>
      <w:r w:rsidRPr="00ED095D">
        <w:t xml:space="preserve"> Tao II, </w:t>
      </w:r>
      <w:proofErr w:type="spellStart"/>
      <w:r w:rsidRPr="00ED095D">
        <w:t>Kamose</w:t>
      </w:r>
      <w:proofErr w:type="spellEnd"/>
      <w:r w:rsidRPr="00ED095D">
        <w:t xml:space="preserve"> and Ahmose, Amenhotep I) and th</w:t>
      </w:r>
      <w:r>
        <w:t>e role of the queens (</w:t>
      </w:r>
      <w:r w:rsidRPr="00ED095D">
        <w:t>Tetisheri, Ahhotep and Ahmose Nefertari) in the expulsion of the Hyksos and the es</w:t>
      </w:r>
      <w:r>
        <w:t>tablishment of the 18th dynasty</w:t>
      </w:r>
      <w:r w:rsidRPr="001B60FB">
        <w:t>, including:</w:t>
      </w:r>
    </w:p>
    <w:p w14:paraId="5314C57A" w14:textId="1CD693DD" w:rsidR="00F60B86" w:rsidRPr="00927F1B" w:rsidRDefault="00F60B86" w:rsidP="008F7B45">
      <w:pPr>
        <w:pStyle w:val="SyllabusListParagraph"/>
        <w:numPr>
          <w:ilvl w:val="1"/>
          <w:numId w:val="20"/>
        </w:numPr>
      </w:pPr>
      <w:r w:rsidRPr="00927F1B">
        <w:t xml:space="preserve">the evidence for </w:t>
      </w:r>
      <w:r w:rsidRPr="006A378D">
        <w:t xml:space="preserve">the quarrel </w:t>
      </w:r>
      <w:r w:rsidRPr="00927F1B">
        <w:t xml:space="preserve">between </w:t>
      </w:r>
      <w:r w:rsidRPr="006A378D">
        <w:t xml:space="preserve">Apophis and </w:t>
      </w:r>
      <w:proofErr w:type="spellStart"/>
      <w:r w:rsidRPr="006A378D">
        <w:t>Seqenenre</w:t>
      </w:r>
      <w:proofErr w:type="spellEnd"/>
      <w:r w:rsidRPr="006A378D">
        <w:t xml:space="preserve"> Tao II; </w:t>
      </w:r>
      <w:r w:rsidRPr="00927F1B">
        <w:t xml:space="preserve">the evidence </w:t>
      </w:r>
      <w:r w:rsidRPr="00D55D71">
        <w:t xml:space="preserve">for </w:t>
      </w:r>
      <w:r w:rsidRPr="00927F1B">
        <w:t xml:space="preserve">the death and </w:t>
      </w:r>
      <w:r w:rsidRPr="006A378D">
        <w:t>the</w:t>
      </w:r>
      <w:r>
        <w:t xml:space="preserve"> mummifi</w:t>
      </w:r>
      <w:r w:rsidRPr="00927F1B">
        <w:t>cation</w:t>
      </w:r>
      <w:r w:rsidRPr="006A378D">
        <w:t xml:space="preserve"> of </w:t>
      </w:r>
      <w:proofErr w:type="spellStart"/>
      <w:r w:rsidRPr="006A378D">
        <w:t>Seqenenre</w:t>
      </w:r>
      <w:proofErr w:type="spellEnd"/>
      <w:r w:rsidRPr="006A378D">
        <w:t xml:space="preserve"> Ta</w:t>
      </w:r>
      <w:r>
        <w:t>o II</w:t>
      </w:r>
    </w:p>
    <w:p w14:paraId="5EE8BDA6" w14:textId="14CB4684" w:rsidR="00F60B86" w:rsidRPr="00C51C10" w:rsidRDefault="00F60B86" w:rsidP="008F7B45">
      <w:pPr>
        <w:pStyle w:val="SyllabusListParagraph"/>
        <w:numPr>
          <w:ilvl w:val="1"/>
          <w:numId w:val="20"/>
        </w:numPr>
      </w:pPr>
      <w:r w:rsidRPr="00C51C10">
        <w:t>the wars led by Kamose against the Hyksos, including evidence from the military base at Deir</w:t>
      </w:r>
      <w:r w:rsidR="0078628D" w:rsidRPr="00C51C10">
        <w:t> </w:t>
      </w:r>
      <w:proofErr w:type="spellStart"/>
      <w:r w:rsidRPr="00C51C10">
        <w:t>el</w:t>
      </w:r>
      <w:proofErr w:type="spellEnd"/>
      <w:r w:rsidRPr="00C51C10">
        <w:t xml:space="preserve"> Ballas, </w:t>
      </w:r>
      <w:proofErr w:type="spellStart"/>
      <w:r w:rsidRPr="00C51C10">
        <w:t>Kamose’s</w:t>
      </w:r>
      <w:proofErr w:type="spellEnd"/>
      <w:r w:rsidRPr="00C51C10">
        <w:t xml:space="preserve"> account of events and Kamose’s burial</w:t>
      </w:r>
    </w:p>
    <w:p w14:paraId="21C06B77" w14:textId="3B6CC652" w:rsidR="00F60B86" w:rsidRPr="00210D01" w:rsidRDefault="00F60B86" w:rsidP="00C51C10">
      <w:pPr>
        <w:pStyle w:val="SyllabusListParagraph"/>
        <w:numPr>
          <w:ilvl w:val="1"/>
          <w:numId w:val="20"/>
        </w:numPr>
      </w:pPr>
      <w:r w:rsidRPr="00C51C10">
        <w:t>the wars led by Ahmose against the Hyksos, including evidence from the military base at Deir</w:t>
      </w:r>
      <w:r w:rsidR="0078628D" w:rsidRPr="00C51C10">
        <w:t> </w:t>
      </w:r>
      <w:proofErr w:type="spellStart"/>
      <w:r w:rsidRPr="00C51C10">
        <w:t>el</w:t>
      </w:r>
      <w:proofErr w:type="spellEnd"/>
      <w:r w:rsidRPr="00C51C10">
        <w:t xml:space="preserve"> Ballas, biographies of Ahmose</w:t>
      </w:r>
      <w:r w:rsidR="00463BFD">
        <w:t>,</w:t>
      </w:r>
      <w:r w:rsidRPr="00C51C10">
        <w:t xml:space="preserve"> son of </w:t>
      </w:r>
      <w:proofErr w:type="spellStart"/>
      <w:r w:rsidRPr="00C51C10">
        <w:t>Ebana</w:t>
      </w:r>
      <w:proofErr w:type="spellEnd"/>
      <w:r w:rsidR="00463BFD">
        <w:t>,</w:t>
      </w:r>
      <w:r w:rsidRPr="00C51C10">
        <w:t xml:space="preserve"> and Ahmose </w:t>
      </w:r>
      <w:proofErr w:type="spellStart"/>
      <w:r w:rsidRPr="00C51C10">
        <w:t>Pennekhbet</w:t>
      </w:r>
      <w:proofErr w:type="spellEnd"/>
      <w:r w:rsidRPr="00C51C10">
        <w:t xml:space="preserve"> and the differing evidence for the expulsion of the Hyksos, including the archaeological evidence from Avaris and the </w:t>
      </w:r>
      <w:r w:rsidR="00836390" w:rsidRPr="00C51C10">
        <w:t xml:space="preserve">evidence recorded by the </w:t>
      </w:r>
      <w:r w:rsidRPr="00C51C10">
        <w:t>Egyptian</w:t>
      </w:r>
      <w:r w:rsidR="00836390" w:rsidRPr="00C51C10">
        <w:t>s</w:t>
      </w:r>
      <w:r w:rsidRPr="00C51C10">
        <w:t xml:space="preserve"> </w:t>
      </w:r>
    </w:p>
    <w:p w14:paraId="6DE765C1" w14:textId="78C5FA38" w:rsidR="00F60B86" w:rsidRPr="0009031B" w:rsidRDefault="00F60B86" w:rsidP="008F7B45">
      <w:pPr>
        <w:pStyle w:val="SyllabusListParagraph"/>
        <w:numPr>
          <w:ilvl w:val="1"/>
          <w:numId w:val="20"/>
        </w:numPr>
      </w:pPr>
      <w:r w:rsidRPr="0009031B">
        <w:t>the roles of women in the wars against the Hyksos and the establishment of the 18th</w:t>
      </w:r>
      <w:r w:rsidR="0078628D" w:rsidRPr="0009031B">
        <w:t> d</w:t>
      </w:r>
      <w:r w:rsidRPr="0009031B">
        <w:t>ynasty, including Tetisheri, Ahhotep a</w:t>
      </w:r>
      <w:r w:rsidR="004870C3" w:rsidRPr="0009031B">
        <w:t>nd Ahmose Nefertari; the evidence</w:t>
      </w:r>
      <w:r w:rsidRPr="0009031B">
        <w:t xml:space="preserve"> from Ahhotep’s coffin and grave goods; the Ahmose Karnak stele; the Ahmose Abydos Donation Stele</w:t>
      </w:r>
    </w:p>
    <w:p w14:paraId="11C3ECE0" w14:textId="6C748EAE" w:rsidR="00F60B86" w:rsidRPr="00210D01" w:rsidRDefault="00F60B86" w:rsidP="008F7B45">
      <w:pPr>
        <w:pStyle w:val="SyllabusListParagraph"/>
        <w:numPr>
          <w:ilvl w:val="0"/>
          <w:numId w:val="21"/>
        </w:numPr>
      </w:pPr>
      <w:r w:rsidRPr="00C51C10">
        <w:t xml:space="preserve">religious beliefs, including the growing dominance of the god Amun; the growing prominence of Karnak Temple; the significance of the position of God’s </w:t>
      </w:r>
      <w:r w:rsidR="00B27831">
        <w:t>W</w:t>
      </w:r>
      <w:r w:rsidRPr="00C51C10">
        <w:t xml:space="preserve">ife of Amun </w:t>
      </w:r>
      <w:r w:rsidR="007D682D" w:rsidRPr="00C51C10">
        <w:t xml:space="preserve">given to Queen Ahmose Nefertari </w:t>
      </w:r>
      <w:r w:rsidRPr="00C51C10">
        <w:t xml:space="preserve">and </w:t>
      </w:r>
      <w:r w:rsidR="007D682D" w:rsidRPr="00C51C10">
        <w:t xml:space="preserve">subsequently to other </w:t>
      </w:r>
      <w:r w:rsidRPr="00C51C10">
        <w:t>senior royals</w:t>
      </w:r>
    </w:p>
    <w:p w14:paraId="24631801" w14:textId="372E3DD6" w:rsidR="00F60B86" w:rsidRPr="0009031B" w:rsidRDefault="00F60B86" w:rsidP="008F7B45">
      <w:pPr>
        <w:pStyle w:val="SyllabusListParagraph"/>
        <w:numPr>
          <w:ilvl w:val="0"/>
          <w:numId w:val="21"/>
        </w:numPr>
      </w:pPr>
      <w:r w:rsidRPr="002A20D4">
        <w:t xml:space="preserve">mortuary practices, including the significance of the foundation of Deir </w:t>
      </w:r>
      <w:proofErr w:type="spellStart"/>
      <w:r w:rsidRPr="002A20D4">
        <w:t>el</w:t>
      </w:r>
      <w:proofErr w:type="spellEnd"/>
      <w:r w:rsidRPr="002A20D4">
        <w:t xml:space="preserve"> Medina by Amenhotep</w:t>
      </w:r>
      <w:r w:rsidR="00891A4A">
        <w:t> </w:t>
      </w:r>
      <w:r w:rsidRPr="002A20D4">
        <w:t xml:space="preserve">I and his mother Ahmose Nefertari; the mummification, burials and grave goods of the royal family, their later exhumation, rewrapping and reburial in a cache at Deir </w:t>
      </w:r>
      <w:proofErr w:type="spellStart"/>
      <w:r w:rsidRPr="002A20D4">
        <w:t>el</w:t>
      </w:r>
      <w:proofErr w:type="spellEnd"/>
      <w:r w:rsidRPr="002A20D4">
        <w:t xml:space="preserve"> Bahari and their subsequent discovery in modern times, </w:t>
      </w:r>
      <w:r w:rsidRPr="0009031B">
        <w:t xml:space="preserve">including </w:t>
      </w:r>
      <w:r w:rsidR="00B76327" w:rsidRPr="0009031B">
        <w:t>their scientific analysis</w:t>
      </w:r>
    </w:p>
    <w:p w14:paraId="4B915E83" w14:textId="6E2AB8CE" w:rsidR="00F60B86" w:rsidRPr="0009031B" w:rsidRDefault="00F60B86" w:rsidP="008F7B45">
      <w:pPr>
        <w:pStyle w:val="SyllabusListParagraph"/>
        <w:numPr>
          <w:ilvl w:val="0"/>
          <w:numId w:val="21"/>
        </w:numPr>
      </w:pPr>
      <w:r w:rsidRPr="002A20D4">
        <w:t xml:space="preserve">the overall change that took place to the governance of the country, the economy, and in societal values and cultural practices between the final years of the 17th </w:t>
      </w:r>
      <w:r w:rsidR="0078628D">
        <w:t>d</w:t>
      </w:r>
      <w:r w:rsidRPr="002A20D4">
        <w:t xml:space="preserve">ynasty and the beginnings of the 18th </w:t>
      </w:r>
      <w:r w:rsidR="0078628D">
        <w:t>d</w:t>
      </w:r>
      <w:r w:rsidRPr="002A20D4">
        <w:t xml:space="preserve">ynasty to the reign of Amenhotep I, including the outcomes of the </w:t>
      </w:r>
      <w:r w:rsidRPr="002A20D4">
        <w:lastRenderedPageBreak/>
        <w:t>scientific analysis of the gold found in Kamose</w:t>
      </w:r>
      <w:r w:rsidR="00210D01">
        <w:t>’s</w:t>
      </w:r>
      <w:r w:rsidRPr="002A20D4">
        <w:t xml:space="preserve"> and Ahhotep’s burials and evidence of the iconography </w:t>
      </w:r>
      <w:r w:rsidRPr="0009031B">
        <w:t xml:space="preserve">of the pharaoh, including </w:t>
      </w:r>
      <w:r w:rsidR="00106367" w:rsidRPr="0009031B">
        <w:t xml:space="preserve">his </w:t>
      </w:r>
      <w:r w:rsidRPr="0009031B">
        <w:t xml:space="preserve">representation as warrior and leader and the ideology of kingship, including titles, regalia and </w:t>
      </w:r>
      <w:r w:rsidR="00534C02" w:rsidRPr="0009031B">
        <w:t xml:space="preserve">his role in upholding </w:t>
      </w:r>
      <w:proofErr w:type="spellStart"/>
      <w:r w:rsidR="00534C02" w:rsidRPr="0009031B">
        <w:t>m</w:t>
      </w:r>
      <w:r w:rsidRPr="0009031B">
        <w:t>a</w:t>
      </w:r>
      <w:r w:rsidR="00050057" w:rsidRPr="0009031B">
        <w:t>’</w:t>
      </w:r>
      <w:r w:rsidRPr="0009031B">
        <w:t>at</w:t>
      </w:r>
      <w:proofErr w:type="spellEnd"/>
    </w:p>
    <w:p w14:paraId="22E3ABC5" w14:textId="4429231E" w:rsidR="00F60B86" w:rsidRPr="0009031B" w:rsidRDefault="00F60B86" w:rsidP="008F7B45">
      <w:pPr>
        <w:pStyle w:val="SyllabusListParagraph"/>
        <w:numPr>
          <w:ilvl w:val="0"/>
          <w:numId w:val="21"/>
        </w:numPr>
      </w:pPr>
      <w:r w:rsidRPr="0009031B">
        <w:t xml:space="preserve">the overall development and importance of the military in the expansion and maintenance of the Egyptian </w:t>
      </w:r>
      <w:r w:rsidR="00417F1C">
        <w:t>E</w:t>
      </w:r>
      <w:r w:rsidRPr="0009031B">
        <w:t xml:space="preserve">mpire, including its organisation, composition, weaponry, strategy and tactics. Sources include the evidence provided by the writings of Kamose and the military careers of </w:t>
      </w:r>
      <w:r w:rsidRPr="0009031B">
        <w:rPr>
          <w:b/>
          <w:bCs/>
        </w:rPr>
        <w:t>two</w:t>
      </w:r>
      <w:r w:rsidRPr="0009031B">
        <w:t xml:space="preserve"> key individuals, Ahmose, son of </w:t>
      </w:r>
      <w:proofErr w:type="spellStart"/>
      <w:r w:rsidRPr="0009031B">
        <w:t>Ebana</w:t>
      </w:r>
      <w:proofErr w:type="spellEnd"/>
      <w:r w:rsidRPr="0009031B">
        <w:t xml:space="preserve">, and Ahmose </w:t>
      </w:r>
      <w:proofErr w:type="spellStart"/>
      <w:r w:rsidRPr="0009031B">
        <w:t>Pennekhbet</w:t>
      </w:r>
      <w:proofErr w:type="spellEnd"/>
    </w:p>
    <w:p w14:paraId="51C39727" w14:textId="1318D53A" w:rsidR="00F60B86" w:rsidRPr="0009031B" w:rsidRDefault="00F60B86" w:rsidP="00752A9F">
      <w:pPr>
        <w:pStyle w:val="Heading4"/>
      </w:pPr>
      <w:r w:rsidRPr="0009031B">
        <w:t xml:space="preserve">An overview of the reigns of Amenhotep I, </w:t>
      </w:r>
      <w:proofErr w:type="spellStart"/>
      <w:r w:rsidRPr="0009031B">
        <w:t>Tuthmosis</w:t>
      </w:r>
      <w:proofErr w:type="spellEnd"/>
      <w:r w:rsidRPr="0009031B">
        <w:t xml:space="preserve"> I and </w:t>
      </w:r>
      <w:proofErr w:type="spellStart"/>
      <w:r w:rsidRPr="0009031B">
        <w:t>Tuthmosis</w:t>
      </w:r>
      <w:proofErr w:type="spellEnd"/>
      <w:r w:rsidRPr="0009031B">
        <w:t xml:space="preserve"> II</w:t>
      </w:r>
    </w:p>
    <w:p w14:paraId="578A8EBB" w14:textId="472D3FBA" w:rsidR="00F60B86" w:rsidRPr="0009031B" w:rsidRDefault="00677FD9" w:rsidP="008F7B45">
      <w:pPr>
        <w:pStyle w:val="SyllabusListParagraph"/>
        <w:numPr>
          <w:ilvl w:val="0"/>
          <w:numId w:val="22"/>
        </w:numPr>
      </w:pPr>
      <w:r w:rsidRPr="0009031B">
        <w:t>f</w:t>
      </w:r>
      <w:r w:rsidR="00F60B86" w:rsidRPr="0009031B">
        <w:t xml:space="preserve">amily trees of Amenhotep I, </w:t>
      </w:r>
      <w:proofErr w:type="spellStart"/>
      <w:r w:rsidR="00F60B86" w:rsidRPr="0009031B">
        <w:t>Tuthmosis</w:t>
      </w:r>
      <w:proofErr w:type="spellEnd"/>
      <w:r w:rsidR="00F60B86" w:rsidRPr="0009031B">
        <w:t xml:space="preserve"> I and </w:t>
      </w:r>
      <w:proofErr w:type="spellStart"/>
      <w:r w:rsidR="00F60B86" w:rsidRPr="0009031B">
        <w:t>Tuthmosis</w:t>
      </w:r>
      <w:proofErr w:type="spellEnd"/>
      <w:r w:rsidR="00F60B86" w:rsidRPr="0009031B">
        <w:t xml:space="preserve"> II</w:t>
      </w:r>
    </w:p>
    <w:p w14:paraId="7992746C" w14:textId="4F57F7F0" w:rsidR="00F60B86" w:rsidRPr="0009031B" w:rsidRDefault="00F60B86" w:rsidP="008F7B45">
      <w:pPr>
        <w:pStyle w:val="SyllabusListParagraph"/>
        <w:numPr>
          <w:ilvl w:val="0"/>
          <w:numId w:val="22"/>
        </w:numPr>
      </w:pPr>
      <w:r w:rsidRPr="0009031B">
        <w:t xml:space="preserve">military activities from the biographies of Ahmose, son of </w:t>
      </w:r>
      <w:proofErr w:type="spellStart"/>
      <w:r w:rsidRPr="0009031B">
        <w:t>Ebana</w:t>
      </w:r>
      <w:proofErr w:type="spellEnd"/>
      <w:r w:rsidR="00463BFD">
        <w:t>,</w:t>
      </w:r>
      <w:r w:rsidRPr="0009031B">
        <w:t xml:space="preserve"> on the campaigns of </w:t>
      </w:r>
      <w:proofErr w:type="spellStart"/>
      <w:r w:rsidRPr="0009031B">
        <w:t>Tuthmosis</w:t>
      </w:r>
      <w:proofErr w:type="spellEnd"/>
      <w:r w:rsidRPr="0009031B">
        <w:t xml:space="preserve"> I in Nubia and in Syria-Palestine and Ahmose </w:t>
      </w:r>
      <w:proofErr w:type="spellStart"/>
      <w:r w:rsidRPr="0009031B">
        <w:t>Pennekhbet</w:t>
      </w:r>
      <w:proofErr w:type="spellEnd"/>
      <w:r w:rsidRPr="0009031B">
        <w:t xml:space="preserve"> on the campaigns of </w:t>
      </w:r>
      <w:proofErr w:type="spellStart"/>
      <w:r w:rsidRPr="0009031B">
        <w:t>Tuthmosis</w:t>
      </w:r>
      <w:proofErr w:type="spellEnd"/>
      <w:r w:rsidRPr="0009031B">
        <w:t xml:space="preserve"> I in Nubia and to </w:t>
      </w:r>
      <w:proofErr w:type="spellStart"/>
      <w:r w:rsidRPr="0009031B">
        <w:t>Naharin</w:t>
      </w:r>
      <w:proofErr w:type="spellEnd"/>
      <w:r w:rsidRPr="0009031B">
        <w:t xml:space="preserve"> in Syria-Palestine</w:t>
      </w:r>
      <w:r w:rsidR="00931DDE" w:rsidRPr="0009031B">
        <w:t>,</w:t>
      </w:r>
      <w:r w:rsidRPr="0009031B">
        <w:t xml:space="preserve"> </w:t>
      </w:r>
      <w:r w:rsidR="00931DDE" w:rsidRPr="0009031B">
        <w:t>i</w:t>
      </w:r>
      <w:r w:rsidRPr="0009031B">
        <w:t xml:space="preserve">ncluding information from the tomb biography of </w:t>
      </w:r>
      <w:proofErr w:type="spellStart"/>
      <w:r w:rsidRPr="0009031B">
        <w:t>Ineni</w:t>
      </w:r>
      <w:proofErr w:type="spellEnd"/>
      <w:r w:rsidRPr="0009031B">
        <w:t xml:space="preserve"> </w:t>
      </w:r>
      <w:r w:rsidR="001B504E" w:rsidRPr="0009031B">
        <w:t xml:space="preserve">referencing </w:t>
      </w:r>
      <w:r w:rsidRPr="0009031B">
        <w:t>the military campaigns</w:t>
      </w:r>
    </w:p>
    <w:p w14:paraId="028940EF" w14:textId="5615F6DC" w:rsidR="00F60B86" w:rsidRPr="00D05241" w:rsidRDefault="00F60B86" w:rsidP="00752A9F">
      <w:pPr>
        <w:pStyle w:val="Heading4"/>
      </w:pPr>
      <w:r w:rsidRPr="00D05241">
        <w:t>Hatshepsut</w:t>
      </w:r>
    </w:p>
    <w:p w14:paraId="668CC14D" w14:textId="1FD0BC17" w:rsidR="00F60B86" w:rsidRPr="002A20D4" w:rsidRDefault="00F60B86" w:rsidP="008F7B45">
      <w:pPr>
        <w:pStyle w:val="SyllabusListParagraph"/>
        <w:numPr>
          <w:ilvl w:val="0"/>
          <w:numId w:val="23"/>
        </w:numPr>
      </w:pPr>
      <w:r w:rsidRPr="002A20D4">
        <w:t xml:space="preserve">family tree; background and status; key events in her rise to prominence, including the significance of her position, and that of her daughter Neferure, as God’s Wife of Amun </w:t>
      </w:r>
    </w:p>
    <w:p w14:paraId="40E094D2" w14:textId="14BEF1E6" w:rsidR="00F60B86" w:rsidRPr="002A20D4" w:rsidRDefault="00F60B86" w:rsidP="008F7B45">
      <w:pPr>
        <w:pStyle w:val="SyllabusListParagraph"/>
        <w:numPr>
          <w:ilvl w:val="0"/>
          <w:numId w:val="23"/>
        </w:numPr>
      </w:pPr>
      <w:r w:rsidRPr="002A20D4">
        <w:t xml:space="preserve">the material evidence from Hatshepsut’s buildings, inscriptions and statues for her gradual evolution from female </w:t>
      </w:r>
      <w:r w:rsidR="0078628D" w:rsidRPr="002A20D4">
        <w:t xml:space="preserve">queen to male pharaoh </w:t>
      </w:r>
      <w:r w:rsidRPr="002A20D4">
        <w:t>in full regalia, including her relationship with her father, her relationship with her husband</w:t>
      </w:r>
      <w:r w:rsidR="00417F1C">
        <w:t>,</w:t>
      </w:r>
      <w:r w:rsidRPr="002A20D4">
        <w:t xml:space="preserve"> her relationship with her co-regent </w:t>
      </w:r>
      <w:proofErr w:type="spellStart"/>
      <w:r w:rsidRPr="002A20D4">
        <w:t>Tuthmosis</w:t>
      </w:r>
      <w:proofErr w:type="spellEnd"/>
      <w:r w:rsidRPr="002A20D4">
        <w:t xml:space="preserve"> III and the role of her officials in particular </w:t>
      </w:r>
      <w:proofErr w:type="spellStart"/>
      <w:r w:rsidRPr="002A20D4">
        <w:t>Senenmut</w:t>
      </w:r>
      <w:proofErr w:type="spellEnd"/>
      <w:r w:rsidRPr="002A20D4">
        <w:t xml:space="preserve"> </w:t>
      </w:r>
    </w:p>
    <w:p w14:paraId="02BA11B6" w14:textId="24A6CEC8" w:rsidR="00F60B86" w:rsidRPr="002A20D4" w:rsidRDefault="00F60B86" w:rsidP="008F7B45">
      <w:pPr>
        <w:pStyle w:val="SyllabusListParagraph"/>
        <w:numPr>
          <w:ilvl w:val="0"/>
          <w:numId w:val="23"/>
        </w:numPr>
      </w:pPr>
      <w:r w:rsidRPr="002A20D4">
        <w:t xml:space="preserve">the evidence of Hatshepsut’s power and legitimacy as pharaoh from her building program, including Deir </w:t>
      </w:r>
      <w:proofErr w:type="spellStart"/>
      <w:r w:rsidRPr="002A20D4">
        <w:t>el</w:t>
      </w:r>
      <w:proofErr w:type="spellEnd"/>
      <w:r w:rsidRPr="002A20D4">
        <w:t xml:space="preserve"> Bahari, the Red Chapel, the transport and raising of her Karnak obelisks and Speos </w:t>
      </w:r>
      <w:proofErr w:type="spellStart"/>
      <w:r w:rsidR="00556BE9" w:rsidRPr="002A20D4">
        <w:t>Art</w:t>
      </w:r>
      <w:r w:rsidR="00D55D71">
        <w:t>e</w:t>
      </w:r>
      <w:r w:rsidR="00556BE9" w:rsidRPr="002A20D4">
        <w:t>midos</w:t>
      </w:r>
      <w:proofErr w:type="spellEnd"/>
    </w:p>
    <w:p w14:paraId="3746294B" w14:textId="77777777" w:rsidR="00F60B86" w:rsidRPr="002A20D4" w:rsidRDefault="00F60B86" w:rsidP="008F7B45">
      <w:pPr>
        <w:pStyle w:val="SyllabusListParagraph"/>
        <w:numPr>
          <w:ilvl w:val="0"/>
          <w:numId w:val="23"/>
        </w:numPr>
      </w:pPr>
      <w:r w:rsidRPr="002A20D4">
        <w:t>the political and religious significance and purpose of temples, including evidence from Hatshepsut’s mortuary temple regarding her claims to the kingship</w:t>
      </w:r>
    </w:p>
    <w:p w14:paraId="19AAE23D" w14:textId="7FC20D86" w:rsidR="00F60B86" w:rsidRPr="002A20D4" w:rsidRDefault="00F60B86" w:rsidP="008F7B45">
      <w:pPr>
        <w:pStyle w:val="SyllabusListParagraph"/>
        <w:numPr>
          <w:ilvl w:val="0"/>
          <w:numId w:val="23"/>
        </w:numPr>
      </w:pPr>
      <w:r w:rsidRPr="002A20D4">
        <w:t xml:space="preserve">the nature of foreign policy and empire and its impact on economic development, including the logistics and outcome of Hatshepsut’s Voyage to Punt; her military activities, and the significance of booty, tribute and trade, including evidence from Deir </w:t>
      </w:r>
      <w:proofErr w:type="spellStart"/>
      <w:r w:rsidRPr="002A20D4">
        <w:t>el</w:t>
      </w:r>
      <w:proofErr w:type="spellEnd"/>
      <w:r w:rsidRPr="002A20D4">
        <w:t xml:space="preserve"> Bahari and from the Speos </w:t>
      </w:r>
      <w:proofErr w:type="spellStart"/>
      <w:r w:rsidRPr="002A20D4">
        <w:t>Art</w:t>
      </w:r>
      <w:r w:rsidR="00D55D71">
        <w:t>e</w:t>
      </w:r>
      <w:r w:rsidRPr="002A20D4">
        <w:t>m</w:t>
      </w:r>
      <w:r w:rsidR="00D55D71">
        <w:t>i</w:t>
      </w:r>
      <w:r w:rsidRPr="002A20D4">
        <w:t>dos</w:t>
      </w:r>
      <w:proofErr w:type="spellEnd"/>
      <w:r w:rsidRPr="002A20D4">
        <w:t xml:space="preserve"> inscription </w:t>
      </w:r>
    </w:p>
    <w:p w14:paraId="4BB60D49" w14:textId="7C52B421" w:rsidR="00F60B86" w:rsidRPr="0009031B" w:rsidRDefault="00F60B86" w:rsidP="008F7B45">
      <w:pPr>
        <w:pStyle w:val="SyllabusListParagraph"/>
        <w:numPr>
          <w:ilvl w:val="0"/>
          <w:numId w:val="23"/>
        </w:numPr>
      </w:pPr>
      <w:r w:rsidRPr="002A20D4">
        <w:t xml:space="preserve">evidence of the iconography of the </w:t>
      </w:r>
      <w:r w:rsidRPr="00A86933">
        <w:t>pharaoh</w:t>
      </w:r>
      <w:r w:rsidRPr="002A20D4">
        <w:t>, including Hatshepsut’s representation as warrior and leader and the ideology of kingship, including titles, regalia</w:t>
      </w:r>
      <w:r w:rsidRPr="0009031B">
        <w:t xml:space="preserve"> and the </w:t>
      </w:r>
      <w:r w:rsidR="002A4F51" w:rsidRPr="0009031B">
        <w:t xml:space="preserve">significance of her role in upholding </w:t>
      </w:r>
      <w:proofErr w:type="spellStart"/>
      <w:r w:rsidR="002A4F51" w:rsidRPr="0009031B">
        <w:t>m</w:t>
      </w:r>
      <w:r w:rsidRPr="0009031B">
        <w:t>a</w:t>
      </w:r>
      <w:r w:rsidR="00050057" w:rsidRPr="0009031B">
        <w:t>’</w:t>
      </w:r>
      <w:r w:rsidRPr="0009031B">
        <w:t>at</w:t>
      </w:r>
      <w:proofErr w:type="spellEnd"/>
      <w:r w:rsidRPr="0009031B">
        <w:t xml:space="preserve"> </w:t>
      </w:r>
    </w:p>
    <w:p w14:paraId="06303E83" w14:textId="312123E0" w:rsidR="00F60B86" w:rsidRPr="0009031B" w:rsidRDefault="00F60B86" w:rsidP="008F7B45">
      <w:pPr>
        <w:pStyle w:val="SyllabusListParagraph"/>
        <w:numPr>
          <w:ilvl w:val="0"/>
          <w:numId w:val="23"/>
        </w:numPr>
      </w:pPr>
      <w:r w:rsidRPr="0009031B">
        <w:t xml:space="preserve">ancient sources, including the Tomb Biography of </w:t>
      </w:r>
      <w:proofErr w:type="spellStart"/>
      <w:r w:rsidRPr="0009031B">
        <w:t>Ineni</w:t>
      </w:r>
      <w:proofErr w:type="spellEnd"/>
      <w:r w:rsidRPr="0009031B">
        <w:t xml:space="preserve">; the inscriptions and images on the walls of the mortuary temple of Deir </w:t>
      </w:r>
      <w:proofErr w:type="spellStart"/>
      <w:r w:rsidRPr="0009031B">
        <w:t>el</w:t>
      </w:r>
      <w:proofErr w:type="spellEnd"/>
      <w:r w:rsidRPr="0009031B">
        <w:t xml:space="preserve"> Bahari; the temples of Karnak and Luxor; the Speos </w:t>
      </w:r>
      <w:proofErr w:type="spellStart"/>
      <w:r w:rsidRPr="0009031B">
        <w:t>Artemidos</w:t>
      </w:r>
      <w:proofErr w:type="spellEnd"/>
      <w:r w:rsidRPr="0009031B">
        <w:t xml:space="preserve">, the Red Chapel at Karnak and her two Karnak </w:t>
      </w:r>
      <w:r w:rsidR="00417F1C">
        <w:t>o</w:t>
      </w:r>
      <w:r w:rsidRPr="0009031B">
        <w:t>belisks</w:t>
      </w:r>
    </w:p>
    <w:p w14:paraId="7FCD98EE" w14:textId="22BD182F" w:rsidR="00F60B86" w:rsidRPr="002A20D4" w:rsidRDefault="00F60B86" w:rsidP="008F7B45">
      <w:pPr>
        <w:pStyle w:val="SyllabusListParagraph"/>
        <w:numPr>
          <w:ilvl w:val="0"/>
          <w:numId w:val="23"/>
        </w:numPr>
      </w:pPr>
      <w:r w:rsidRPr="0009031B">
        <w:t>the nature of the excavations, the research and recording work, conservation</w:t>
      </w:r>
      <w:r w:rsidR="007678E8" w:rsidRPr="0009031B">
        <w:t xml:space="preserve"> and/or restoration </w:t>
      </w:r>
      <w:r w:rsidRPr="0009031B">
        <w:t xml:space="preserve">and protection at the Deir </w:t>
      </w:r>
      <w:proofErr w:type="spellStart"/>
      <w:r w:rsidRPr="0009031B">
        <w:t>el</w:t>
      </w:r>
      <w:proofErr w:type="spellEnd"/>
      <w:r w:rsidRPr="0009031B">
        <w:t xml:space="preserve"> Bahari temple site, including the work of Edouard Naville; Howard Carter; the Polish Centre for Mediterranean Archaeology’s Mission to Deir </w:t>
      </w:r>
      <w:proofErr w:type="spellStart"/>
      <w:r w:rsidRPr="0009031B">
        <w:t>el</w:t>
      </w:r>
      <w:proofErr w:type="spellEnd"/>
      <w:r w:rsidRPr="0009031B">
        <w:t xml:space="preserve"> Bahari; </w:t>
      </w:r>
      <w:r w:rsidR="007678E8" w:rsidRPr="0009031B">
        <w:t xml:space="preserve">the nature of the excavations, the research and recording work, conservation and/or restoration and </w:t>
      </w:r>
      <w:r w:rsidRPr="002A20D4">
        <w:lastRenderedPageBreak/>
        <w:t xml:space="preserve">protection at the Karnak temple site, including the obelisks and the Red Chapel (the Chapelle Rouge) by the </w:t>
      </w:r>
      <w:bookmarkStart w:id="31" w:name="_Hlk127356098"/>
      <w:r w:rsidR="00463BFD" w:rsidRPr="0009031B">
        <w:t>French Egyptian Centre for the Study of the Temples of Karnak (the CFEETK)</w:t>
      </w:r>
      <w:bookmarkEnd w:id="31"/>
      <w:r w:rsidRPr="002A20D4">
        <w:t xml:space="preserve"> </w:t>
      </w:r>
    </w:p>
    <w:p w14:paraId="0D70CD63" w14:textId="3C7DD46B" w:rsidR="00F60B86" w:rsidRPr="0009031B" w:rsidRDefault="007B4A8E" w:rsidP="008F7B45">
      <w:pPr>
        <w:pStyle w:val="SyllabusListParagraph"/>
        <w:numPr>
          <w:ilvl w:val="0"/>
          <w:numId w:val="23"/>
        </w:numPr>
      </w:pPr>
      <w:r w:rsidRPr="0009031B">
        <w:t xml:space="preserve">the contribution of scholars and contemporary Egyptian and international historians to an understanding of Hatshepsut’s reign, including her relationship with </w:t>
      </w:r>
      <w:proofErr w:type="spellStart"/>
      <w:r w:rsidRPr="0009031B">
        <w:t>Tuthmosis</w:t>
      </w:r>
      <w:proofErr w:type="spellEnd"/>
      <w:r w:rsidRPr="0009031B">
        <w:t xml:space="preserve"> III, her presumed death, her absence from the </w:t>
      </w:r>
      <w:r w:rsidR="00417F1C">
        <w:t>K</w:t>
      </w:r>
      <w:r w:rsidRPr="0009031B">
        <w:t xml:space="preserve">ing </w:t>
      </w:r>
      <w:r w:rsidR="00417F1C">
        <w:t>L</w:t>
      </w:r>
      <w:r w:rsidRPr="0009031B">
        <w:t>ist</w:t>
      </w:r>
      <w:r w:rsidR="00411F81">
        <w:t>s</w:t>
      </w:r>
      <w:r w:rsidRPr="0009031B">
        <w:t>, the defacing of her monuments, and the questions over the location of her tomb and her body, including scientific investigations</w:t>
      </w:r>
    </w:p>
    <w:p w14:paraId="3B840A3C" w14:textId="4B55768D" w:rsidR="00F60B86" w:rsidRPr="00A86933" w:rsidRDefault="00F60B86" w:rsidP="008F7B45">
      <w:pPr>
        <w:pStyle w:val="SyllabusListParagraph"/>
        <w:numPr>
          <w:ilvl w:val="0"/>
          <w:numId w:val="23"/>
        </w:numPr>
      </w:pPr>
      <w:r w:rsidRPr="002A20D4">
        <w:t xml:space="preserve">difficulties of interpretation of evidence by modern scholars </w:t>
      </w:r>
      <w:proofErr w:type="gramStart"/>
      <w:r w:rsidRPr="002A20D4">
        <w:t>as a result of</w:t>
      </w:r>
      <w:proofErr w:type="gramEnd"/>
      <w:r w:rsidRPr="002A20D4">
        <w:t xml:space="preserve"> additions and reuse by successive pharaohs, including the dismantling of monuments; damage to</w:t>
      </w:r>
      <w:r w:rsidR="00417F1C">
        <w:t>,</w:t>
      </w:r>
      <w:r w:rsidRPr="002A20D4">
        <w:t xml:space="preserve"> or removal of</w:t>
      </w:r>
      <w:r w:rsidR="00417F1C">
        <w:t>,</w:t>
      </w:r>
      <w:r w:rsidRPr="002A20D4">
        <w:t xml:space="preserve"> reliefs and inscriptions caused by </w:t>
      </w:r>
      <w:r w:rsidRPr="00A86933">
        <w:t>environmental factors</w:t>
      </w:r>
      <w:r w:rsidR="00A86933" w:rsidRPr="00A86933">
        <w:t>,</w:t>
      </w:r>
      <w:r w:rsidRPr="00A86933">
        <w:t xml:space="preserve"> including rising water table, salt or exposure to elements or human agency</w:t>
      </w:r>
      <w:r w:rsidR="00A86933" w:rsidRPr="00A86933">
        <w:t>,</w:t>
      </w:r>
      <w:r w:rsidRPr="00A86933">
        <w:t xml:space="preserve"> including defacement, reuse or hiding of materials </w:t>
      </w:r>
    </w:p>
    <w:p w14:paraId="53896D46" w14:textId="77777777" w:rsidR="00F60B86" w:rsidRPr="00D05241" w:rsidRDefault="00F60B86" w:rsidP="00752A9F">
      <w:pPr>
        <w:pStyle w:val="Heading4"/>
        <w:rPr>
          <w:strike/>
        </w:rPr>
      </w:pPr>
      <w:proofErr w:type="spellStart"/>
      <w:r w:rsidRPr="00D05241">
        <w:t>Tuthmosis</w:t>
      </w:r>
      <w:proofErr w:type="spellEnd"/>
      <w:r w:rsidRPr="00D05241">
        <w:t xml:space="preserve"> III</w:t>
      </w:r>
    </w:p>
    <w:p w14:paraId="5A31E939" w14:textId="77777777" w:rsidR="00F60B86" w:rsidRPr="002A20D4" w:rsidRDefault="00F60B86" w:rsidP="008F7B45">
      <w:pPr>
        <w:pStyle w:val="SyllabusListParagraph"/>
        <w:numPr>
          <w:ilvl w:val="0"/>
          <w:numId w:val="24"/>
        </w:numPr>
      </w:pPr>
      <w:r w:rsidRPr="002A20D4">
        <w:t xml:space="preserve">family tree; background and status; key events in </w:t>
      </w:r>
      <w:proofErr w:type="spellStart"/>
      <w:r w:rsidRPr="002A20D4">
        <w:t>Tuthmosis</w:t>
      </w:r>
      <w:proofErr w:type="spellEnd"/>
      <w:r w:rsidRPr="002A20D4">
        <w:t xml:space="preserve"> III’s rise to prominence, including his co-regency with Hatshepsut</w:t>
      </w:r>
    </w:p>
    <w:p w14:paraId="47CD24E5" w14:textId="1A0AF2D2" w:rsidR="00F60B86" w:rsidRPr="0009031B" w:rsidRDefault="00F60B86" w:rsidP="008F7B45">
      <w:pPr>
        <w:pStyle w:val="SyllabusListParagraph"/>
        <w:numPr>
          <w:ilvl w:val="0"/>
          <w:numId w:val="24"/>
        </w:numPr>
      </w:pPr>
      <w:r w:rsidRPr="002A20D4">
        <w:t xml:space="preserve">the </w:t>
      </w:r>
      <w:r w:rsidRPr="0009031B">
        <w:t xml:space="preserve">significance of conquest and expansion in Nubia and Syria-Palestine, including </w:t>
      </w:r>
    </w:p>
    <w:p w14:paraId="240D4254" w14:textId="21472C8B" w:rsidR="00F60B86" w:rsidRPr="0009031B" w:rsidRDefault="00F60B86" w:rsidP="008F7B45">
      <w:pPr>
        <w:pStyle w:val="SyllabusListParagraph"/>
        <w:numPr>
          <w:ilvl w:val="1"/>
          <w:numId w:val="25"/>
        </w:numPr>
      </w:pPr>
      <w:r w:rsidRPr="0009031B">
        <w:t xml:space="preserve">the use of the military; the expansion and maintenance of the Egyptian Empire; the battle and siege of Megiddo under </w:t>
      </w:r>
      <w:proofErr w:type="spellStart"/>
      <w:r w:rsidRPr="0009031B">
        <w:t>Tuthmosis</w:t>
      </w:r>
      <w:proofErr w:type="spellEnd"/>
      <w:r w:rsidRPr="0009031B">
        <w:t xml:space="preserve"> III; the nature of Egyptian imperialism under </w:t>
      </w:r>
      <w:proofErr w:type="spellStart"/>
      <w:r w:rsidRPr="0009031B">
        <w:t>Tuthmosis</w:t>
      </w:r>
      <w:proofErr w:type="spellEnd"/>
      <w:r w:rsidRPr="0009031B">
        <w:t xml:space="preserve"> III, including the different imperial systems in Syria-Palestine and Nubia, including the ancient sources</w:t>
      </w:r>
      <w:r w:rsidR="00556BE9" w:rsidRPr="0009031B">
        <w:t>,</w:t>
      </w:r>
      <w:r w:rsidRPr="0009031B">
        <w:t xml:space="preserve"> the Annals of Karnak, the Gebal </w:t>
      </w:r>
      <w:proofErr w:type="spellStart"/>
      <w:r w:rsidRPr="0009031B">
        <w:t>Barkal</w:t>
      </w:r>
      <w:proofErr w:type="spellEnd"/>
      <w:r w:rsidRPr="0009031B">
        <w:t xml:space="preserve"> Stele Inscription and the </w:t>
      </w:r>
      <w:proofErr w:type="spellStart"/>
      <w:r w:rsidRPr="0009031B">
        <w:t>Amarnt</w:t>
      </w:r>
      <w:proofErr w:type="spellEnd"/>
      <w:r w:rsidRPr="0009031B">
        <w:t xml:space="preserve"> Stele from the Temple of Montu</w:t>
      </w:r>
    </w:p>
    <w:p w14:paraId="2BB661E4" w14:textId="32A4ECF2" w:rsidR="00F60B86" w:rsidRPr="0009031B" w:rsidRDefault="00F60B86" w:rsidP="008F7B45">
      <w:pPr>
        <w:pStyle w:val="SyllabusListParagraph"/>
        <w:numPr>
          <w:ilvl w:val="1"/>
          <w:numId w:val="25"/>
        </w:numPr>
      </w:pPr>
      <w:r w:rsidRPr="0009031B">
        <w:t xml:space="preserve">the link between the military, </w:t>
      </w:r>
      <w:r w:rsidR="00417F1C">
        <w:t>e</w:t>
      </w:r>
      <w:r w:rsidRPr="0009031B">
        <w:t xml:space="preserve">mpire and economic development, including the religious, political and economic importance of temples, the significance of booty, tribute and trade; building programs; hostage taking; diplomacy and marriage contracts, including </w:t>
      </w:r>
      <w:r w:rsidR="00CC0991" w:rsidRPr="0009031B">
        <w:t xml:space="preserve">evidence from the tombs of </w:t>
      </w:r>
      <w:r w:rsidRPr="0009031B">
        <w:t xml:space="preserve">the three foreign wives of </w:t>
      </w:r>
      <w:proofErr w:type="spellStart"/>
      <w:r w:rsidRPr="0009031B">
        <w:t>Tuthmosis</w:t>
      </w:r>
      <w:proofErr w:type="spellEnd"/>
      <w:r w:rsidRPr="0009031B">
        <w:t xml:space="preserve"> III, the Annals of Karnak, the Botanical Garden at Karnak, </w:t>
      </w:r>
      <w:proofErr w:type="spellStart"/>
      <w:r w:rsidRPr="0009031B">
        <w:t>Tuthmosis</w:t>
      </w:r>
      <w:proofErr w:type="spellEnd"/>
      <w:r w:rsidRPr="0009031B">
        <w:t xml:space="preserve"> III’s obelisks</w:t>
      </w:r>
    </w:p>
    <w:p w14:paraId="48637FAE" w14:textId="1A701E50" w:rsidR="00F60B86" w:rsidRPr="0009031B" w:rsidRDefault="00F60B86" w:rsidP="008F7B45">
      <w:pPr>
        <w:pStyle w:val="SyllabusListParagraph"/>
        <w:numPr>
          <w:ilvl w:val="1"/>
          <w:numId w:val="25"/>
        </w:numPr>
      </w:pPr>
      <w:r w:rsidRPr="0009031B">
        <w:t xml:space="preserve">evidence of the iconography of the pharaoh, including representation as warrior and leader and the ideology of kingship, including titles, regalia, and the </w:t>
      </w:r>
      <w:r w:rsidR="00BC582E" w:rsidRPr="0009031B">
        <w:t xml:space="preserve">significance of his role in upholding </w:t>
      </w:r>
      <w:proofErr w:type="spellStart"/>
      <w:r w:rsidR="00BC582E" w:rsidRPr="0009031B">
        <w:t>m</w:t>
      </w:r>
      <w:r w:rsidRPr="0009031B">
        <w:t>a</w:t>
      </w:r>
      <w:r w:rsidR="00050057" w:rsidRPr="0009031B">
        <w:t>’</w:t>
      </w:r>
      <w:r w:rsidRPr="0009031B">
        <w:t>at</w:t>
      </w:r>
      <w:proofErr w:type="spellEnd"/>
      <w:r w:rsidRPr="0009031B">
        <w:t xml:space="preserve"> </w:t>
      </w:r>
    </w:p>
    <w:p w14:paraId="2D97D1C3" w14:textId="59CB1196" w:rsidR="00556BE9" w:rsidRPr="002A20D4" w:rsidRDefault="00F60B86" w:rsidP="008F7B45">
      <w:pPr>
        <w:pStyle w:val="SyllabusListParagraph"/>
        <w:numPr>
          <w:ilvl w:val="0"/>
          <w:numId w:val="25"/>
        </w:numPr>
      </w:pPr>
      <w:r w:rsidRPr="0009031B">
        <w:t xml:space="preserve">the contribution of scholars and contemporary Egyptian and international historians to an </w:t>
      </w:r>
      <w:r w:rsidR="00556BE9" w:rsidRPr="0009031B">
        <w:t xml:space="preserve">understanding of </w:t>
      </w:r>
      <w:proofErr w:type="spellStart"/>
      <w:r w:rsidR="00556BE9" w:rsidRPr="0009031B">
        <w:t>Tuthmosis</w:t>
      </w:r>
      <w:proofErr w:type="spellEnd"/>
      <w:r w:rsidR="00556BE9" w:rsidRPr="0009031B">
        <w:t xml:space="preserve"> III; </w:t>
      </w:r>
      <w:r w:rsidRPr="0009031B">
        <w:t>the</w:t>
      </w:r>
      <w:r w:rsidR="008C75FE" w:rsidRPr="0009031B">
        <w:t xml:space="preserve"> nature of the</w:t>
      </w:r>
      <w:r w:rsidRPr="0009031B">
        <w:t xml:space="preserve"> research and recording work; the effectiveness of the conservation</w:t>
      </w:r>
      <w:r w:rsidR="008C75FE" w:rsidRPr="0009031B">
        <w:t xml:space="preserve"> and/or restoration and protection</w:t>
      </w:r>
      <w:r w:rsidRPr="0009031B">
        <w:t xml:space="preserve"> of the Theban sites; the use of traditional and scientific methods by the French Egyptian Centre for the Study of the Temples of Karnak (the CFEETK) and the Theban Mapping Project, including the scanning of the walls of </w:t>
      </w:r>
      <w:r w:rsidR="008C75FE" w:rsidRPr="0009031B">
        <w:t xml:space="preserve">his </w:t>
      </w:r>
      <w:r w:rsidRPr="0009031B">
        <w:t xml:space="preserve">tomb </w:t>
      </w:r>
      <w:r w:rsidRPr="002A20D4">
        <w:t xml:space="preserve">by Factum Arte </w:t>
      </w:r>
    </w:p>
    <w:p w14:paraId="5D3FA482" w14:textId="490A5CD2" w:rsidR="00100FD2" w:rsidRPr="00677FD9" w:rsidRDefault="002275E3" w:rsidP="00D05241">
      <w:pPr>
        <w:rPr>
          <w:b/>
          <w:bCs/>
          <w:iCs/>
        </w:rPr>
      </w:pPr>
      <w:r w:rsidRPr="00D05241">
        <w:rPr>
          <w:b/>
          <w:bCs/>
        </w:rPr>
        <w:t>OR</w:t>
      </w:r>
    </w:p>
    <w:p w14:paraId="6D96FB58" w14:textId="1D6E8765" w:rsidR="00100FD2" w:rsidRPr="00B14B06" w:rsidRDefault="00100FD2" w:rsidP="00752A9F">
      <w:pPr>
        <w:pStyle w:val="Heading3"/>
        <w:keepNext/>
        <w:keepLines/>
      </w:pPr>
      <w:r w:rsidRPr="00B14B06">
        <w:t>Elective 2</w:t>
      </w:r>
      <w:r w:rsidR="00417F1C">
        <w:t xml:space="preserve"> –</w:t>
      </w:r>
      <w:r w:rsidR="007E7BF9" w:rsidRPr="00B14B06">
        <w:t xml:space="preserve"> </w:t>
      </w:r>
      <w:r w:rsidR="00556BE9" w:rsidRPr="00B14B06">
        <w:t>Athens: The r</w:t>
      </w:r>
      <w:r w:rsidR="007E7BF9" w:rsidRPr="00B14B06">
        <w:t>ise of Athens</w:t>
      </w:r>
    </w:p>
    <w:p w14:paraId="798A50C1" w14:textId="77777777" w:rsidR="00114EE0" w:rsidRPr="005273AF" w:rsidRDefault="00114EE0" w:rsidP="00752A9F">
      <w:pPr>
        <w:keepNext/>
        <w:keepLines/>
      </w:pPr>
      <w:r w:rsidRPr="00360960">
        <w:t xml:space="preserve">Essential to an understanding of this period </w:t>
      </w:r>
      <w:r>
        <w:t>is</w:t>
      </w:r>
      <w:r w:rsidRPr="005273AF">
        <w:t>:</w:t>
      </w:r>
    </w:p>
    <w:p w14:paraId="390C252E" w14:textId="63DE0238" w:rsidR="00114EE0" w:rsidRPr="00D05241" w:rsidRDefault="00114EE0" w:rsidP="00752A9F">
      <w:pPr>
        <w:pStyle w:val="Heading4"/>
      </w:pPr>
      <w:r w:rsidRPr="00D05241">
        <w:t xml:space="preserve">The historical, geographical and </w:t>
      </w:r>
      <w:r w:rsidRPr="00931DDE">
        <w:t>political c</w:t>
      </w:r>
      <w:r w:rsidRPr="00D05241">
        <w:t>ontext</w:t>
      </w:r>
    </w:p>
    <w:p w14:paraId="69FA4225" w14:textId="16B0270D" w:rsidR="00100FD2" w:rsidRPr="002A20D4" w:rsidRDefault="00463245" w:rsidP="008F7B45">
      <w:pPr>
        <w:pStyle w:val="SyllabusListParagraph"/>
        <w:numPr>
          <w:ilvl w:val="0"/>
          <w:numId w:val="26"/>
        </w:numPr>
      </w:pPr>
      <w:r w:rsidRPr="002A20D4">
        <w:t>t</w:t>
      </w:r>
      <w:r w:rsidR="00100FD2" w:rsidRPr="002A20D4">
        <w:t>he nature of power and authority in Athens in 481 BC</w:t>
      </w:r>
      <w:r w:rsidR="00E5496B" w:rsidRPr="002A20D4">
        <w:t>E</w:t>
      </w:r>
      <w:r w:rsidR="00100FD2" w:rsidRPr="002A20D4">
        <w:t>, including</w:t>
      </w:r>
    </w:p>
    <w:p w14:paraId="40C88665" w14:textId="28B1D0E5" w:rsidR="00100FD2" w:rsidRPr="00A86933" w:rsidRDefault="00E80A25" w:rsidP="008F7B45">
      <w:pPr>
        <w:pStyle w:val="SyllabusListParagraph"/>
        <w:numPr>
          <w:ilvl w:val="1"/>
          <w:numId w:val="27"/>
        </w:numPr>
      </w:pPr>
      <w:r w:rsidRPr="002A20D4">
        <w:lastRenderedPageBreak/>
        <w:t>key political</w:t>
      </w:r>
      <w:r w:rsidR="00E5496B" w:rsidRPr="002A20D4">
        <w:t xml:space="preserve"> </w:t>
      </w:r>
      <w:r w:rsidR="00E5496B" w:rsidRPr="00A86933">
        <w:t>terms</w:t>
      </w:r>
      <w:r w:rsidR="00100FD2" w:rsidRPr="00A86933">
        <w:t xml:space="preserve"> </w:t>
      </w:r>
      <w:r w:rsidR="00A86933" w:rsidRPr="00A86933">
        <w:t xml:space="preserve">– </w:t>
      </w:r>
      <w:r w:rsidR="00100FD2" w:rsidRPr="00A86933">
        <w:t>demos, polis, oligarchy, democracy, ostracism</w:t>
      </w:r>
      <w:r w:rsidR="00B20E5F" w:rsidRPr="00A86933">
        <w:t>, strategoi</w:t>
      </w:r>
      <w:r w:rsidR="00E5496B" w:rsidRPr="00A86933">
        <w:t>,</w:t>
      </w:r>
      <w:r w:rsidR="00E4701C" w:rsidRPr="00A86933">
        <w:t xml:space="preserve"> </w:t>
      </w:r>
      <w:r w:rsidR="00E5496B" w:rsidRPr="00A86933">
        <w:t>boule</w:t>
      </w:r>
      <w:r w:rsidR="00463BFD">
        <w:t xml:space="preserve"> and</w:t>
      </w:r>
      <w:r w:rsidR="00E5496B" w:rsidRPr="00A86933">
        <w:t xml:space="preserve"> ecclesia</w:t>
      </w:r>
    </w:p>
    <w:p w14:paraId="67D89B51" w14:textId="48A7BA95" w:rsidR="00100FD2" w:rsidRPr="002A20D4" w:rsidRDefault="00E80A25" w:rsidP="008F7B45">
      <w:pPr>
        <w:pStyle w:val="SyllabusListParagraph"/>
        <w:numPr>
          <w:ilvl w:val="1"/>
          <w:numId w:val="27"/>
        </w:numPr>
      </w:pPr>
      <w:r w:rsidRPr="00A86933">
        <w:t xml:space="preserve">key social </w:t>
      </w:r>
      <w:r w:rsidR="00E5496B" w:rsidRPr="00A86933">
        <w:t>terms</w:t>
      </w:r>
      <w:r w:rsidR="00100FD2" w:rsidRPr="00A86933">
        <w:t xml:space="preserve"> </w:t>
      </w:r>
      <w:r w:rsidR="00A86933" w:rsidRPr="00A86933">
        <w:t xml:space="preserve">– </w:t>
      </w:r>
      <w:proofErr w:type="spellStart"/>
      <w:r w:rsidR="00A824FD" w:rsidRPr="00A86933">
        <w:t>pentacosiomedimni</w:t>
      </w:r>
      <w:proofErr w:type="spellEnd"/>
      <w:r w:rsidR="00100FD2" w:rsidRPr="002A20D4">
        <w:t xml:space="preserve">, </w:t>
      </w:r>
      <w:proofErr w:type="spellStart"/>
      <w:r w:rsidR="00100FD2" w:rsidRPr="002A20D4">
        <w:t>hippeis</w:t>
      </w:r>
      <w:proofErr w:type="spellEnd"/>
      <w:r w:rsidR="00100FD2" w:rsidRPr="002A20D4">
        <w:t xml:space="preserve">, zeugitae, </w:t>
      </w:r>
      <w:proofErr w:type="spellStart"/>
      <w:r w:rsidR="00100FD2" w:rsidRPr="002A20D4">
        <w:t>thetes</w:t>
      </w:r>
      <w:proofErr w:type="spellEnd"/>
      <w:r w:rsidR="00100FD2" w:rsidRPr="002A20D4">
        <w:t>, slaves</w:t>
      </w:r>
      <w:r w:rsidR="00463BFD">
        <w:t xml:space="preserve"> and</w:t>
      </w:r>
      <w:r w:rsidR="00100FD2" w:rsidRPr="002A20D4">
        <w:t xml:space="preserve"> </w:t>
      </w:r>
      <w:proofErr w:type="spellStart"/>
      <w:r w:rsidR="00100FD2" w:rsidRPr="002A20D4">
        <w:t>metics</w:t>
      </w:r>
      <w:proofErr w:type="spellEnd"/>
    </w:p>
    <w:p w14:paraId="7BCB6F54" w14:textId="77777777" w:rsidR="00100FD2" w:rsidRPr="002A20D4" w:rsidRDefault="003055A9" w:rsidP="008F7B45">
      <w:pPr>
        <w:pStyle w:val="SyllabusListParagraph"/>
        <w:numPr>
          <w:ilvl w:val="1"/>
          <w:numId w:val="27"/>
        </w:numPr>
      </w:pPr>
      <w:r w:rsidRPr="002A20D4">
        <w:t xml:space="preserve">the structure of </w:t>
      </w:r>
      <w:r w:rsidR="00100FD2" w:rsidRPr="002A20D4">
        <w:t>Athenian government</w:t>
      </w:r>
      <w:r w:rsidRPr="002A20D4">
        <w:t xml:space="preserve"> in</w:t>
      </w:r>
      <w:r w:rsidR="00E80A25" w:rsidRPr="002A20D4">
        <w:t xml:space="preserve"> 481 BCE</w:t>
      </w:r>
    </w:p>
    <w:p w14:paraId="467AE1DA" w14:textId="65ADB45A" w:rsidR="006C4054" w:rsidRPr="00E80A25" w:rsidRDefault="006C4054" w:rsidP="002A20D4">
      <w:pPr>
        <w:pStyle w:val="ListBullet"/>
      </w:pPr>
      <w:r w:rsidRPr="00E80A25">
        <w:t xml:space="preserve">the key written and archaeological sources for the period, including the writings of Thucydides, </w:t>
      </w:r>
      <w:r w:rsidRPr="00A5052D">
        <w:t xml:space="preserve">Plutarch’s </w:t>
      </w:r>
      <w:r w:rsidRPr="00E80A25">
        <w:rPr>
          <w:i/>
        </w:rPr>
        <w:t>Lives</w:t>
      </w:r>
      <w:r w:rsidR="00E80A25" w:rsidRPr="00E80A25">
        <w:t>,</w:t>
      </w:r>
      <w:r w:rsidRPr="00E80A25">
        <w:t xml:space="preserve"> Old Oligarch</w:t>
      </w:r>
      <w:r w:rsidR="00E80A25" w:rsidRPr="00E80A25">
        <w:t xml:space="preserve">, </w:t>
      </w:r>
      <w:r w:rsidRPr="00E80A25">
        <w:t xml:space="preserve">Aristotle, </w:t>
      </w:r>
      <w:r w:rsidR="00277978" w:rsidRPr="00E80A25">
        <w:t>inscriptions (Athenian Tribute Li</w:t>
      </w:r>
      <w:r w:rsidRPr="00E80A25">
        <w:t>sts</w:t>
      </w:r>
      <w:r w:rsidR="00277978" w:rsidRPr="00E80A25">
        <w:t>), decrees, coins, ostraca and modern interpretations</w:t>
      </w:r>
    </w:p>
    <w:p w14:paraId="2291E157" w14:textId="4E01D831" w:rsidR="00245DEA" w:rsidRPr="0096199D" w:rsidRDefault="00245DEA" w:rsidP="00752A9F">
      <w:pPr>
        <w:pStyle w:val="Heading4"/>
        <w:rPr>
          <w:iCs/>
        </w:rPr>
      </w:pPr>
      <w:r w:rsidRPr="00D05241">
        <w:t>The ancient historical narrative</w:t>
      </w:r>
    </w:p>
    <w:p w14:paraId="7337373E" w14:textId="4D21BE64" w:rsidR="00100FD2" w:rsidRPr="0096199D" w:rsidRDefault="00123FF5" w:rsidP="00D05241">
      <w:pPr>
        <w:rPr>
          <w:b/>
          <w:bCs/>
          <w:iCs/>
        </w:rPr>
      </w:pPr>
      <w:r w:rsidRPr="00D05241">
        <w:rPr>
          <w:b/>
          <w:bCs/>
        </w:rPr>
        <w:t>Increasing prestige of Athens through the Persian Wars</w:t>
      </w:r>
    </w:p>
    <w:p w14:paraId="284F3791" w14:textId="77777777" w:rsidR="005D0962" w:rsidRPr="002A20D4" w:rsidRDefault="00082CCB" w:rsidP="008F7B45">
      <w:pPr>
        <w:pStyle w:val="SyllabusListParagraph"/>
        <w:numPr>
          <w:ilvl w:val="0"/>
          <w:numId w:val="28"/>
        </w:numPr>
      </w:pPr>
      <w:r w:rsidRPr="002A20D4">
        <w:t xml:space="preserve">Greek preparations for war, </w:t>
      </w:r>
      <w:r w:rsidR="00100FD2" w:rsidRPr="002A20D4">
        <w:t xml:space="preserve">including </w:t>
      </w:r>
      <w:r w:rsidR="00F0279D" w:rsidRPr="002A20D4">
        <w:t>the overall strategy of the Greek states</w:t>
      </w:r>
    </w:p>
    <w:p w14:paraId="02137AD7" w14:textId="77777777" w:rsidR="00C97A6A" w:rsidRPr="002A20D4" w:rsidRDefault="00100FD2" w:rsidP="008F7B45">
      <w:pPr>
        <w:pStyle w:val="SyllabusListParagraph"/>
        <w:numPr>
          <w:ilvl w:val="0"/>
          <w:numId w:val="28"/>
        </w:numPr>
      </w:pPr>
      <w:r w:rsidRPr="002A20D4">
        <w:t xml:space="preserve">the formation </w:t>
      </w:r>
      <w:r w:rsidR="005D0962" w:rsidRPr="002A20D4">
        <w:t xml:space="preserve">and composition </w:t>
      </w:r>
      <w:r w:rsidRPr="002A20D4">
        <w:t>of the Hellenic League</w:t>
      </w:r>
      <w:r w:rsidR="005D0962" w:rsidRPr="002A20D4">
        <w:t xml:space="preserve"> under Spartan hegemony</w:t>
      </w:r>
    </w:p>
    <w:p w14:paraId="405C3052" w14:textId="6CC64080" w:rsidR="00C97A6A" w:rsidRPr="002A20D4" w:rsidRDefault="00C97A6A" w:rsidP="008F7B45">
      <w:pPr>
        <w:pStyle w:val="SyllabusListParagraph"/>
        <w:numPr>
          <w:ilvl w:val="0"/>
          <w:numId w:val="28"/>
        </w:numPr>
      </w:pPr>
      <w:r w:rsidRPr="002A20D4">
        <w:t xml:space="preserve">the increase of prestige of Athens throughout campaigns during the Second Persian War </w:t>
      </w:r>
      <w:r w:rsidR="00E80A25" w:rsidRPr="002A20D4">
        <w:t xml:space="preserve">of </w:t>
      </w:r>
      <w:r w:rsidR="00891A4A">
        <w:br/>
      </w:r>
      <w:r w:rsidR="00E80A25" w:rsidRPr="002A20D4">
        <w:t>480–478 BCE,</w:t>
      </w:r>
      <w:r w:rsidRPr="002A20D4">
        <w:t xml:space="preserve"> including the </w:t>
      </w:r>
      <w:r w:rsidR="00100FD2" w:rsidRPr="002A20D4">
        <w:t>Battles of Thermopylae</w:t>
      </w:r>
      <w:r w:rsidR="008B30E8" w:rsidRPr="002A20D4">
        <w:t>/</w:t>
      </w:r>
      <w:proofErr w:type="spellStart"/>
      <w:r w:rsidR="008B30E8" w:rsidRPr="002A20D4">
        <w:t>Artemisium</w:t>
      </w:r>
      <w:proofErr w:type="spellEnd"/>
      <w:r w:rsidR="008B30E8" w:rsidRPr="002A20D4">
        <w:t>, Salamis,</w:t>
      </w:r>
      <w:r w:rsidRPr="002A20D4">
        <w:t xml:space="preserve"> Plataea and Mycale</w:t>
      </w:r>
    </w:p>
    <w:p w14:paraId="2BB685B2" w14:textId="77777777" w:rsidR="00100FD2" w:rsidRPr="002A20D4" w:rsidRDefault="00E80A25" w:rsidP="008F7B45">
      <w:pPr>
        <w:pStyle w:val="SyllabusListParagraph"/>
        <w:numPr>
          <w:ilvl w:val="0"/>
          <w:numId w:val="28"/>
        </w:numPr>
      </w:pPr>
      <w:r w:rsidRPr="002A20D4">
        <w:t xml:space="preserve">the role of </w:t>
      </w:r>
      <w:r w:rsidR="00100FD2" w:rsidRPr="002A20D4">
        <w:t>Themistocles</w:t>
      </w:r>
      <w:r w:rsidR="00C97A6A" w:rsidRPr="002A20D4">
        <w:t xml:space="preserve"> and the evidence for this, including the accounts of Thucydides and Plutarch, </w:t>
      </w:r>
      <w:r w:rsidRPr="002A20D4">
        <w:t xml:space="preserve">ostraca </w:t>
      </w:r>
    </w:p>
    <w:p w14:paraId="1433C839" w14:textId="77777777" w:rsidR="00355E80" w:rsidRPr="002A20D4" w:rsidRDefault="00355E80" w:rsidP="008F7B45">
      <w:pPr>
        <w:pStyle w:val="SyllabusListParagraph"/>
        <w:numPr>
          <w:ilvl w:val="0"/>
          <w:numId w:val="28"/>
        </w:numPr>
      </w:pPr>
      <w:r w:rsidRPr="002A20D4">
        <w:t>the rise of Athens as a sea power</w:t>
      </w:r>
      <w:r w:rsidR="00723537" w:rsidRPr="002A20D4">
        <w:t>, including Themistocles’ use of the silver mine funds for the navy</w:t>
      </w:r>
    </w:p>
    <w:p w14:paraId="2194DBEB" w14:textId="77777777" w:rsidR="00A350BD" w:rsidRPr="00D05241" w:rsidRDefault="00A350BD" w:rsidP="00752A9F">
      <w:pPr>
        <w:pStyle w:val="Heading4"/>
      </w:pPr>
      <w:r w:rsidRPr="00D05241">
        <w:t>The Delian League</w:t>
      </w:r>
    </w:p>
    <w:p w14:paraId="66C59C76" w14:textId="528DDAFE" w:rsidR="00E029BB" w:rsidRPr="002A20D4" w:rsidRDefault="00A350BD" w:rsidP="008F7B45">
      <w:pPr>
        <w:pStyle w:val="SyllabusListParagraph"/>
        <w:numPr>
          <w:ilvl w:val="0"/>
          <w:numId w:val="29"/>
        </w:numPr>
      </w:pPr>
      <w:r w:rsidRPr="002A20D4">
        <w:t xml:space="preserve">explanations </w:t>
      </w:r>
      <w:r w:rsidR="00E029BB" w:rsidRPr="002A20D4">
        <w:t xml:space="preserve">for Sparta relinquishing leadership of the Greek offensive, including Thucydides’ explanation (Book I, specifically </w:t>
      </w:r>
      <w:proofErr w:type="spellStart"/>
      <w:r w:rsidR="00E029BB" w:rsidRPr="002A20D4">
        <w:t>Pe</w:t>
      </w:r>
      <w:r w:rsidR="00D55D71">
        <w:t>n</w:t>
      </w:r>
      <w:r w:rsidR="00E029BB" w:rsidRPr="002A20D4">
        <w:t>tecontaetia</w:t>
      </w:r>
      <w:proofErr w:type="spellEnd"/>
      <w:r w:rsidR="00E029BB" w:rsidRPr="002A20D4">
        <w:t>)</w:t>
      </w:r>
    </w:p>
    <w:p w14:paraId="46104FC1" w14:textId="77777777" w:rsidR="00E029BB" w:rsidRPr="002A20D4" w:rsidRDefault="00E029BB" w:rsidP="008F7B45">
      <w:pPr>
        <w:pStyle w:val="SyllabusListParagraph"/>
        <w:numPr>
          <w:ilvl w:val="1"/>
          <w:numId w:val="30"/>
        </w:numPr>
      </w:pPr>
      <w:r w:rsidRPr="002A20D4">
        <w:t>the role of Pausanias</w:t>
      </w:r>
    </w:p>
    <w:p w14:paraId="7AD086BC" w14:textId="53ECD2CF" w:rsidR="00E029BB" w:rsidRPr="002A20D4" w:rsidRDefault="00E029BB" w:rsidP="008F7B45">
      <w:pPr>
        <w:pStyle w:val="SyllabusListParagraph"/>
        <w:numPr>
          <w:ilvl w:val="1"/>
          <w:numId w:val="30"/>
        </w:numPr>
      </w:pPr>
      <w:r w:rsidRPr="002A20D4">
        <w:t>problems on Sparta’s home</w:t>
      </w:r>
      <w:r w:rsidR="00417F1C">
        <w:t xml:space="preserve"> </w:t>
      </w:r>
      <w:r w:rsidRPr="002A20D4">
        <w:t>front (helots, Argos, allies</w:t>
      </w:r>
      <w:r w:rsidR="00463BFD">
        <w:t xml:space="preserve"> and</w:t>
      </w:r>
      <w:r w:rsidRPr="002A20D4">
        <w:t xml:space="preserve"> political divisions)</w:t>
      </w:r>
    </w:p>
    <w:p w14:paraId="2CCDE285" w14:textId="77777777" w:rsidR="00E029BB" w:rsidRPr="002A20D4" w:rsidRDefault="00E029BB" w:rsidP="008F7B45">
      <w:pPr>
        <w:pStyle w:val="SyllabusListParagraph"/>
        <w:numPr>
          <w:ilvl w:val="1"/>
          <w:numId w:val="30"/>
        </w:numPr>
      </w:pPr>
      <w:r w:rsidRPr="002A20D4">
        <w:t>Spartan fear of corruption</w:t>
      </w:r>
    </w:p>
    <w:p w14:paraId="7177C47B" w14:textId="77777777" w:rsidR="00E029BB" w:rsidRPr="002A20D4" w:rsidRDefault="00E029BB" w:rsidP="008F7B45">
      <w:pPr>
        <w:pStyle w:val="SyllabusListParagraph"/>
        <w:numPr>
          <w:ilvl w:val="1"/>
          <w:numId w:val="30"/>
        </w:numPr>
      </w:pPr>
      <w:r w:rsidRPr="002A20D4">
        <w:t>Athens seen as a capable leader and working in Sparta’s interests and Sparta’s unwillingness to accept the burden of war</w:t>
      </w:r>
    </w:p>
    <w:p w14:paraId="1AB99D6B" w14:textId="77777777" w:rsidR="00E029BB" w:rsidRPr="002A20D4" w:rsidRDefault="00E029BB" w:rsidP="008F7B45">
      <w:pPr>
        <w:pStyle w:val="SyllabusListParagraph"/>
        <w:numPr>
          <w:ilvl w:val="1"/>
          <w:numId w:val="30"/>
        </w:numPr>
      </w:pPr>
      <w:r w:rsidRPr="002A20D4">
        <w:t>claim that relations between Sparta and Athens were friendly</w:t>
      </w:r>
    </w:p>
    <w:p w14:paraId="5DD8D9BA" w14:textId="77777777" w:rsidR="00EE2290" w:rsidRDefault="00100FD2" w:rsidP="008F7B45">
      <w:pPr>
        <w:pStyle w:val="SyllabusListParagraph"/>
        <w:numPr>
          <w:ilvl w:val="0"/>
          <w:numId w:val="30"/>
        </w:numPr>
        <w:rPr>
          <w:strike/>
        </w:rPr>
      </w:pPr>
      <w:r w:rsidRPr="002A20D4">
        <w:t>the</w:t>
      </w:r>
      <w:r w:rsidRPr="00EE2290">
        <w:t xml:space="preserve"> Del</w:t>
      </w:r>
      <w:r w:rsidR="000A4CB3">
        <w:t xml:space="preserve">ian </w:t>
      </w:r>
      <w:r w:rsidR="000A4CB3" w:rsidRPr="0096199D">
        <w:t>League</w:t>
      </w:r>
      <w:r w:rsidR="000A4CB3">
        <w:t xml:space="preserve">, including the aims and </w:t>
      </w:r>
      <w:r w:rsidR="00F6542D" w:rsidRPr="000A4CB3">
        <w:t>organisation</w:t>
      </w:r>
      <w:r w:rsidR="00033F19">
        <w:t>;</w:t>
      </w:r>
      <w:r w:rsidR="00296119" w:rsidRPr="000A4CB3">
        <w:t xml:space="preserve"> </w:t>
      </w:r>
      <w:r w:rsidR="007C0262">
        <w:t xml:space="preserve">Athens’ leadership of the league </w:t>
      </w:r>
      <w:r w:rsidRPr="000A4CB3">
        <w:t xml:space="preserve">and </w:t>
      </w:r>
      <w:r w:rsidRPr="00EE2290">
        <w:t xml:space="preserve">naval superiority </w:t>
      </w:r>
    </w:p>
    <w:p w14:paraId="632595D3" w14:textId="77777777" w:rsidR="00F6542D" w:rsidRPr="00D05241" w:rsidRDefault="00F6542D" w:rsidP="00752A9F">
      <w:pPr>
        <w:pStyle w:val="Heading4"/>
      </w:pPr>
      <w:r w:rsidRPr="00D05241">
        <w:t>Campaigns under Cimon to 461 BCE</w:t>
      </w:r>
    </w:p>
    <w:p w14:paraId="33F1B704" w14:textId="52899FCE" w:rsidR="00F6542D" w:rsidRPr="002A20D4" w:rsidRDefault="00F6542D" w:rsidP="008F7B45">
      <w:pPr>
        <w:pStyle w:val="SyllabusListParagraph"/>
        <w:numPr>
          <w:ilvl w:val="0"/>
          <w:numId w:val="31"/>
        </w:numPr>
      </w:pPr>
      <w:r w:rsidRPr="002A20D4">
        <w:t>Thucydides’ account of the campaigns (</w:t>
      </w:r>
      <w:r w:rsidR="00100FD2" w:rsidRPr="002A20D4">
        <w:t xml:space="preserve">Eion, Scyros, </w:t>
      </w:r>
      <w:proofErr w:type="spellStart"/>
      <w:r w:rsidR="00100FD2" w:rsidRPr="002A20D4">
        <w:t>Carystus</w:t>
      </w:r>
      <w:proofErr w:type="spellEnd"/>
      <w:r w:rsidR="00100FD2" w:rsidRPr="002A20D4">
        <w:t xml:space="preserve">, Naxos, </w:t>
      </w:r>
      <w:proofErr w:type="spellStart"/>
      <w:r w:rsidR="00100FD2" w:rsidRPr="002A20D4">
        <w:t>Eurymedon</w:t>
      </w:r>
      <w:proofErr w:type="spellEnd"/>
      <w:r w:rsidR="00100FD2" w:rsidRPr="002A20D4">
        <w:t xml:space="preserve"> and Thasos</w:t>
      </w:r>
      <w:r w:rsidRPr="002A20D4">
        <w:t xml:space="preserve">) </w:t>
      </w:r>
      <w:r w:rsidR="00691D33" w:rsidRPr="002A20D4">
        <w:t xml:space="preserve">under the aegis of the Delian League (Thucydides I.98, </w:t>
      </w:r>
      <w:r w:rsidR="00A374E6">
        <w:t>I.</w:t>
      </w:r>
      <w:r w:rsidR="00691D33" w:rsidRPr="002A20D4">
        <w:t>101)</w:t>
      </w:r>
    </w:p>
    <w:p w14:paraId="5B06D57D" w14:textId="77777777" w:rsidR="00691D33" w:rsidRPr="002A20D4" w:rsidRDefault="00100FD2" w:rsidP="008F7B45">
      <w:pPr>
        <w:pStyle w:val="SyllabusListParagraph"/>
        <w:numPr>
          <w:ilvl w:val="0"/>
          <w:numId w:val="31"/>
        </w:numPr>
      </w:pPr>
      <w:r w:rsidRPr="002A20D4">
        <w:t>the</w:t>
      </w:r>
      <w:r w:rsidR="00E52129" w:rsidRPr="002A20D4">
        <w:t xml:space="preserve"> </w:t>
      </w:r>
      <w:r w:rsidRPr="002A20D4">
        <w:t xml:space="preserve">significance </w:t>
      </w:r>
      <w:r w:rsidR="00691D33" w:rsidRPr="002A20D4">
        <w:t xml:space="preserve">of Cimon’s campaigns </w:t>
      </w:r>
      <w:r w:rsidR="00E52129" w:rsidRPr="002A20D4">
        <w:t>for Athenian power</w:t>
      </w:r>
      <w:r w:rsidRPr="002A20D4">
        <w:t xml:space="preserve"> </w:t>
      </w:r>
      <w:r w:rsidR="00691D33" w:rsidRPr="002A20D4">
        <w:t>and benefits to the allies</w:t>
      </w:r>
    </w:p>
    <w:p w14:paraId="30390FBA" w14:textId="77777777" w:rsidR="00100FD2" w:rsidRPr="002A20D4" w:rsidRDefault="00100FD2" w:rsidP="008F7B45">
      <w:pPr>
        <w:pStyle w:val="SyllabusListParagraph"/>
        <w:numPr>
          <w:ilvl w:val="0"/>
          <w:numId w:val="31"/>
        </w:numPr>
      </w:pPr>
      <w:r w:rsidRPr="002A20D4">
        <w:t>Sparta’s response to the growth of Athenian power</w:t>
      </w:r>
    </w:p>
    <w:p w14:paraId="181D1AF4" w14:textId="77777777" w:rsidR="00CD57EB" w:rsidRPr="00D05241" w:rsidRDefault="00FF6BC4" w:rsidP="00752A9F">
      <w:pPr>
        <w:pStyle w:val="Heading4"/>
      </w:pPr>
      <w:r w:rsidRPr="00D05241">
        <w:t>T</w:t>
      </w:r>
      <w:r w:rsidR="00265C3E" w:rsidRPr="00D05241">
        <w:t>he policy</w:t>
      </w:r>
      <w:r w:rsidRPr="00D05241">
        <w:t xml:space="preserve"> of Cimon and opposition</w:t>
      </w:r>
      <w:r w:rsidR="00265C3E" w:rsidRPr="00D05241">
        <w:t xml:space="preserve"> to it</w:t>
      </w:r>
    </w:p>
    <w:p w14:paraId="2F9FC7F3" w14:textId="7421AC0E" w:rsidR="00265C3E" w:rsidRPr="00E52129" w:rsidRDefault="00265C3E" w:rsidP="008F7B45">
      <w:pPr>
        <w:pStyle w:val="SyllabusListParagraph"/>
        <w:numPr>
          <w:ilvl w:val="0"/>
          <w:numId w:val="32"/>
        </w:numPr>
        <w:rPr>
          <w:strike/>
        </w:rPr>
      </w:pPr>
      <w:r w:rsidRPr="00E52129">
        <w:lastRenderedPageBreak/>
        <w:t>Cimon’s general foreign policy</w:t>
      </w:r>
      <w:r w:rsidR="0078628D">
        <w:t xml:space="preserve"> –</w:t>
      </w:r>
      <w:r w:rsidRPr="00E52129">
        <w:t xml:space="preserve"> pro-Spartan and anti-Persian, including the assistance to Sparta during </w:t>
      </w:r>
      <w:r w:rsidR="00BF1744">
        <w:t xml:space="preserve">the </w:t>
      </w:r>
      <w:r w:rsidRPr="00E52129">
        <w:t>Helot revolt</w:t>
      </w:r>
    </w:p>
    <w:p w14:paraId="1FC68FCB" w14:textId="77777777" w:rsidR="00265C3E" w:rsidRPr="00E52129" w:rsidRDefault="00265C3E" w:rsidP="008F7B45">
      <w:pPr>
        <w:pStyle w:val="SyllabusListParagraph"/>
        <w:numPr>
          <w:ilvl w:val="0"/>
          <w:numId w:val="32"/>
        </w:numPr>
      </w:pPr>
      <w:r w:rsidRPr="00E52129">
        <w:t xml:space="preserve">Cimon’s domestic policy to preserve the status quo </w:t>
      </w:r>
    </w:p>
    <w:p w14:paraId="1F872269" w14:textId="77777777" w:rsidR="00265C3E" w:rsidRPr="00E52129" w:rsidRDefault="00265C3E" w:rsidP="008F7B45">
      <w:pPr>
        <w:pStyle w:val="SyllabusListParagraph"/>
        <w:numPr>
          <w:ilvl w:val="0"/>
          <w:numId w:val="32"/>
        </w:numPr>
      </w:pPr>
      <w:r w:rsidRPr="00E52129">
        <w:t>Cimon’s role in the transformation of the Delian League to an Athenian Empire</w:t>
      </w:r>
    </w:p>
    <w:p w14:paraId="1E3FCA72" w14:textId="3FFC9381" w:rsidR="00265C3E" w:rsidRPr="00E52129" w:rsidRDefault="00891A4A" w:rsidP="008F7B45">
      <w:pPr>
        <w:pStyle w:val="SyllabusListParagraph"/>
        <w:numPr>
          <w:ilvl w:val="0"/>
          <w:numId w:val="32"/>
        </w:numPr>
      </w:pPr>
      <w:r>
        <w:t>o</w:t>
      </w:r>
      <w:r w:rsidR="00265C3E" w:rsidRPr="00E52129">
        <w:t xml:space="preserve">pposition to Cimon’s policies, and the causal link between his policies and his ostracism </w:t>
      </w:r>
    </w:p>
    <w:p w14:paraId="10464904" w14:textId="77777777" w:rsidR="00CD57EB" w:rsidRPr="00D05241" w:rsidRDefault="00D01D72" w:rsidP="00752A9F">
      <w:pPr>
        <w:pStyle w:val="Heading4"/>
      </w:pPr>
      <w:r w:rsidRPr="00D05241">
        <w:t>The tran</w:t>
      </w:r>
      <w:r w:rsidR="008E62EB" w:rsidRPr="00D05241">
        <w:t>sformation of the League to an e</w:t>
      </w:r>
      <w:r w:rsidRPr="00D05241">
        <w:t>mpire</w:t>
      </w:r>
    </w:p>
    <w:p w14:paraId="736BCA82" w14:textId="77777777" w:rsidR="00D01D72" w:rsidRPr="008C5E70" w:rsidRDefault="00D01D72" w:rsidP="008F7B45">
      <w:pPr>
        <w:pStyle w:val="SyllabusListParagraph"/>
        <w:numPr>
          <w:ilvl w:val="0"/>
          <w:numId w:val="36"/>
        </w:numPr>
      </w:pPr>
      <w:r w:rsidRPr="008C5E70">
        <w:t>the emergence of three classes of membership of the Delian League</w:t>
      </w:r>
      <w:r w:rsidR="005D5A56" w:rsidRPr="008C5E70">
        <w:t xml:space="preserve"> (autonomous ship </w:t>
      </w:r>
      <w:r w:rsidR="008C5E70" w:rsidRPr="008C5E70">
        <w:t xml:space="preserve">contributors, </w:t>
      </w:r>
      <w:proofErr w:type="spellStart"/>
      <w:r w:rsidR="008C5E70" w:rsidRPr="008C5E70">
        <w:t>phoros</w:t>
      </w:r>
      <w:proofErr w:type="spellEnd"/>
      <w:r w:rsidR="008C5E70" w:rsidRPr="008C5E70">
        <w:t xml:space="preserve"> contributors and</w:t>
      </w:r>
      <w:r w:rsidR="005D5A56" w:rsidRPr="008C5E70">
        <w:t xml:space="preserve"> subjugated </w:t>
      </w:r>
      <w:proofErr w:type="spellStart"/>
      <w:r w:rsidR="005D5A56" w:rsidRPr="008C5E70">
        <w:t>phoros</w:t>
      </w:r>
      <w:proofErr w:type="spellEnd"/>
      <w:r w:rsidR="005D5A56" w:rsidRPr="008C5E70">
        <w:t xml:space="preserve"> contributors); use of</w:t>
      </w:r>
      <w:r w:rsidRPr="008C5E70">
        <w:t xml:space="preserve"> the tribute under Cimon </w:t>
      </w:r>
      <w:r w:rsidR="00EF05E3" w:rsidRPr="008C5E70">
        <w:t xml:space="preserve">to benefit Athens </w:t>
      </w:r>
      <w:r w:rsidR="00A55A2F" w:rsidRPr="008C5E70">
        <w:t xml:space="preserve">rather than the League; </w:t>
      </w:r>
      <w:r w:rsidRPr="008C5E70">
        <w:t>allied revolts: Naxos, Thasos and Samos</w:t>
      </w:r>
    </w:p>
    <w:p w14:paraId="18428DBC" w14:textId="3F60418A" w:rsidR="005B66FE" w:rsidRPr="00A824FD" w:rsidRDefault="00D01D72" w:rsidP="008F7B45">
      <w:pPr>
        <w:pStyle w:val="SyllabusListParagraph"/>
        <w:numPr>
          <w:ilvl w:val="0"/>
          <w:numId w:val="36"/>
        </w:numPr>
        <w:rPr>
          <w:strike/>
        </w:rPr>
      </w:pPr>
      <w:r w:rsidRPr="00A824FD">
        <w:t>the</w:t>
      </w:r>
      <w:r w:rsidR="005B66FE" w:rsidRPr="00A824FD">
        <w:t xml:space="preserve"> growing influence (</w:t>
      </w:r>
      <w:r w:rsidRPr="00A824FD">
        <w:t>economic, military, political, cultural, judicial and religious</w:t>
      </w:r>
      <w:r w:rsidR="005B66FE" w:rsidRPr="00A824FD">
        <w:t>)</w:t>
      </w:r>
      <w:r w:rsidR="00A824FD" w:rsidRPr="00A824FD">
        <w:t xml:space="preserve"> </w:t>
      </w:r>
      <w:r w:rsidR="005B66FE" w:rsidRPr="00A824FD">
        <w:t xml:space="preserve">of </w:t>
      </w:r>
      <w:r w:rsidRPr="00A824FD">
        <w:t>Athens</w:t>
      </w:r>
      <w:r w:rsidR="00A824FD" w:rsidRPr="00A824FD">
        <w:t xml:space="preserve"> </w:t>
      </w:r>
      <w:r w:rsidR="005B66FE" w:rsidRPr="00A824FD">
        <w:t xml:space="preserve">over allies </w:t>
      </w:r>
    </w:p>
    <w:p w14:paraId="3BF4210C" w14:textId="6ABF2C03" w:rsidR="00287EEF" w:rsidRPr="001330F1" w:rsidRDefault="00287EEF" w:rsidP="008F7B45">
      <w:pPr>
        <w:pStyle w:val="SyllabusListParagraph"/>
        <w:numPr>
          <w:ilvl w:val="0"/>
          <w:numId w:val="36"/>
        </w:numPr>
      </w:pPr>
      <w:r w:rsidRPr="001330F1">
        <w:t>factors which enabled the Athenians to change their treatment of the allies, including the attitude of the allies, Sparta’s attitude</w:t>
      </w:r>
      <w:r w:rsidR="00463BFD">
        <w:t xml:space="preserve"> and</w:t>
      </w:r>
      <w:r w:rsidRPr="001330F1">
        <w:t xml:space="preserve"> Athenian naval superiority</w:t>
      </w:r>
    </w:p>
    <w:p w14:paraId="1D6C96A0" w14:textId="430869F9" w:rsidR="005B66FE" w:rsidRPr="00A824FD" w:rsidRDefault="005B66FE" w:rsidP="008F7B45">
      <w:pPr>
        <w:pStyle w:val="SyllabusListParagraph"/>
        <w:numPr>
          <w:ilvl w:val="0"/>
          <w:numId w:val="36"/>
        </w:numPr>
        <w:rPr>
          <w:strike/>
        </w:rPr>
      </w:pPr>
      <w:r w:rsidRPr="00A824FD">
        <w:t xml:space="preserve">the issues of evidence for these changes, including Thucydides’ account, Plutarch’s </w:t>
      </w:r>
      <w:r w:rsidRPr="00A824FD">
        <w:rPr>
          <w:i/>
          <w:iCs/>
        </w:rPr>
        <w:t>Pericles</w:t>
      </w:r>
      <w:r w:rsidRPr="00A824FD">
        <w:t>, Aristotle, Old Oligarch, decrees, tribute lists, coins</w:t>
      </w:r>
      <w:r w:rsidR="00463BFD">
        <w:t xml:space="preserve"> and</w:t>
      </w:r>
      <w:r w:rsidRPr="00A824FD">
        <w:t xml:space="preserve"> pottery</w:t>
      </w:r>
    </w:p>
    <w:p w14:paraId="1FA4945D" w14:textId="344CFF70" w:rsidR="00287EEF" w:rsidRPr="001330F1" w:rsidRDefault="00287EEF" w:rsidP="008F7B45">
      <w:pPr>
        <w:pStyle w:val="SyllabusListParagraph"/>
        <w:numPr>
          <w:ilvl w:val="0"/>
          <w:numId w:val="36"/>
        </w:numPr>
      </w:pPr>
      <w:r w:rsidRPr="001330F1">
        <w:t>Athens’ justification and motivation for the changing treatment of the allies and the reaction of the allies</w:t>
      </w:r>
    </w:p>
    <w:p w14:paraId="07DC86CF" w14:textId="57B37F99" w:rsidR="00F2742D" w:rsidRPr="00D05241" w:rsidRDefault="00F2742D" w:rsidP="00752A9F">
      <w:pPr>
        <w:pStyle w:val="Heading4"/>
      </w:pPr>
      <w:r w:rsidRPr="00D05241">
        <w:t>Changes to Athenian domestic and foreign policy from 461 BC</w:t>
      </w:r>
      <w:r w:rsidR="00891A4A">
        <w:t>E</w:t>
      </w:r>
    </w:p>
    <w:p w14:paraId="322C7091" w14:textId="77777777" w:rsidR="00F2742D" w:rsidRPr="00402601" w:rsidRDefault="00F2742D" w:rsidP="008F7B45">
      <w:pPr>
        <w:pStyle w:val="SyllabusListParagraph"/>
        <w:numPr>
          <w:ilvl w:val="0"/>
          <w:numId w:val="35"/>
        </w:numPr>
      </w:pPr>
      <w:r w:rsidRPr="00402601">
        <w:t xml:space="preserve">the importance of the </w:t>
      </w:r>
      <w:proofErr w:type="spellStart"/>
      <w:r w:rsidRPr="00402601">
        <w:t>thetes</w:t>
      </w:r>
      <w:proofErr w:type="spellEnd"/>
      <w:r w:rsidRPr="00402601">
        <w:t xml:space="preserve"> within the navy/military as a reason for the changes to the political system</w:t>
      </w:r>
    </w:p>
    <w:p w14:paraId="6DE73B72" w14:textId="77777777" w:rsidR="002A43FF" w:rsidRPr="006758A4" w:rsidRDefault="00E14CE2" w:rsidP="008F7B45">
      <w:pPr>
        <w:pStyle w:val="SyllabusListParagraph"/>
        <w:numPr>
          <w:ilvl w:val="0"/>
          <w:numId w:val="35"/>
        </w:numPr>
      </w:pPr>
      <w:r w:rsidRPr="006758A4">
        <w:t xml:space="preserve">the reforms of </w:t>
      </w:r>
      <w:r w:rsidR="00100FD2" w:rsidRPr="006758A4">
        <w:t>Ephialtes</w:t>
      </w:r>
      <w:r w:rsidR="00683DED" w:rsidRPr="006758A4">
        <w:t xml:space="preserve"> </w:t>
      </w:r>
      <w:r w:rsidRPr="006758A4">
        <w:t xml:space="preserve">and Pericles </w:t>
      </w:r>
      <w:r w:rsidR="00100FD2" w:rsidRPr="006758A4">
        <w:t xml:space="preserve">to the Areopagus, Boule, Ecclesia and </w:t>
      </w:r>
      <w:proofErr w:type="spellStart"/>
      <w:r w:rsidR="00100FD2" w:rsidRPr="006758A4">
        <w:t>Heliaea</w:t>
      </w:r>
      <w:proofErr w:type="spellEnd"/>
      <w:r w:rsidR="001330F1" w:rsidRPr="006758A4">
        <w:t xml:space="preserve">; introduction of </w:t>
      </w:r>
      <w:r w:rsidR="00100FD2" w:rsidRPr="006758A4">
        <w:t>payment for office</w:t>
      </w:r>
      <w:r w:rsidRPr="006758A4">
        <w:t>, extension of the system of lot</w:t>
      </w:r>
      <w:r w:rsidR="00100FD2" w:rsidRPr="006758A4">
        <w:t xml:space="preserve"> and limit</w:t>
      </w:r>
      <w:r w:rsidR="003275BD" w:rsidRPr="006758A4">
        <w:t>ed</w:t>
      </w:r>
      <w:r w:rsidR="00BA0AE9" w:rsidRPr="006758A4">
        <w:t xml:space="preserve"> </w:t>
      </w:r>
      <w:r w:rsidR="00100FD2" w:rsidRPr="006758A4">
        <w:t>citizenship</w:t>
      </w:r>
    </w:p>
    <w:p w14:paraId="5AE07D46" w14:textId="77777777" w:rsidR="00100FD2" w:rsidRPr="006758A4" w:rsidRDefault="00DD1365" w:rsidP="008F7B45">
      <w:pPr>
        <w:pStyle w:val="SyllabusListParagraph"/>
        <w:numPr>
          <w:ilvl w:val="0"/>
          <w:numId w:val="35"/>
        </w:numPr>
      </w:pPr>
      <w:r w:rsidRPr="006758A4">
        <w:t xml:space="preserve">the </w:t>
      </w:r>
      <w:r w:rsidR="002A43FF" w:rsidRPr="006758A4">
        <w:t xml:space="preserve">effects </w:t>
      </w:r>
      <w:r w:rsidR="00100FD2" w:rsidRPr="006758A4">
        <w:t>of Ep</w:t>
      </w:r>
      <w:r w:rsidR="000D4053" w:rsidRPr="006758A4">
        <w:t xml:space="preserve">hialtes’ and Pericles’ reforms, including increased accountability </w:t>
      </w:r>
      <w:r w:rsidR="00100FD2" w:rsidRPr="006758A4">
        <w:t xml:space="preserve">and </w:t>
      </w:r>
      <w:r w:rsidR="0042680F" w:rsidRPr="006758A4">
        <w:t xml:space="preserve">the </w:t>
      </w:r>
      <w:r w:rsidR="000D4053" w:rsidRPr="006758A4">
        <w:t xml:space="preserve">impact they had on the development </w:t>
      </w:r>
      <w:r w:rsidR="00100FD2" w:rsidRPr="006758A4">
        <w:t>of radical democracy</w:t>
      </w:r>
    </w:p>
    <w:p w14:paraId="7132BFD1" w14:textId="685BDDBD" w:rsidR="00EF5851" w:rsidRPr="00496AC9" w:rsidRDefault="00100FD2" w:rsidP="008F7B45">
      <w:pPr>
        <w:pStyle w:val="SyllabusListParagraph"/>
        <w:numPr>
          <w:ilvl w:val="0"/>
          <w:numId w:val="35"/>
        </w:numPr>
      </w:pPr>
      <w:r w:rsidRPr="00496AC9">
        <w:t>Athens’ changing foreign policy (461–446 BC</w:t>
      </w:r>
      <w:r w:rsidR="00891A4A">
        <w:t>E</w:t>
      </w:r>
      <w:r w:rsidRPr="00496AC9">
        <w:t>)</w:t>
      </w:r>
      <w:r w:rsidR="001731A7" w:rsidRPr="00496AC9">
        <w:t>,</w:t>
      </w:r>
      <w:r w:rsidRPr="00496AC9">
        <w:t xml:space="preserve"> including </w:t>
      </w:r>
      <w:r w:rsidR="00EF5851" w:rsidRPr="00496AC9">
        <w:t xml:space="preserve">the development of a </w:t>
      </w:r>
      <w:r w:rsidR="00D26A33">
        <w:t>L</w:t>
      </w:r>
      <w:r w:rsidR="00EF5851" w:rsidRPr="00496AC9">
        <w:t xml:space="preserve">and </w:t>
      </w:r>
      <w:r w:rsidR="00D26A33">
        <w:t>E</w:t>
      </w:r>
      <w:r w:rsidR="00EF5851" w:rsidRPr="00496AC9">
        <w:t>mpire:</w:t>
      </w:r>
    </w:p>
    <w:p w14:paraId="42F5A984" w14:textId="77777777" w:rsidR="00EF5851" w:rsidRPr="00496AC9" w:rsidRDefault="00EF5851" w:rsidP="008F7B45">
      <w:pPr>
        <w:pStyle w:val="SyllabusListParagraph"/>
        <w:numPr>
          <w:ilvl w:val="1"/>
          <w:numId w:val="34"/>
        </w:numPr>
      </w:pPr>
      <w:r w:rsidRPr="00496AC9">
        <w:t>its alliances with Megara, Argos and Thessaly</w:t>
      </w:r>
    </w:p>
    <w:p w14:paraId="6574F8B4" w14:textId="77777777" w:rsidR="00EF5851" w:rsidRPr="00496AC9" w:rsidRDefault="00EF5851" w:rsidP="008F7B45">
      <w:pPr>
        <w:pStyle w:val="SyllabusListParagraph"/>
        <w:numPr>
          <w:ilvl w:val="1"/>
          <w:numId w:val="34"/>
        </w:numPr>
      </w:pPr>
      <w:r w:rsidRPr="00496AC9">
        <w:t>events that led to Athens’ defeat (reversals at Boeotia and Megara, revolt of Euboea, proximity of the Peloponnesian army)</w:t>
      </w:r>
    </w:p>
    <w:p w14:paraId="537603BB" w14:textId="7C7E0270" w:rsidR="007D2A7C" w:rsidRPr="00496AC9" w:rsidRDefault="007D2A7C" w:rsidP="008F7B45">
      <w:pPr>
        <w:pStyle w:val="SyllabusListParagraph"/>
        <w:numPr>
          <w:ilvl w:val="1"/>
          <w:numId w:val="34"/>
        </w:numPr>
      </w:pPr>
      <w:r w:rsidRPr="00496AC9">
        <w:t>the reasons for Athens’ inability to hold onto the Land Empire (war on multiple fronts, resources employed in administering the Delian League, unstable alliances)</w:t>
      </w:r>
    </w:p>
    <w:p w14:paraId="7179FDD0" w14:textId="77777777" w:rsidR="007D2A7C" w:rsidRPr="00496AC9" w:rsidRDefault="007D2A7C" w:rsidP="008F7B45">
      <w:pPr>
        <w:pStyle w:val="SyllabusListParagraph"/>
        <w:numPr>
          <w:ilvl w:val="1"/>
          <w:numId w:val="34"/>
        </w:numPr>
      </w:pPr>
      <w:r w:rsidRPr="00496AC9">
        <w:t>the Thirty Years’ Peace, including the major terms, and the implications of the treaty</w:t>
      </w:r>
    </w:p>
    <w:p w14:paraId="700B0F71" w14:textId="77777777" w:rsidR="00F925F2" w:rsidRPr="00D05241" w:rsidRDefault="00F925F2" w:rsidP="00752A9F">
      <w:pPr>
        <w:pStyle w:val="Heading4"/>
        <w:keepNext/>
      </w:pPr>
      <w:r w:rsidRPr="00D05241">
        <w:t>The policies of Pericles and the opposition</w:t>
      </w:r>
    </w:p>
    <w:p w14:paraId="735C5E0E" w14:textId="3BAC5206" w:rsidR="00F925F2" w:rsidRPr="00C53530" w:rsidRDefault="00F925F2" w:rsidP="008F7B45">
      <w:pPr>
        <w:pStyle w:val="SyllabusListParagraph"/>
        <w:numPr>
          <w:ilvl w:val="0"/>
          <w:numId w:val="33"/>
        </w:numPr>
      </w:pPr>
      <w:r w:rsidRPr="00C53530">
        <w:t>Pericles’ imperial policy, including the trans</w:t>
      </w:r>
      <w:r w:rsidR="00B71448">
        <w:t xml:space="preserve">fer of the treasury in 454 BCE, </w:t>
      </w:r>
      <w:r w:rsidR="007E7BF9">
        <w:t xml:space="preserve">and including </w:t>
      </w:r>
      <w:r w:rsidR="007E7BF9" w:rsidRPr="00C53530">
        <w:t xml:space="preserve">Plutarch’s account </w:t>
      </w:r>
      <w:r w:rsidR="007E7BF9">
        <w:t xml:space="preserve">of </w:t>
      </w:r>
      <w:r w:rsidR="00100FD2" w:rsidRPr="00C53530">
        <w:t xml:space="preserve">use of Delian League funds </w:t>
      </w:r>
      <w:r w:rsidRPr="007E7BF9">
        <w:t xml:space="preserve">for </w:t>
      </w:r>
      <w:r w:rsidR="00100FD2" w:rsidRPr="007E7BF9">
        <w:t>the building program</w:t>
      </w:r>
    </w:p>
    <w:p w14:paraId="3991309A" w14:textId="169BBE39" w:rsidR="00F925F2" w:rsidRPr="0018257F" w:rsidRDefault="002A4891" w:rsidP="008F7B45">
      <w:pPr>
        <w:pStyle w:val="SyllabusListParagraph"/>
        <w:numPr>
          <w:ilvl w:val="0"/>
          <w:numId w:val="33"/>
        </w:numPr>
      </w:pPr>
      <w:r>
        <w:t xml:space="preserve">Pericles’ political position; </w:t>
      </w:r>
      <w:r w:rsidR="009D30B6" w:rsidRPr="0018257F">
        <w:t xml:space="preserve">the </w:t>
      </w:r>
      <w:r w:rsidR="00F925F2" w:rsidRPr="0018257F">
        <w:t xml:space="preserve">opposition to </w:t>
      </w:r>
      <w:r w:rsidR="007E7BF9" w:rsidRPr="0018257F">
        <w:t xml:space="preserve">his leadership </w:t>
      </w:r>
      <w:r w:rsidR="009D30B6" w:rsidRPr="0018257F">
        <w:t xml:space="preserve">and ostracism of Thucydides (son of </w:t>
      </w:r>
      <w:proofErr w:type="spellStart"/>
      <w:r w:rsidR="009D30B6" w:rsidRPr="0018257F">
        <w:t>Melesias</w:t>
      </w:r>
      <w:proofErr w:type="spellEnd"/>
      <w:r w:rsidR="009D30B6" w:rsidRPr="0018257F">
        <w:t>)</w:t>
      </w:r>
    </w:p>
    <w:p w14:paraId="120264FB" w14:textId="11750B17" w:rsidR="00BE4DE6" w:rsidRPr="00C53530" w:rsidRDefault="00931DDE" w:rsidP="008F7B45">
      <w:pPr>
        <w:pStyle w:val="SyllabusListParagraph"/>
        <w:numPr>
          <w:ilvl w:val="0"/>
          <w:numId w:val="33"/>
        </w:numPr>
      </w:pPr>
      <w:r>
        <w:lastRenderedPageBreak/>
        <w:t>t</w:t>
      </w:r>
      <w:r w:rsidR="00BE4DE6" w:rsidRPr="00C53530">
        <w:t>he revolt of Samos, its causes and the Athenian response</w:t>
      </w:r>
    </w:p>
    <w:p w14:paraId="00E8AD48" w14:textId="77777777" w:rsidR="00100FD2" w:rsidRPr="00677FD9" w:rsidRDefault="00100FD2" w:rsidP="00D05241">
      <w:pPr>
        <w:rPr>
          <w:b/>
          <w:bCs/>
          <w:iCs/>
        </w:rPr>
      </w:pPr>
      <w:r w:rsidRPr="00D05241">
        <w:rPr>
          <w:b/>
          <w:bCs/>
        </w:rPr>
        <w:t>OR</w:t>
      </w:r>
    </w:p>
    <w:p w14:paraId="794C4A31" w14:textId="41820C72" w:rsidR="00100FD2" w:rsidRPr="00D61E46" w:rsidRDefault="00100FD2" w:rsidP="00120451">
      <w:pPr>
        <w:pStyle w:val="SyllabusHeading3"/>
      </w:pPr>
      <w:r w:rsidRPr="005378A4">
        <w:t>Elective 3</w:t>
      </w:r>
      <w:r w:rsidR="00417F1C">
        <w:t xml:space="preserve"> –</w:t>
      </w:r>
      <w:r w:rsidR="00B21299">
        <w:t xml:space="preserve"> </w:t>
      </w:r>
      <w:r w:rsidR="00450486">
        <w:t xml:space="preserve">Rome: </w:t>
      </w:r>
      <w:r w:rsidR="00450486" w:rsidRPr="000D732A">
        <w:t>Decline of the</w:t>
      </w:r>
      <w:r w:rsidR="00B21299" w:rsidRPr="000D732A">
        <w:t xml:space="preserve"> Republic</w:t>
      </w:r>
    </w:p>
    <w:p w14:paraId="12BB708E" w14:textId="77777777" w:rsidR="008A5F6B" w:rsidRPr="008A5F6B" w:rsidRDefault="008A5F6B" w:rsidP="002A20D4">
      <w:r w:rsidRPr="008A5F6B">
        <w:t>Essential to an understanding of this period is:</w:t>
      </w:r>
    </w:p>
    <w:p w14:paraId="3BD9AB5D" w14:textId="77777777" w:rsidR="008A5F6B" w:rsidRPr="00D05241" w:rsidRDefault="008A5F6B" w:rsidP="00752A9F">
      <w:pPr>
        <w:pStyle w:val="Heading4"/>
      </w:pPr>
      <w:r w:rsidRPr="00D05241">
        <w:t>The historical, geographical and political context</w:t>
      </w:r>
    </w:p>
    <w:p w14:paraId="361E2744" w14:textId="0E9B63F9" w:rsidR="00100FD2" w:rsidRPr="0080569C" w:rsidRDefault="00463245" w:rsidP="008F7B45">
      <w:pPr>
        <w:pStyle w:val="SyllabusListParagraph"/>
        <w:numPr>
          <w:ilvl w:val="0"/>
          <w:numId w:val="37"/>
        </w:numPr>
      </w:pPr>
      <w:r w:rsidRPr="00F100FA">
        <w:t>t</w:t>
      </w:r>
      <w:r w:rsidR="00100FD2" w:rsidRPr="00F100FA">
        <w:t xml:space="preserve">he nature of power and authority in Rome in 133 </w:t>
      </w:r>
      <w:r w:rsidR="00100FD2" w:rsidRPr="00931DDE">
        <w:t>BC</w:t>
      </w:r>
      <w:r w:rsidR="005C2518" w:rsidRPr="00931DDE">
        <w:t>E</w:t>
      </w:r>
      <w:r w:rsidR="00100FD2" w:rsidRPr="00931DDE">
        <w:t xml:space="preserve">, </w:t>
      </w:r>
      <w:r w:rsidR="00100FD2" w:rsidRPr="00F100FA">
        <w:t>including</w:t>
      </w:r>
    </w:p>
    <w:p w14:paraId="3DD522BC" w14:textId="34D64B1A" w:rsidR="00100FD2" w:rsidRPr="000121B6" w:rsidRDefault="005C2518" w:rsidP="008F7B45">
      <w:pPr>
        <w:pStyle w:val="SyllabusListParagraph"/>
        <w:numPr>
          <w:ilvl w:val="1"/>
          <w:numId w:val="38"/>
        </w:numPr>
      </w:pPr>
      <w:r w:rsidRPr="000121B6">
        <w:t xml:space="preserve">key </w:t>
      </w:r>
      <w:r w:rsidR="00100FD2" w:rsidRPr="000121B6">
        <w:t>polit</w:t>
      </w:r>
      <w:r w:rsidR="00D92042" w:rsidRPr="000121B6">
        <w:t xml:space="preserve">ical </w:t>
      </w:r>
      <w:r w:rsidRPr="000121B6">
        <w:t xml:space="preserve">terms </w:t>
      </w:r>
      <w:r w:rsidR="00A86933">
        <w:t xml:space="preserve">– </w:t>
      </w:r>
      <w:hyperlink r:id="rId16" w:tooltip="wikt:senatus" w:history="1">
        <w:r w:rsidR="00D92042" w:rsidRPr="000121B6">
          <w:t>Senatus</w:t>
        </w:r>
      </w:hyperlink>
      <w:r w:rsidR="00D92042" w:rsidRPr="000121B6">
        <w:t xml:space="preserve"> </w:t>
      </w:r>
      <w:hyperlink r:id="rId17" w:tooltip="wikt:populus" w:history="1">
        <w:proofErr w:type="spellStart"/>
        <w:r w:rsidR="00D92042" w:rsidRPr="000121B6">
          <w:t>Populus</w:t>
        </w:r>
      </w:hyperlink>
      <w:hyperlink r:id="rId18" w:tooltip="wikt:-que" w:history="1">
        <w:r w:rsidR="00D92042" w:rsidRPr="000121B6">
          <w:t>que</w:t>
        </w:r>
        <w:proofErr w:type="spellEnd"/>
      </w:hyperlink>
      <w:r w:rsidR="00D92042" w:rsidRPr="000121B6">
        <w:t xml:space="preserve"> </w:t>
      </w:r>
      <w:hyperlink r:id="rId19" w:tooltip="wikt:romanus" w:history="1">
        <w:r w:rsidR="00D92042" w:rsidRPr="000121B6">
          <w:t>Romanus</w:t>
        </w:r>
      </w:hyperlink>
      <w:r w:rsidR="00D92042" w:rsidRPr="000121B6">
        <w:t xml:space="preserve"> </w:t>
      </w:r>
      <w:r w:rsidR="00442A65">
        <w:t>(</w:t>
      </w:r>
      <w:r w:rsidR="00D92042" w:rsidRPr="000121B6">
        <w:t>SPQR</w:t>
      </w:r>
      <w:r w:rsidR="00442A65">
        <w:t>)</w:t>
      </w:r>
      <w:r w:rsidR="00100FD2" w:rsidRPr="000121B6">
        <w:t>,</w:t>
      </w:r>
      <w:r w:rsidR="00105374">
        <w:t xml:space="preserve"> </w:t>
      </w:r>
      <w:r w:rsidR="00442A65">
        <w:t>O</w:t>
      </w:r>
      <w:r w:rsidRPr="000121B6">
        <w:t xml:space="preserve">ptimates, </w:t>
      </w:r>
      <w:r w:rsidR="00233A50">
        <w:t>P</w:t>
      </w:r>
      <w:r w:rsidRPr="000121B6">
        <w:t xml:space="preserve">opulares, Senatus Consultum </w:t>
      </w:r>
      <w:proofErr w:type="spellStart"/>
      <w:r w:rsidRPr="000121B6">
        <w:t>Ultimum</w:t>
      </w:r>
      <w:proofErr w:type="spellEnd"/>
      <w:r w:rsidRPr="000121B6">
        <w:t xml:space="preserve"> </w:t>
      </w:r>
      <w:r w:rsidR="00442A65">
        <w:t>(</w:t>
      </w:r>
      <w:r w:rsidRPr="000121B6">
        <w:t>SCU</w:t>
      </w:r>
      <w:r w:rsidR="00442A65">
        <w:t>)</w:t>
      </w:r>
      <w:r w:rsidRPr="000121B6">
        <w:t xml:space="preserve">, novus homo, the cursus </w:t>
      </w:r>
      <w:proofErr w:type="spellStart"/>
      <w:r w:rsidRPr="000121B6">
        <w:t>honorum</w:t>
      </w:r>
      <w:proofErr w:type="spellEnd"/>
      <w:r w:rsidRPr="000121B6">
        <w:t xml:space="preserve"> and lex </w:t>
      </w:r>
      <w:proofErr w:type="spellStart"/>
      <w:r w:rsidRPr="000121B6">
        <w:t>Villia</w:t>
      </w:r>
      <w:proofErr w:type="spellEnd"/>
      <w:r w:rsidRPr="000121B6">
        <w:t xml:space="preserve"> Annalis, </w:t>
      </w:r>
      <w:r w:rsidR="00100FD2" w:rsidRPr="000121B6">
        <w:t xml:space="preserve">consuls, </w:t>
      </w:r>
      <w:r w:rsidR="003147F4" w:rsidRPr="000121B6">
        <w:t xml:space="preserve">proconsuls, praetors, </w:t>
      </w:r>
      <w:proofErr w:type="spellStart"/>
      <w:r w:rsidR="003147F4" w:rsidRPr="000121B6">
        <w:t>propraetors</w:t>
      </w:r>
      <w:proofErr w:type="spellEnd"/>
      <w:r w:rsidR="003147F4" w:rsidRPr="000121B6">
        <w:t xml:space="preserve">, </w:t>
      </w:r>
      <w:r w:rsidR="00100FD2" w:rsidRPr="000121B6">
        <w:t xml:space="preserve">senate, tribunate, assemblies and </w:t>
      </w:r>
      <w:r w:rsidR="000121B6" w:rsidRPr="000121B6">
        <w:t>extraordinary commands</w:t>
      </w:r>
    </w:p>
    <w:p w14:paraId="34A267A1" w14:textId="1C0BEF87" w:rsidR="005C2518" w:rsidRPr="000121B6" w:rsidRDefault="003F6FB2" w:rsidP="008F7B45">
      <w:pPr>
        <w:pStyle w:val="SyllabusListParagraph"/>
        <w:numPr>
          <w:ilvl w:val="1"/>
          <w:numId w:val="38"/>
        </w:numPr>
        <w:rPr>
          <w:strike/>
        </w:rPr>
      </w:pPr>
      <w:r w:rsidRPr="000121B6">
        <w:t xml:space="preserve">key </w:t>
      </w:r>
      <w:r w:rsidR="005C2518" w:rsidRPr="000121B6">
        <w:t xml:space="preserve">social </w:t>
      </w:r>
      <w:r w:rsidRPr="000121B6">
        <w:t xml:space="preserve">terms </w:t>
      </w:r>
      <w:r w:rsidR="00A86933">
        <w:t xml:space="preserve">– </w:t>
      </w:r>
      <w:r w:rsidR="005C2518" w:rsidRPr="000121B6">
        <w:t xml:space="preserve">the </w:t>
      </w:r>
      <w:r w:rsidRPr="000121B6">
        <w:t>patricians</w:t>
      </w:r>
      <w:r w:rsidR="005C2518" w:rsidRPr="000121B6">
        <w:t>, equestrians</w:t>
      </w:r>
      <w:r w:rsidR="00CB0A88" w:rsidRPr="000121B6">
        <w:t xml:space="preserve"> </w:t>
      </w:r>
      <w:r w:rsidR="00417F1C">
        <w:t>(</w:t>
      </w:r>
      <w:r w:rsidR="00CB0A88" w:rsidRPr="000121B6">
        <w:t>equites</w:t>
      </w:r>
      <w:r w:rsidR="00417F1C">
        <w:t>)</w:t>
      </w:r>
      <w:r w:rsidR="005C2518" w:rsidRPr="000121B6">
        <w:t xml:space="preserve">, </w:t>
      </w:r>
      <w:r w:rsidRPr="000121B6">
        <w:t xml:space="preserve">plebeians, </w:t>
      </w:r>
      <w:r w:rsidR="005C2518" w:rsidRPr="000121B6">
        <w:t>slaves</w:t>
      </w:r>
      <w:r w:rsidR="00463BFD">
        <w:t xml:space="preserve"> and</w:t>
      </w:r>
      <w:r w:rsidR="005C2518" w:rsidRPr="000121B6">
        <w:t xml:space="preserve"> </w:t>
      </w:r>
      <w:r w:rsidRPr="000121B6">
        <w:t>patron-client relationship</w:t>
      </w:r>
    </w:p>
    <w:p w14:paraId="556E6374" w14:textId="77777777" w:rsidR="001B22EF" w:rsidRPr="000121B6" w:rsidRDefault="007D6AA7" w:rsidP="008F7B45">
      <w:pPr>
        <w:pStyle w:val="SyllabusListParagraph"/>
        <w:numPr>
          <w:ilvl w:val="1"/>
          <w:numId w:val="38"/>
        </w:numPr>
      </w:pPr>
      <w:r w:rsidRPr="000121B6">
        <w:t>the political structures in Rome in 133 BCE</w:t>
      </w:r>
    </w:p>
    <w:p w14:paraId="06EA3C6D" w14:textId="660C73DE" w:rsidR="001B22EF" w:rsidRPr="000121B6" w:rsidRDefault="00A86933" w:rsidP="008F7B45">
      <w:pPr>
        <w:pStyle w:val="SyllabusListParagraph"/>
        <w:numPr>
          <w:ilvl w:val="0"/>
          <w:numId w:val="37"/>
        </w:numPr>
      </w:pPr>
      <w:r>
        <w:t>k</w:t>
      </w:r>
      <w:r w:rsidR="001B22EF" w:rsidRPr="000121B6">
        <w:t>ey written and archaeological sources for the period, including the writings of Plutarch, Appian, Cicero, Sallust, coins, inscription</w:t>
      </w:r>
      <w:r w:rsidR="000F0A08" w:rsidRPr="000121B6">
        <w:t>s</w:t>
      </w:r>
      <w:r w:rsidR="001B22EF" w:rsidRPr="000121B6">
        <w:t xml:space="preserve"> and modern interpretations</w:t>
      </w:r>
    </w:p>
    <w:p w14:paraId="6216506A" w14:textId="78F0A48F" w:rsidR="0058787E" w:rsidRPr="00D05241" w:rsidRDefault="0058787E" w:rsidP="00752A9F">
      <w:pPr>
        <w:pStyle w:val="Heading4"/>
      </w:pPr>
      <w:r w:rsidRPr="00D05241">
        <w:t>The ancient historical narrative</w:t>
      </w:r>
    </w:p>
    <w:p w14:paraId="631CC88F" w14:textId="3A49DBFE" w:rsidR="00FF2DA7" w:rsidRPr="00D05241" w:rsidRDefault="00FF2DA7" w:rsidP="00D05241">
      <w:pPr>
        <w:rPr>
          <w:b/>
          <w:bCs/>
        </w:rPr>
      </w:pPr>
      <w:r w:rsidRPr="00D05241">
        <w:rPr>
          <w:b/>
          <w:bCs/>
        </w:rPr>
        <w:t>The Gracchi and the changing role of the tribunate</w:t>
      </w:r>
    </w:p>
    <w:p w14:paraId="6247012B" w14:textId="77777777" w:rsidR="00CA3036" w:rsidRPr="000121B6" w:rsidRDefault="00100FD2" w:rsidP="008F7B45">
      <w:pPr>
        <w:pStyle w:val="SyllabusListParagraph"/>
        <w:numPr>
          <w:ilvl w:val="0"/>
          <w:numId w:val="39"/>
        </w:numPr>
      </w:pPr>
      <w:r w:rsidRPr="000121B6">
        <w:t xml:space="preserve">reasons for the </w:t>
      </w:r>
      <w:r w:rsidR="00CA3036" w:rsidRPr="000121B6">
        <w:t xml:space="preserve">land </w:t>
      </w:r>
      <w:r w:rsidRPr="000121B6">
        <w:t>reforms of Tiberius Gracchus</w:t>
      </w:r>
      <w:r w:rsidR="001E1458">
        <w:t>,</w:t>
      </w:r>
      <w:r w:rsidR="00CA3036" w:rsidRPr="000121B6">
        <w:t xml:space="preserve"> including problems with recruitment o</w:t>
      </w:r>
      <w:r w:rsidR="00055E9E">
        <w:t xml:space="preserve">f the army, widespread poverty; </w:t>
      </w:r>
      <w:r w:rsidR="00CA3036" w:rsidRPr="000121B6">
        <w:t>u</w:t>
      </w:r>
      <w:r w:rsidR="00E4701C">
        <w:t>nemployment and dispossession</w:t>
      </w:r>
      <w:r w:rsidR="00CA3036" w:rsidRPr="000121B6">
        <w:t xml:space="preserve"> among lower</w:t>
      </w:r>
      <w:r w:rsidR="00055E9E">
        <w:t xml:space="preserve"> class Roman citizens;</w:t>
      </w:r>
      <w:r w:rsidR="00CA3036" w:rsidRPr="000121B6">
        <w:t xml:space="preserve"> the impact of increases in slave labour and the growth of latifundia</w:t>
      </w:r>
    </w:p>
    <w:p w14:paraId="5904CC0D" w14:textId="77777777" w:rsidR="009C17E8" w:rsidRPr="000121B6" w:rsidRDefault="009C17E8" w:rsidP="008F7B45">
      <w:pPr>
        <w:pStyle w:val="SyllabusListParagraph"/>
        <w:numPr>
          <w:ilvl w:val="0"/>
          <w:numId w:val="39"/>
        </w:numPr>
      </w:pPr>
      <w:r w:rsidRPr="000121B6">
        <w:t xml:space="preserve">Tiberius’ </w:t>
      </w:r>
      <w:r w:rsidR="00100FD2" w:rsidRPr="000121B6">
        <w:t xml:space="preserve">lex </w:t>
      </w:r>
      <w:proofErr w:type="spellStart"/>
      <w:r w:rsidRPr="000121B6">
        <w:t>agraria</w:t>
      </w:r>
      <w:proofErr w:type="spellEnd"/>
      <w:r w:rsidRPr="000121B6">
        <w:t xml:space="preserve"> – terms and aims</w:t>
      </w:r>
      <w:r w:rsidR="00100FD2" w:rsidRPr="000121B6">
        <w:t xml:space="preserve">; </w:t>
      </w:r>
      <w:r w:rsidRPr="000121B6">
        <w:t xml:space="preserve">Tiberius’ use of the tribunate; presentation of bill to the Concilium </w:t>
      </w:r>
      <w:proofErr w:type="spellStart"/>
      <w:r w:rsidRPr="000121B6">
        <w:t>Plebis</w:t>
      </w:r>
      <w:proofErr w:type="spellEnd"/>
      <w:r w:rsidRPr="000121B6">
        <w:t xml:space="preserve"> (Assembly) and the significance of this</w:t>
      </w:r>
    </w:p>
    <w:p w14:paraId="2814EB1C" w14:textId="6D8A9B4A" w:rsidR="00097A4E" w:rsidRPr="00A86933" w:rsidRDefault="00A86933" w:rsidP="008F7B45">
      <w:pPr>
        <w:pStyle w:val="SyllabusListParagraph"/>
        <w:numPr>
          <w:ilvl w:val="0"/>
          <w:numId w:val="39"/>
        </w:numPr>
      </w:pPr>
      <w:r w:rsidRPr="00A86933">
        <w:t>o</w:t>
      </w:r>
      <w:r w:rsidR="00097A4E" w:rsidRPr="00A86933">
        <w:t>pposition</w:t>
      </w:r>
      <w:r w:rsidRPr="00A86933">
        <w:t xml:space="preserve"> –</w:t>
      </w:r>
      <w:r>
        <w:t xml:space="preserve"> </w:t>
      </w:r>
      <w:r w:rsidR="00097A4E" w:rsidRPr="00A86933">
        <w:t>steps taken by M</w:t>
      </w:r>
      <w:r w:rsidR="00170E15">
        <w:t>arcus</w:t>
      </w:r>
      <w:r w:rsidR="00097A4E" w:rsidRPr="00A86933">
        <w:t xml:space="preserve"> Octavius and his supporters; </w:t>
      </w:r>
      <w:r w:rsidR="00D802DD" w:rsidRPr="00A86933">
        <w:t xml:space="preserve">Tiberius’ counteractions; the removal of Octavius; the passing of Tiberius’ lex </w:t>
      </w:r>
      <w:proofErr w:type="spellStart"/>
      <w:r w:rsidR="00D802DD" w:rsidRPr="00A86933">
        <w:t>agraria</w:t>
      </w:r>
      <w:proofErr w:type="spellEnd"/>
      <w:r w:rsidR="00D802DD" w:rsidRPr="00A86933">
        <w:t xml:space="preserve"> and the significance of this</w:t>
      </w:r>
    </w:p>
    <w:p w14:paraId="458C6996" w14:textId="77777777" w:rsidR="00950057" w:rsidRPr="00A86933" w:rsidRDefault="009F7B45" w:rsidP="008F7B45">
      <w:pPr>
        <w:pStyle w:val="SyllabusListParagraph"/>
        <w:numPr>
          <w:ilvl w:val="0"/>
          <w:numId w:val="39"/>
        </w:numPr>
      </w:pPr>
      <w:r w:rsidRPr="00A86933">
        <w:t>bequ</w:t>
      </w:r>
      <w:r w:rsidR="00950057" w:rsidRPr="00A86933">
        <w:t>est of Attalus III of Pergamum and significance of Tiberius’ proposals regarding use of funds from the treasury</w:t>
      </w:r>
      <w:r w:rsidR="00DE72DC" w:rsidRPr="00A86933">
        <w:t xml:space="preserve">; </w:t>
      </w:r>
      <w:r w:rsidR="00950057" w:rsidRPr="00A86933">
        <w:t xml:space="preserve">Tiberius stands for re-election as a tribune; </w:t>
      </w:r>
      <w:r w:rsidR="00A1618E" w:rsidRPr="00A86933">
        <w:t>significance and reaction to this attempt to extend the traditional roles and powers of the tribunate</w:t>
      </w:r>
    </w:p>
    <w:p w14:paraId="36BB8638" w14:textId="32757694" w:rsidR="004C1F96" w:rsidRPr="00A86933" w:rsidRDefault="004C1F96" w:rsidP="008F7B45">
      <w:pPr>
        <w:pStyle w:val="SyllabusListParagraph"/>
        <w:numPr>
          <w:ilvl w:val="0"/>
          <w:numId w:val="39"/>
        </w:numPr>
      </w:pPr>
      <w:r w:rsidRPr="00A86933">
        <w:t>manner and impact of Tiberius’ death</w:t>
      </w:r>
      <w:r w:rsidR="00A86933" w:rsidRPr="00A86933">
        <w:t xml:space="preserve"> – </w:t>
      </w:r>
      <w:r w:rsidRPr="00A86933">
        <w:t>the introduction of violence in Roman politics</w:t>
      </w:r>
      <w:r w:rsidR="0029045C" w:rsidRPr="00A86933">
        <w:t xml:space="preserve"> and the discussion around the SCU</w:t>
      </w:r>
    </w:p>
    <w:p w14:paraId="5318ED4E" w14:textId="77777777" w:rsidR="00A9296F" w:rsidRPr="00A86933" w:rsidRDefault="00100FD2" w:rsidP="008F7B45">
      <w:pPr>
        <w:pStyle w:val="SyllabusListParagraph"/>
        <w:numPr>
          <w:ilvl w:val="0"/>
          <w:numId w:val="39"/>
        </w:numPr>
      </w:pPr>
      <w:r w:rsidRPr="00A86933">
        <w:t xml:space="preserve">the </w:t>
      </w:r>
      <w:r w:rsidR="00A9296F" w:rsidRPr="00A86933">
        <w:t xml:space="preserve">reasons for the </w:t>
      </w:r>
      <w:r w:rsidRPr="00A86933">
        <w:t>reforms of Gaius Gracchus</w:t>
      </w:r>
      <w:r w:rsidR="00A9296F" w:rsidRPr="00A86933">
        <w:t xml:space="preserve">, including to avenge the death of Tiberius, to develop </w:t>
      </w:r>
      <w:r w:rsidR="00E4701C" w:rsidRPr="00A86933">
        <w:t>Tiberius</w:t>
      </w:r>
      <w:r w:rsidR="00055E9E" w:rsidRPr="00A86933">
        <w:t>’ reforms,</w:t>
      </w:r>
      <w:r w:rsidR="00A9296F" w:rsidRPr="00A86933">
        <w:t xml:space="preserve"> to</w:t>
      </w:r>
      <w:r w:rsidRPr="00A86933">
        <w:t xml:space="preserve"> </w:t>
      </w:r>
      <w:r w:rsidR="00A9296F" w:rsidRPr="00A86933">
        <w:t>challenge the power and authority of the Senate, to deal with the Italian allies</w:t>
      </w:r>
    </w:p>
    <w:p w14:paraId="7E54B6CD" w14:textId="5BC6C9F8" w:rsidR="00DE6A10" w:rsidRPr="000121B6" w:rsidRDefault="00DA50DD" w:rsidP="008F7B45">
      <w:pPr>
        <w:pStyle w:val="SyllabusListParagraph"/>
        <w:numPr>
          <w:ilvl w:val="0"/>
          <w:numId w:val="39"/>
        </w:numPr>
      </w:pPr>
      <w:r w:rsidRPr="00A86933">
        <w:t>the reforms of Gaius Gracchus</w:t>
      </w:r>
      <w:r w:rsidR="00DE72DC" w:rsidRPr="00A86933">
        <w:t xml:space="preserve">; </w:t>
      </w:r>
      <w:r w:rsidR="00DE6A10" w:rsidRPr="00A86933">
        <w:t>political conflict</w:t>
      </w:r>
      <w:r w:rsidR="00A86933" w:rsidRPr="00A86933">
        <w:t xml:space="preserve"> –</w:t>
      </w:r>
      <w:r w:rsidR="00DE6A10" w:rsidRPr="000121B6">
        <w:t xml:space="preserve"> steps taken</w:t>
      </w:r>
      <w:r w:rsidR="00DE72DC" w:rsidRPr="000121B6">
        <w:t xml:space="preserve"> t</w:t>
      </w:r>
      <w:r w:rsidR="00DE6A10" w:rsidRPr="000121B6">
        <w:t>o block Gaius Gracchus’ actions; opposition to his re-election to the tribunate; the use of the SCU</w:t>
      </w:r>
      <w:r w:rsidR="00BD1E99" w:rsidRPr="000121B6">
        <w:t xml:space="preserve"> and the death of Gaius Gracchus</w:t>
      </w:r>
    </w:p>
    <w:p w14:paraId="12F5E524" w14:textId="40C9D437" w:rsidR="003538E1" w:rsidRPr="000121B6" w:rsidRDefault="00BD1E99" w:rsidP="008F7B45">
      <w:pPr>
        <w:pStyle w:val="SyllabusListParagraph"/>
        <w:numPr>
          <w:ilvl w:val="0"/>
          <w:numId w:val="39"/>
        </w:numPr>
        <w:rPr>
          <w:strike/>
        </w:rPr>
      </w:pPr>
      <w:r w:rsidRPr="000121B6">
        <w:t xml:space="preserve">legacy of the </w:t>
      </w:r>
      <w:r w:rsidR="00D074CA" w:rsidRPr="000121B6">
        <w:t>Gracchi</w:t>
      </w:r>
      <w:r w:rsidR="00A86933">
        <w:t xml:space="preserve"> –</w:t>
      </w:r>
      <w:r w:rsidR="00100FD2" w:rsidRPr="000121B6">
        <w:t xml:space="preserve"> </w:t>
      </w:r>
      <w:r w:rsidR="00C2180F">
        <w:t>the use of the tribunate;</w:t>
      </w:r>
      <w:r w:rsidRPr="000121B6">
        <w:t xml:space="preserve"> </w:t>
      </w:r>
      <w:r w:rsidR="00100FD2" w:rsidRPr="000121B6">
        <w:t>the</w:t>
      </w:r>
      <w:r w:rsidR="00D074CA" w:rsidRPr="000121B6">
        <w:t xml:space="preserve"> use of violence in politics</w:t>
      </w:r>
      <w:r w:rsidR="00100FD2" w:rsidRPr="000121B6">
        <w:t xml:space="preserve"> </w:t>
      </w:r>
      <w:r w:rsidR="003538E1" w:rsidRPr="000121B6">
        <w:t>to protect the power and authority of the Senate</w:t>
      </w:r>
    </w:p>
    <w:p w14:paraId="7E64438E" w14:textId="77777777" w:rsidR="003C2B53" w:rsidRPr="00D05241" w:rsidRDefault="00EF5A58" w:rsidP="00752A9F">
      <w:pPr>
        <w:pStyle w:val="Heading4"/>
      </w:pPr>
      <w:r w:rsidRPr="00D05241">
        <w:lastRenderedPageBreak/>
        <w:t>Marius and the rise of client armies</w:t>
      </w:r>
    </w:p>
    <w:p w14:paraId="6780A89A" w14:textId="78B7502C" w:rsidR="00341B88" w:rsidRPr="00105374" w:rsidRDefault="00341B88" w:rsidP="008F7B45">
      <w:pPr>
        <w:pStyle w:val="SyllabusListParagraph"/>
        <w:numPr>
          <w:ilvl w:val="0"/>
          <w:numId w:val="40"/>
        </w:numPr>
      </w:pPr>
      <w:r w:rsidRPr="00105374">
        <w:t xml:space="preserve">key events in </w:t>
      </w:r>
      <w:r w:rsidR="00100FD2" w:rsidRPr="00105374">
        <w:t xml:space="preserve">Marius’ </w:t>
      </w:r>
      <w:r w:rsidR="006E07B7">
        <w:t>early career</w:t>
      </w:r>
      <w:r w:rsidR="00A86933">
        <w:t xml:space="preserve"> –</w:t>
      </w:r>
      <w:r w:rsidR="006E07B7">
        <w:t xml:space="preserve"> stat</w:t>
      </w:r>
      <w:r w:rsidRPr="00105374">
        <w:t xml:space="preserve">us as novus homo; support from the </w:t>
      </w:r>
      <w:r w:rsidR="00CB0A88" w:rsidRPr="00105374">
        <w:t>equites</w:t>
      </w:r>
      <w:r w:rsidR="00500E45" w:rsidRPr="00105374">
        <w:t>; campaign against Metellus; first consulship in 107 BCE; appointment to the command against Jugurtha</w:t>
      </w:r>
      <w:r w:rsidR="00A87F12" w:rsidRPr="00105374">
        <w:t xml:space="preserve"> through popular support and the support of the </w:t>
      </w:r>
      <w:r w:rsidR="00AE0316" w:rsidRPr="00105374">
        <w:t>tribunes in Rome; victory against Jugurtha in 105</w:t>
      </w:r>
      <w:r w:rsidR="00677FD9">
        <w:t> </w:t>
      </w:r>
      <w:r w:rsidR="00AE0316" w:rsidRPr="00105374">
        <w:t>BCE</w:t>
      </w:r>
    </w:p>
    <w:p w14:paraId="4DD10C43" w14:textId="77777777" w:rsidR="00AE0316" w:rsidRPr="00105374" w:rsidRDefault="00AE0316" w:rsidP="008F7B45">
      <w:pPr>
        <w:pStyle w:val="SyllabusListParagraph"/>
        <w:numPr>
          <w:ilvl w:val="0"/>
          <w:numId w:val="40"/>
        </w:numPr>
      </w:pPr>
      <w:r w:rsidRPr="00105374">
        <w:t xml:space="preserve">Marius’ </w:t>
      </w:r>
      <w:r w:rsidR="00DC4285" w:rsidRPr="00105374">
        <w:t>successive consulships (107, 104–100 BCE); the reasons for these</w:t>
      </w:r>
      <w:r w:rsidR="001C1107">
        <w:t xml:space="preserve"> consulships</w:t>
      </w:r>
      <w:r w:rsidR="00DC4285" w:rsidRPr="00105374">
        <w:t>, including the threat from Jugurtha</w:t>
      </w:r>
      <w:r w:rsidR="00D909F2" w:rsidRPr="00105374">
        <w:t xml:space="preserve"> and the Germanic tribes and the political and military impact of these</w:t>
      </w:r>
    </w:p>
    <w:p w14:paraId="67D04AE4" w14:textId="77777777" w:rsidR="007D7D0B" w:rsidRPr="00105374" w:rsidRDefault="007D7D0B" w:rsidP="008F7B45">
      <w:pPr>
        <w:pStyle w:val="SyllabusListParagraph"/>
        <w:numPr>
          <w:ilvl w:val="0"/>
          <w:numId w:val="40"/>
        </w:numPr>
      </w:pPr>
      <w:r w:rsidRPr="00105374">
        <w:t>n</w:t>
      </w:r>
      <w:r w:rsidR="0071201E" w:rsidRPr="00105374">
        <w:t xml:space="preserve">ature and impact of </w:t>
      </w:r>
      <w:r w:rsidR="001C1107">
        <w:t>Marius’ military reforms, including</w:t>
      </w:r>
      <w:r w:rsidR="00D15AD6" w:rsidRPr="00105374">
        <w:t xml:space="preserve"> the significance of the changes to recruitment in creating client armies and improving the effectiveness </w:t>
      </w:r>
      <w:r w:rsidRPr="00105374">
        <w:t>of the army</w:t>
      </w:r>
    </w:p>
    <w:p w14:paraId="3CD603E4" w14:textId="78C0A9EC" w:rsidR="00584CB9" w:rsidRPr="00105374" w:rsidRDefault="00584CB9" w:rsidP="008F7B45">
      <w:pPr>
        <w:pStyle w:val="SyllabusListParagraph"/>
        <w:numPr>
          <w:ilvl w:val="0"/>
          <w:numId w:val="40"/>
        </w:numPr>
      </w:pPr>
      <w:r w:rsidRPr="00105374">
        <w:t xml:space="preserve">Marius’ last </w:t>
      </w:r>
      <w:r w:rsidRPr="00CD183F">
        <w:t xml:space="preserve">years in </w:t>
      </w:r>
      <w:r w:rsidR="00B21299" w:rsidRPr="00CD183F">
        <w:t xml:space="preserve">favour during </w:t>
      </w:r>
      <w:r w:rsidRPr="00105374">
        <w:t>the Social Wars and retirement; political violence at the end of 89 BCE; confrontation with Sulla over the Mithridatic Command; Marius’ last consulship; the marches on Rome</w:t>
      </w:r>
      <w:r w:rsidR="0042027B" w:rsidRPr="00105374">
        <w:t xml:space="preserve"> (</w:t>
      </w:r>
      <w:r w:rsidRPr="00105374">
        <w:t>88 and 87 BCE</w:t>
      </w:r>
      <w:r w:rsidR="0042027B" w:rsidRPr="00105374">
        <w:t xml:space="preserve">); use of Marius’ veterans; significance of the use of </w:t>
      </w:r>
      <w:r w:rsidR="00A12ED0" w:rsidRPr="00105374">
        <w:t>the client armies</w:t>
      </w:r>
    </w:p>
    <w:p w14:paraId="79600D5A" w14:textId="77777777" w:rsidR="00A12ED0" w:rsidRPr="00105374" w:rsidRDefault="00A12ED0" w:rsidP="008F7B45">
      <w:pPr>
        <w:pStyle w:val="SyllabusListParagraph"/>
        <w:numPr>
          <w:ilvl w:val="0"/>
          <w:numId w:val="40"/>
        </w:numPr>
      </w:pPr>
      <w:r w:rsidRPr="00105374">
        <w:t>legacy of Marius and the challenge to the power and authority of the Senate and the Roman Republic by</w:t>
      </w:r>
      <w:r w:rsidR="00403D01">
        <w:t xml:space="preserve"> Marius’ successive consulships;</w:t>
      </w:r>
      <w:r w:rsidRPr="00105374">
        <w:t xml:space="preserve"> the client armies and the evolving use of the tribunate; ongoing political violence</w:t>
      </w:r>
    </w:p>
    <w:p w14:paraId="74ED397E" w14:textId="77777777" w:rsidR="00F90B04" w:rsidRPr="00D05241" w:rsidRDefault="00C4288E" w:rsidP="00752A9F">
      <w:pPr>
        <w:pStyle w:val="Heading4"/>
      </w:pPr>
      <w:r w:rsidRPr="00D05241">
        <w:t>Sulla and the increasing use of violence in politics</w:t>
      </w:r>
    </w:p>
    <w:p w14:paraId="4BC38418" w14:textId="6BEDA246" w:rsidR="001653C4" w:rsidRPr="00346FB1" w:rsidRDefault="00B031FF" w:rsidP="008F7B45">
      <w:pPr>
        <w:pStyle w:val="SyllabusListParagraph"/>
        <w:numPr>
          <w:ilvl w:val="0"/>
          <w:numId w:val="41"/>
        </w:numPr>
      </w:pPr>
      <w:r w:rsidRPr="00346FB1">
        <w:t xml:space="preserve">Sulla’s early success as a </w:t>
      </w:r>
      <w:r w:rsidRPr="00A86933">
        <w:t>general</w:t>
      </w:r>
      <w:r w:rsidR="00A86933">
        <w:t xml:space="preserve"> –</w:t>
      </w:r>
      <w:r w:rsidRPr="00346FB1">
        <w:t xml:space="preserve"> </w:t>
      </w:r>
      <w:r w:rsidR="00236FD7" w:rsidRPr="00346FB1">
        <w:t xml:space="preserve">campaigns </w:t>
      </w:r>
      <w:r w:rsidR="0034321E" w:rsidRPr="00346FB1">
        <w:t xml:space="preserve">against </w:t>
      </w:r>
      <w:r w:rsidR="00EF2EE4" w:rsidRPr="00346FB1">
        <w:t>Jugurtha, the Germans and Cilicia</w:t>
      </w:r>
      <w:r w:rsidR="00DC6C90" w:rsidRPr="00346FB1">
        <w:t>; successful campaigns in southern Italy during the Social Wars</w:t>
      </w:r>
    </w:p>
    <w:p w14:paraId="26AF6729" w14:textId="22CE6458" w:rsidR="00AE0170" w:rsidRPr="00346FB1" w:rsidRDefault="00100FD2" w:rsidP="008F7B45">
      <w:pPr>
        <w:pStyle w:val="SyllabusListParagraph"/>
        <w:numPr>
          <w:ilvl w:val="0"/>
          <w:numId w:val="41"/>
        </w:numPr>
      </w:pPr>
      <w:r w:rsidRPr="00346FB1">
        <w:t>Sulla’s consulship</w:t>
      </w:r>
      <w:r w:rsidR="00DF17C8" w:rsidRPr="00346FB1">
        <w:t xml:space="preserve"> in 88 BCE</w:t>
      </w:r>
      <w:r w:rsidRPr="00346FB1">
        <w:t xml:space="preserve">, Mithridatic </w:t>
      </w:r>
      <w:r w:rsidR="00D26A33">
        <w:t>C</w:t>
      </w:r>
      <w:r w:rsidRPr="00346FB1">
        <w:t xml:space="preserve">ommand, </w:t>
      </w:r>
      <w:r w:rsidR="00DF17C8" w:rsidRPr="00346FB1">
        <w:t>transfer of the command to Marius by the Assembly; the role of the tribunate in interfering with the Senate’s right to appoint military commands</w:t>
      </w:r>
      <w:r w:rsidR="00AE0170" w:rsidRPr="00346FB1">
        <w:t xml:space="preserve">; Sulla’s First March on Rome in 88 BCE; Sulpicius’ death and the political consequences for the allies; </w:t>
      </w:r>
      <w:r w:rsidR="003A6681" w:rsidRPr="00346FB1">
        <w:t>the significance of the precedent set by Sulla in his use of the military as a political weapon</w:t>
      </w:r>
    </w:p>
    <w:p w14:paraId="32154C96" w14:textId="77777777" w:rsidR="00273CA2" w:rsidRPr="00346FB1" w:rsidRDefault="00273CA2" w:rsidP="008F7B45">
      <w:pPr>
        <w:pStyle w:val="SyllabusListParagraph"/>
        <w:numPr>
          <w:ilvl w:val="0"/>
          <w:numId w:val="41"/>
        </w:numPr>
      </w:pPr>
      <w:r w:rsidRPr="00346FB1">
        <w:t xml:space="preserve">events upon Sulla’s return after the defeat of </w:t>
      </w:r>
      <w:r w:rsidR="0081402D" w:rsidRPr="00346FB1">
        <w:t>Mithridates</w:t>
      </w:r>
      <w:r w:rsidR="0049023B" w:rsidRPr="00346FB1">
        <w:t>; Sulla’s Second March on Rome</w:t>
      </w:r>
      <w:r w:rsidR="00E6452F" w:rsidRPr="00346FB1">
        <w:t xml:space="preserve"> and conflict with his rivals in the Senate</w:t>
      </w:r>
    </w:p>
    <w:p w14:paraId="7627F546" w14:textId="24CECCC4" w:rsidR="00E6452F" w:rsidRPr="00346FB1" w:rsidRDefault="00E6452F" w:rsidP="008F7B45">
      <w:pPr>
        <w:pStyle w:val="SyllabusListParagraph"/>
        <w:numPr>
          <w:ilvl w:val="0"/>
          <w:numId w:val="41"/>
        </w:numPr>
      </w:pPr>
      <w:r w:rsidRPr="00346FB1">
        <w:t>Sulla’s dictators</w:t>
      </w:r>
      <w:r w:rsidR="005177EB" w:rsidRPr="00346FB1">
        <w:t>hip</w:t>
      </w:r>
      <w:r w:rsidR="00346CD8" w:rsidRPr="00346FB1">
        <w:t xml:space="preserve">; </w:t>
      </w:r>
      <w:r w:rsidR="005177EB" w:rsidRPr="00346FB1">
        <w:t>the proscriptions and the short</w:t>
      </w:r>
      <w:r w:rsidR="00417F1C">
        <w:t>-</w:t>
      </w:r>
      <w:r w:rsidR="005177EB" w:rsidRPr="00346FB1">
        <w:t xml:space="preserve"> and long</w:t>
      </w:r>
      <w:r w:rsidR="00417F1C">
        <w:t>-</w:t>
      </w:r>
      <w:r w:rsidR="005177EB" w:rsidRPr="00346FB1">
        <w:t xml:space="preserve">term consequences of these events; the increasing use of violence </w:t>
      </w:r>
      <w:r w:rsidR="000977AA" w:rsidRPr="00346FB1">
        <w:t>in politics</w:t>
      </w:r>
    </w:p>
    <w:p w14:paraId="75F97603" w14:textId="2C923CC4" w:rsidR="00D81315" w:rsidRPr="00346FB1" w:rsidRDefault="00D81315" w:rsidP="008F7B45">
      <w:pPr>
        <w:pStyle w:val="SyllabusListParagraph"/>
        <w:numPr>
          <w:ilvl w:val="0"/>
          <w:numId w:val="41"/>
        </w:numPr>
      </w:pPr>
      <w:r w:rsidRPr="00346FB1">
        <w:t xml:space="preserve">Sulla’s aim to re-establish traditional power </w:t>
      </w:r>
      <w:r w:rsidR="00E4701C" w:rsidRPr="00346FB1">
        <w:t>structures</w:t>
      </w:r>
      <w:r w:rsidRPr="00346FB1">
        <w:t xml:space="preserve">; his reforms to the tribunate and Senate, and to the cursus </w:t>
      </w:r>
      <w:proofErr w:type="spellStart"/>
      <w:r w:rsidRPr="00346FB1">
        <w:t>honorum</w:t>
      </w:r>
      <w:proofErr w:type="spellEnd"/>
      <w:r w:rsidRPr="00346FB1">
        <w:t>, magistracies, provincial governors, law courts, equites and corn dole</w:t>
      </w:r>
    </w:p>
    <w:p w14:paraId="7E314D64" w14:textId="77777777" w:rsidR="00D81315" w:rsidRPr="00346FB1" w:rsidRDefault="00D81315" w:rsidP="008F7B45">
      <w:pPr>
        <w:pStyle w:val="SyllabusListParagraph"/>
        <w:numPr>
          <w:ilvl w:val="0"/>
          <w:numId w:val="41"/>
        </w:numPr>
      </w:pPr>
      <w:r w:rsidRPr="00346FB1">
        <w:t>manner and impact of Sulla’s retirement and death; the effectiveness of the so-called ‘</w:t>
      </w:r>
      <w:proofErr w:type="spellStart"/>
      <w:r w:rsidRPr="00346FB1">
        <w:t>Sullan</w:t>
      </w:r>
      <w:proofErr w:type="spellEnd"/>
      <w:r w:rsidRPr="00346FB1">
        <w:t xml:space="preserve"> Restoration’</w:t>
      </w:r>
    </w:p>
    <w:p w14:paraId="447302B8" w14:textId="3F80C511" w:rsidR="00042A3D" w:rsidRPr="00D05241" w:rsidRDefault="00042A3D" w:rsidP="00752A9F">
      <w:pPr>
        <w:pStyle w:val="Heading4"/>
      </w:pPr>
      <w:r w:rsidRPr="00D05241">
        <w:t xml:space="preserve">Pompey and </w:t>
      </w:r>
      <w:r w:rsidR="00D26A33">
        <w:t>e</w:t>
      </w:r>
      <w:r w:rsidR="00E4701C" w:rsidRPr="00D05241">
        <w:t>xtraordinary</w:t>
      </w:r>
      <w:r w:rsidRPr="00D05241">
        <w:t xml:space="preserve"> </w:t>
      </w:r>
      <w:r w:rsidR="00D26A33">
        <w:t>c</w:t>
      </w:r>
      <w:r w:rsidRPr="00D05241">
        <w:t>ommands</w:t>
      </w:r>
    </w:p>
    <w:p w14:paraId="0B3C1D65" w14:textId="77777777" w:rsidR="00383C3E" w:rsidRPr="00E23904" w:rsidRDefault="00383C3E" w:rsidP="008F7B45">
      <w:pPr>
        <w:pStyle w:val="SyllabusListParagraph"/>
        <w:numPr>
          <w:ilvl w:val="0"/>
          <w:numId w:val="42"/>
        </w:numPr>
      </w:pPr>
      <w:r w:rsidRPr="00E23904">
        <w:t>the impact of the failure of the ‘</w:t>
      </w:r>
      <w:proofErr w:type="spellStart"/>
      <w:r w:rsidRPr="00E23904">
        <w:t>Sullan</w:t>
      </w:r>
      <w:proofErr w:type="spellEnd"/>
      <w:r w:rsidRPr="00E23904">
        <w:t xml:space="preserve"> Restoration’, including the series of crises facing Rome during the 70s BCE</w:t>
      </w:r>
      <w:r w:rsidR="00E23904">
        <w:t xml:space="preserve">; </w:t>
      </w:r>
      <w:r w:rsidRPr="00E23904">
        <w:t>the reasons for, and nature of, the extraordinary commands of Pompey and others, including Pompey v Marians, Pompey v Lepidus, Pompey v Sertorius, Crassus v Spartacus, Pompey v Spartacus, Crassus’ and Pompey’s Consulship of 70 BCE</w:t>
      </w:r>
    </w:p>
    <w:p w14:paraId="6E13D4D5" w14:textId="504DD546" w:rsidR="00383C3E" w:rsidRPr="004D64E3" w:rsidRDefault="00383C3E" w:rsidP="008F7B45">
      <w:pPr>
        <w:pStyle w:val="SyllabusListParagraph"/>
        <w:numPr>
          <w:ilvl w:val="0"/>
          <w:numId w:val="42"/>
        </w:numPr>
        <w:rPr>
          <w:bCs/>
        </w:rPr>
      </w:pPr>
      <w:r w:rsidRPr="00035F06">
        <w:lastRenderedPageBreak/>
        <w:t xml:space="preserve">the Lex </w:t>
      </w:r>
      <w:proofErr w:type="spellStart"/>
      <w:r w:rsidRPr="00035F06">
        <w:t>Gabinia</w:t>
      </w:r>
      <w:proofErr w:type="spellEnd"/>
      <w:r w:rsidRPr="00035F06">
        <w:t xml:space="preserve"> and the Lex </w:t>
      </w:r>
      <w:proofErr w:type="spellStart"/>
      <w:r w:rsidRPr="00035F06">
        <w:t>Manilia</w:t>
      </w:r>
      <w:proofErr w:type="spellEnd"/>
      <w:r w:rsidRPr="00035F06">
        <w:t xml:space="preserve"> and key features of the Eastern Settlement, including the reasons for the commands, the main terms, the response of the Senate</w:t>
      </w:r>
      <w:r w:rsidRPr="00035F06">
        <w:rPr>
          <w:b/>
        </w:rPr>
        <w:t xml:space="preserve"> </w:t>
      </w:r>
      <w:r w:rsidRPr="00035F06">
        <w:t>and the role of the tribunate</w:t>
      </w:r>
    </w:p>
    <w:p w14:paraId="09D8DBE1" w14:textId="77777777" w:rsidR="00F633EB" w:rsidRPr="00035F06" w:rsidRDefault="00383C3E" w:rsidP="008F7B45">
      <w:pPr>
        <w:pStyle w:val="SyllabusListParagraph"/>
        <w:numPr>
          <w:ilvl w:val="0"/>
          <w:numId w:val="42"/>
        </w:numPr>
      </w:pPr>
      <w:r w:rsidRPr="00035F06">
        <w:t>the importance of</w:t>
      </w:r>
      <w:r w:rsidRPr="00035F06">
        <w:rPr>
          <w:b/>
        </w:rPr>
        <w:t xml:space="preserve"> </w:t>
      </w:r>
      <w:r w:rsidRPr="00035F06">
        <w:t>extraordinary commands</w:t>
      </w:r>
      <w:r w:rsidRPr="00035F06">
        <w:rPr>
          <w:b/>
        </w:rPr>
        <w:t xml:space="preserve"> </w:t>
      </w:r>
      <w:r w:rsidR="00EF4B50">
        <w:t xml:space="preserve">to the career of Pompey; </w:t>
      </w:r>
      <w:r w:rsidRPr="00035F06">
        <w:t>the impact of extraordinary commands on the power and authority of the Senate</w:t>
      </w:r>
      <w:r w:rsidRPr="004D64E3">
        <w:t xml:space="preserve"> </w:t>
      </w:r>
      <w:r w:rsidRPr="00035F06">
        <w:t>and the</w:t>
      </w:r>
      <w:r w:rsidRPr="004D64E3">
        <w:t xml:space="preserve"> </w:t>
      </w:r>
      <w:r w:rsidRPr="00035F06">
        <w:t>Roman Republic</w:t>
      </w:r>
    </w:p>
    <w:p w14:paraId="5F77FAD0" w14:textId="77777777" w:rsidR="00F633EB" w:rsidRPr="00D05241" w:rsidRDefault="00B570FF" w:rsidP="00752A9F">
      <w:pPr>
        <w:pStyle w:val="Heading4"/>
      </w:pPr>
      <w:r w:rsidRPr="00D05241">
        <w:t xml:space="preserve">Cicero and the Concordia </w:t>
      </w:r>
      <w:proofErr w:type="spellStart"/>
      <w:r w:rsidRPr="00D05241">
        <w:t>Ordinum</w:t>
      </w:r>
      <w:proofErr w:type="spellEnd"/>
    </w:p>
    <w:p w14:paraId="18DDE09F" w14:textId="19C7E949" w:rsidR="00B570FF" w:rsidRPr="00035F06" w:rsidRDefault="00100FD2" w:rsidP="008F7B45">
      <w:pPr>
        <w:pStyle w:val="SyllabusListParagraph"/>
        <w:numPr>
          <w:ilvl w:val="0"/>
          <w:numId w:val="43"/>
        </w:numPr>
      </w:pPr>
      <w:r w:rsidRPr="00035F06">
        <w:rPr>
          <w:rFonts w:cs="Calibri"/>
        </w:rPr>
        <w:t xml:space="preserve">Cicero’s </w:t>
      </w:r>
      <w:r w:rsidR="00B570FF" w:rsidRPr="00035F06">
        <w:rPr>
          <w:rFonts w:cs="Calibri"/>
        </w:rPr>
        <w:t xml:space="preserve">emergence as a novus homo and election to the </w:t>
      </w:r>
      <w:r w:rsidRPr="00035F06">
        <w:rPr>
          <w:rFonts w:cs="Calibri"/>
        </w:rPr>
        <w:t>consulship</w:t>
      </w:r>
      <w:r w:rsidR="00B570FF" w:rsidRPr="00035F06">
        <w:rPr>
          <w:rFonts w:cs="Calibri"/>
        </w:rPr>
        <w:t xml:space="preserve"> of 63 BCE; reasons for </w:t>
      </w:r>
      <w:r w:rsidR="00E96D2F" w:rsidRPr="00035F06">
        <w:t>discontent in 63</w:t>
      </w:r>
      <w:r w:rsidR="00677FD9">
        <w:t xml:space="preserve"> </w:t>
      </w:r>
      <w:r w:rsidR="00E96D2F" w:rsidRPr="00035F06">
        <w:t>BCE, including debt and the failure of the Senate’s response to previous crises</w:t>
      </w:r>
    </w:p>
    <w:p w14:paraId="12FEEC30" w14:textId="04753831" w:rsidR="00100FD2" w:rsidRPr="00035F06" w:rsidRDefault="00035F06" w:rsidP="008F7B45">
      <w:pPr>
        <w:pStyle w:val="SyllabusListParagraph"/>
        <w:numPr>
          <w:ilvl w:val="0"/>
          <w:numId w:val="43"/>
        </w:numPr>
        <w:rPr>
          <w:rFonts w:cs="Calibri"/>
        </w:rPr>
      </w:pPr>
      <w:r w:rsidRPr="00035F06">
        <w:rPr>
          <w:rFonts w:cs="Calibri"/>
        </w:rPr>
        <w:t xml:space="preserve">the key events </w:t>
      </w:r>
      <w:r w:rsidR="00100FD2" w:rsidRPr="00035F06">
        <w:rPr>
          <w:rFonts w:cs="Calibri"/>
        </w:rPr>
        <w:t>of the Catiline Conspiracy</w:t>
      </w:r>
      <w:r w:rsidR="000303D1" w:rsidRPr="00035F06">
        <w:rPr>
          <w:rFonts w:cs="Calibri"/>
        </w:rPr>
        <w:t>; Catiline’s aims; Cicero’s reaction; political violence</w:t>
      </w:r>
      <w:r w:rsidR="00FE265B" w:rsidRPr="00035F06">
        <w:rPr>
          <w:rFonts w:cs="Calibri"/>
        </w:rPr>
        <w:t>; use of the SCU</w:t>
      </w:r>
      <w:r w:rsidR="00100FD2" w:rsidRPr="00035F06">
        <w:rPr>
          <w:rFonts w:cs="Calibri"/>
        </w:rPr>
        <w:t xml:space="preserve"> and the </w:t>
      </w:r>
      <w:r w:rsidR="00FE265B" w:rsidRPr="00035F06">
        <w:rPr>
          <w:rFonts w:cs="Calibri"/>
        </w:rPr>
        <w:t>consequences for Cicero and the power and authority of the Senate</w:t>
      </w:r>
      <w:r w:rsidR="00EF4B50">
        <w:rPr>
          <w:rFonts w:cs="Calibri"/>
        </w:rPr>
        <w:t>;</w:t>
      </w:r>
      <w:r w:rsidR="00FE265B" w:rsidRPr="00035F06">
        <w:rPr>
          <w:rFonts w:cs="Calibri"/>
        </w:rPr>
        <w:t xml:space="preserve"> tensions within the Senate between the </w:t>
      </w:r>
      <w:r w:rsidR="00442A65">
        <w:rPr>
          <w:rFonts w:cs="Calibri"/>
        </w:rPr>
        <w:t>O</w:t>
      </w:r>
      <w:r w:rsidR="00FE265B" w:rsidRPr="00035F06">
        <w:rPr>
          <w:rFonts w:cs="Calibri"/>
        </w:rPr>
        <w:t xml:space="preserve">ptimates and </w:t>
      </w:r>
      <w:r w:rsidR="00233A50">
        <w:rPr>
          <w:rFonts w:cs="Calibri"/>
        </w:rPr>
        <w:t>P</w:t>
      </w:r>
      <w:r w:rsidR="00FE265B" w:rsidRPr="00035F06">
        <w:rPr>
          <w:rFonts w:cs="Calibri"/>
        </w:rPr>
        <w:t xml:space="preserve">opulares; the </w:t>
      </w:r>
      <w:r w:rsidR="00100FD2" w:rsidRPr="00035F06">
        <w:rPr>
          <w:rFonts w:cs="Calibri"/>
        </w:rPr>
        <w:t xml:space="preserve">Concordia </w:t>
      </w:r>
      <w:proofErr w:type="spellStart"/>
      <w:r w:rsidR="00100FD2" w:rsidRPr="00035F06">
        <w:rPr>
          <w:rFonts w:cs="Calibri"/>
        </w:rPr>
        <w:t>Ordinum</w:t>
      </w:r>
      <w:proofErr w:type="spellEnd"/>
    </w:p>
    <w:bookmarkEnd w:id="22"/>
    <w:bookmarkEnd w:id="23"/>
    <w:bookmarkEnd w:id="24"/>
    <w:p w14:paraId="58B7984C" w14:textId="77777777" w:rsidR="005378A4" w:rsidRPr="00F754FB" w:rsidRDefault="005378A4" w:rsidP="00F754FB">
      <w:r w:rsidRPr="00F754FB">
        <w:br w:type="page"/>
      </w:r>
    </w:p>
    <w:p w14:paraId="165A718E" w14:textId="190513D5" w:rsidR="00540775" w:rsidRPr="00293088" w:rsidRDefault="00540775" w:rsidP="00120451">
      <w:pPr>
        <w:pStyle w:val="SyllabusHeading1"/>
      </w:pPr>
      <w:bookmarkStart w:id="32" w:name="_Toc140666018"/>
      <w:r w:rsidRPr="00293088">
        <w:lastRenderedPageBreak/>
        <w:t xml:space="preserve">Unit </w:t>
      </w:r>
      <w:r w:rsidR="007836F1" w:rsidRPr="00293088">
        <w:t>4</w:t>
      </w:r>
      <w:r w:rsidR="00403269" w:rsidRPr="00293088">
        <w:t xml:space="preserve"> </w:t>
      </w:r>
      <w:r w:rsidR="002C54CE" w:rsidRPr="00293088">
        <w:t>–</w:t>
      </w:r>
      <w:r w:rsidR="00403269" w:rsidRPr="00293088">
        <w:t xml:space="preserve"> </w:t>
      </w:r>
      <w:r w:rsidR="00B93783">
        <w:t xml:space="preserve">Reconstructing the </w:t>
      </w:r>
      <w:r w:rsidR="004D64E3">
        <w:t>A</w:t>
      </w:r>
      <w:r w:rsidR="00B93783">
        <w:t xml:space="preserve">ncient </w:t>
      </w:r>
      <w:r w:rsidR="004D64E3">
        <w:t>W</w:t>
      </w:r>
      <w:r w:rsidR="001C3A8D" w:rsidRPr="001C3A8D">
        <w:t>orld</w:t>
      </w:r>
      <w:bookmarkEnd w:id="32"/>
    </w:p>
    <w:p w14:paraId="26C3152D" w14:textId="77777777" w:rsidR="007C6AA3" w:rsidRPr="00293088" w:rsidRDefault="007C6AA3" w:rsidP="00120451">
      <w:pPr>
        <w:pStyle w:val="SyllabusHeading2"/>
      </w:pPr>
      <w:bookmarkStart w:id="33" w:name="_Toc140666019"/>
      <w:bookmarkEnd w:id="25"/>
      <w:r w:rsidRPr="00293088">
        <w:t>Unit description</w:t>
      </w:r>
      <w:bookmarkEnd w:id="33"/>
    </w:p>
    <w:p w14:paraId="251028DB" w14:textId="77777777" w:rsidR="001C3A8D" w:rsidRPr="001C3A8D" w:rsidRDefault="001C3A8D" w:rsidP="002E42E8">
      <w:pPr>
        <w:rPr>
          <w:lang w:val="en-US"/>
        </w:rPr>
      </w:pPr>
      <w:r w:rsidRPr="001C3A8D">
        <w:rPr>
          <w:rFonts w:cs="Calibri"/>
          <w:lang w:val="en-US"/>
        </w:rPr>
        <w:t>This unit involves an investigation of a significant historical period through an analysis of relevant archaeological and written sources. Students will examine how these sources have been used to construct an understanding of the relevant social, political, military, religious and economic institutions and practices, and key events and individ</w:t>
      </w:r>
      <w:r w:rsidR="002275E3">
        <w:rPr>
          <w:rFonts w:cs="Calibri"/>
          <w:lang w:val="en-US"/>
        </w:rPr>
        <w:t>uals of the historical period.</w:t>
      </w:r>
    </w:p>
    <w:p w14:paraId="77FC144D" w14:textId="736D2787" w:rsidR="001C3A8D" w:rsidRDefault="001C3A8D" w:rsidP="002E42E8">
      <w:pPr>
        <w:rPr>
          <w:lang w:val="en-US"/>
        </w:rPr>
      </w:pPr>
      <w:r w:rsidRPr="001C3A8D">
        <w:rPr>
          <w:lang w:val="en-US"/>
        </w:rPr>
        <w:t xml:space="preserve">This unit allows for greater study of historiography and the challenges associated with the interpretation and evaluation of the evidence. Students will </w:t>
      </w:r>
      <w:proofErr w:type="spellStart"/>
      <w:r w:rsidRPr="001C3A8D">
        <w:rPr>
          <w:lang w:val="en-US"/>
        </w:rPr>
        <w:t>analyse</w:t>
      </w:r>
      <w:proofErr w:type="spellEnd"/>
      <w:r w:rsidRPr="001C3A8D">
        <w:rPr>
          <w:lang w:val="en-US"/>
        </w:rPr>
        <w:t xml:space="preserve"> the reliability and usefulness of a wide range of ancient and modern sources to the reconstruction of the historical period. The unit enables students to develop their understanding of changing interpretations over time and appreciate </w:t>
      </w:r>
      <w:r w:rsidR="00B21299" w:rsidRPr="00D87B31">
        <w:rPr>
          <w:lang w:val="en-US"/>
        </w:rPr>
        <w:t xml:space="preserve">the provisional </w:t>
      </w:r>
      <w:r w:rsidRPr="00D87B31">
        <w:rPr>
          <w:lang w:val="en-US"/>
        </w:rPr>
        <w:t>nature of history and</w:t>
      </w:r>
      <w:r w:rsidRPr="001C3A8D">
        <w:rPr>
          <w:lang w:val="en-US"/>
        </w:rPr>
        <w:t xml:space="preserve"> the value of the ancient past.</w:t>
      </w:r>
    </w:p>
    <w:p w14:paraId="1CA3B766" w14:textId="70105AF0" w:rsidR="001C3A8D" w:rsidRPr="00E16BC4" w:rsidRDefault="001C3A8D" w:rsidP="002E42E8">
      <w:pPr>
        <w:rPr>
          <w:lang w:val="en-US"/>
        </w:rPr>
      </w:pPr>
      <w:r w:rsidRPr="00E16BC4">
        <w:rPr>
          <w:lang w:val="en-US"/>
        </w:rPr>
        <w:t xml:space="preserve">The key conceptual understandings of this unit include usefulness and reliability of sources, </w:t>
      </w:r>
      <w:r w:rsidR="0067319F" w:rsidRPr="00E16BC4">
        <w:rPr>
          <w:lang w:val="en-US"/>
        </w:rPr>
        <w:t xml:space="preserve">evidence, </w:t>
      </w:r>
      <w:r w:rsidR="00174BD0" w:rsidRPr="00E16BC4">
        <w:rPr>
          <w:lang w:val="en-US"/>
        </w:rPr>
        <w:t>perspectives,</w:t>
      </w:r>
      <w:r w:rsidR="00E16BC4" w:rsidRPr="00E16BC4">
        <w:rPr>
          <w:lang w:val="en-US"/>
        </w:rPr>
        <w:t xml:space="preserve"> interpretations, representations</w:t>
      </w:r>
      <w:r w:rsidRPr="00E16BC4">
        <w:rPr>
          <w:lang w:val="en-US"/>
        </w:rPr>
        <w:t xml:space="preserve"> </w:t>
      </w:r>
      <w:r w:rsidR="00174BD0" w:rsidRPr="00E16BC4">
        <w:rPr>
          <w:lang w:val="en-US"/>
        </w:rPr>
        <w:t xml:space="preserve">and </w:t>
      </w:r>
      <w:r w:rsidRPr="00E16BC4">
        <w:rPr>
          <w:lang w:val="en-US"/>
        </w:rPr>
        <w:t>reconstruction</w:t>
      </w:r>
      <w:r w:rsidR="00E16BC4" w:rsidRPr="00E16BC4">
        <w:rPr>
          <w:lang w:val="en-US"/>
        </w:rPr>
        <w:t>.</w:t>
      </w:r>
    </w:p>
    <w:p w14:paraId="4FBF8D69" w14:textId="77777777" w:rsidR="007C6AA3" w:rsidRPr="00293088" w:rsidRDefault="007C6AA3" w:rsidP="00120451">
      <w:pPr>
        <w:pStyle w:val="SyllabusHeading2"/>
      </w:pPr>
      <w:bookmarkStart w:id="34" w:name="_Toc140666020"/>
      <w:r w:rsidRPr="00293088">
        <w:t>Unit content</w:t>
      </w:r>
      <w:bookmarkEnd w:id="34"/>
    </w:p>
    <w:p w14:paraId="02A0C852" w14:textId="77777777" w:rsidR="007C6AA3" w:rsidRPr="00293088" w:rsidRDefault="007C6AA3" w:rsidP="007C6AA3">
      <w:r w:rsidRPr="00293088">
        <w:t>This unit includes the knowledge, understandings and skills described below. This is the examinable content.</w:t>
      </w:r>
    </w:p>
    <w:p w14:paraId="6D3196BA" w14:textId="77777777" w:rsidR="000350CC" w:rsidRPr="000350CC" w:rsidRDefault="00FD7D7E" w:rsidP="00120451">
      <w:pPr>
        <w:pStyle w:val="SyllabusHeading3"/>
        <w:rPr>
          <w:iCs/>
        </w:rPr>
      </w:pPr>
      <w:r>
        <w:t>Historical S</w:t>
      </w:r>
      <w:r w:rsidR="000350CC" w:rsidRPr="000350CC">
        <w:t>kills</w:t>
      </w:r>
    </w:p>
    <w:p w14:paraId="22704C78" w14:textId="77777777" w:rsidR="000350CC" w:rsidRPr="000350CC" w:rsidRDefault="000350CC" w:rsidP="002E42E8">
      <w:pPr>
        <w:rPr>
          <w:lang w:val="en-US"/>
        </w:rPr>
      </w:pPr>
      <w:r w:rsidRPr="000350CC">
        <w:rPr>
          <w:rFonts w:cs="Calibri"/>
          <w:lang w:val="en-US"/>
        </w:rPr>
        <w:t>The following skills wil</w:t>
      </w:r>
      <w:r w:rsidR="00FF1D2B">
        <w:rPr>
          <w:rFonts w:cs="Calibri"/>
          <w:lang w:val="en-US"/>
        </w:rPr>
        <w:t>l be developed during this unit.</w:t>
      </w:r>
    </w:p>
    <w:p w14:paraId="49325B8E" w14:textId="77777777" w:rsidR="000350CC" w:rsidRPr="00D05241" w:rsidRDefault="000350CC" w:rsidP="00752A9F">
      <w:pPr>
        <w:pStyle w:val="Heading4"/>
      </w:pPr>
      <w:r w:rsidRPr="00D05241">
        <w:t>Chronology, terms and concepts</w:t>
      </w:r>
    </w:p>
    <w:p w14:paraId="2BEF26C3" w14:textId="77777777" w:rsidR="000350CC" w:rsidRPr="00B11541" w:rsidRDefault="00DF151F" w:rsidP="008F7B45">
      <w:pPr>
        <w:pStyle w:val="SyllabusListParagraph"/>
        <w:numPr>
          <w:ilvl w:val="0"/>
          <w:numId w:val="44"/>
        </w:numPr>
      </w:pPr>
      <w:r w:rsidRPr="00B11541">
        <w:t>i</w:t>
      </w:r>
      <w:r w:rsidR="000350CC" w:rsidRPr="00B11541">
        <w:t>dentify links between events to understand the nature and significance of causation, continuity</w:t>
      </w:r>
      <w:r w:rsidR="00B93783" w:rsidRPr="00B11541">
        <w:t xml:space="preserve"> and change</w:t>
      </w:r>
      <w:r w:rsidR="000350CC" w:rsidRPr="00B11541">
        <w:t xml:space="preserve"> over time</w:t>
      </w:r>
    </w:p>
    <w:p w14:paraId="10AEC7F5" w14:textId="77777777" w:rsidR="00A045BF" w:rsidRPr="00E16BC4" w:rsidRDefault="00DF151F" w:rsidP="008F7B45">
      <w:pPr>
        <w:pStyle w:val="SyllabusListParagraph"/>
        <w:numPr>
          <w:ilvl w:val="0"/>
          <w:numId w:val="44"/>
        </w:numPr>
      </w:pPr>
      <w:r w:rsidRPr="00B11541">
        <w:t>u</w:t>
      </w:r>
      <w:r w:rsidR="000350CC" w:rsidRPr="00B11541">
        <w:t>se historical terms and concepts in appropriate contexts to demonstrate historical knowledge and understanding</w:t>
      </w:r>
    </w:p>
    <w:p w14:paraId="1C39AF90" w14:textId="77777777" w:rsidR="000350CC" w:rsidRPr="00D05241" w:rsidRDefault="000350CC" w:rsidP="00752A9F">
      <w:pPr>
        <w:pStyle w:val="Heading4"/>
      </w:pPr>
      <w:r w:rsidRPr="00D05241">
        <w:t>Historical questions and research</w:t>
      </w:r>
    </w:p>
    <w:p w14:paraId="6C10EB92" w14:textId="77777777" w:rsidR="000350CC" w:rsidRPr="00B11541" w:rsidRDefault="00DF151F" w:rsidP="008F7B45">
      <w:pPr>
        <w:pStyle w:val="SyllabusListParagraph"/>
        <w:numPr>
          <w:ilvl w:val="0"/>
          <w:numId w:val="45"/>
        </w:numPr>
      </w:pPr>
      <w:r w:rsidRPr="00B11541">
        <w:t>f</w:t>
      </w:r>
      <w:r w:rsidR="000350CC" w:rsidRPr="00B11541">
        <w:t>ormulate, test and modify propositions to investigate historical issues</w:t>
      </w:r>
    </w:p>
    <w:p w14:paraId="602A2C16" w14:textId="77777777" w:rsidR="000350CC" w:rsidRPr="00B11541" w:rsidRDefault="00DF151F" w:rsidP="008F7B45">
      <w:pPr>
        <w:pStyle w:val="SyllabusListParagraph"/>
        <w:numPr>
          <w:ilvl w:val="0"/>
          <w:numId w:val="45"/>
        </w:numPr>
      </w:pPr>
      <w:r w:rsidRPr="00B11541">
        <w:t>f</w:t>
      </w:r>
      <w:r w:rsidR="000350CC" w:rsidRPr="00B11541">
        <w:t>rame questions to guide inquiry and develop a coherent research plan for inquiry</w:t>
      </w:r>
    </w:p>
    <w:p w14:paraId="4CEA1F22" w14:textId="77777777" w:rsidR="000350CC" w:rsidRPr="00B11541" w:rsidRDefault="00DF151F" w:rsidP="008F7B45">
      <w:pPr>
        <w:pStyle w:val="SyllabusListParagraph"/>
        <w:numPr>
          <w:ilvl w:val="0"/>
          <w:numId w:val="45"/>
        </w:numPr>
      </w:pPr>
      <w:r w:rsidRPr="00B11541">
        <w:t>i</w:t>
      </w:r>
      <w:r w:rsidR="000350CC" w:rsidRPr="00B11541">
        <w:t>dentify, locate and organise relevant information from a rang</w:t>
      </w:r>
      <w:r w:rsidR="002275E3">
        <w:t>e of ancient and modern sources</w:t>
      </w:r>
    </w:p>
    <w:p w14:paraId="4CB93EB5" w14:textId="77777777" w:rsidR="000350CC" w:rsidRPr="00B11541" w:rsidRDefault="00DF151F" w:rsidP="008F7B45">
      <w:pPr>
        <w:pStyle w:val="SyllabusListParagraph"/>
        <w:numPr>
          <w:ilvl w:val="0"/>
          <w:numId w:val="45"/>
        </w:numPr>
      </w:pPr>
      <w:r w:rsidRPr="00B11541">
        <w:t>i</w:t>
      </w:r>
      <w:r w:rsidR="000350CC" w:rsidRPr="00B11541">
        <w:t>dentify and practise ethical scholarship when conducting research</w:t>
      </w:r>
    </w:p>
    <w:p w14:paraId="79A77A0C" w14:textId="77777777" w:rsidR="000350CC" w:rsidRPr="00D05241" w:rsidRDefault="000350CC" w:rsidP="00752A9F">
      <w:pPr>
        <w:pStyle w:val="Heading4"/>
      </w:pPr>
      <w:r w:rsidRPr="00D05241">
        <w:t>Analysis and use of sources</w:t>
      </w:r>
    </w:p>
    <w:p w14:paraId="29020576" w14:textId="77777777" w:rsidR="000350CC" w:rsidRPr="00B11541" w:rsidRDefault="00DF151F" w:rsidP="008F7B45">
      <w:pPr>
        <w:pStyle w:val="SyllabusListParagraph"/>
        <w:numPr>
          <w:ilvl w:val="0"/>
          <w:numId w:val="46"/>
        </w:numPr>
      </w:pPr>
      <w:r w:rsidRPr="00B11541">
        <w:t>i</w:t>
      </w:r>
      <w:r w:rsidR="000350CC" w:rsidRPr="00B11541">
        <w:t>dentify the origin, purpose and context of historical sources</w:t>
      </w:r>
    </w:p>
    <w:p w14:paraId="4D98574F" w14:textId="254D5E34" w:rsidR="000350CC" w:rsidRPr="00B11541" w:rsidRDefault="00DF151F" w:rsidP="008F7B45">
      <w:pPr>
        <w:pStyle w:val="SyllabusListParagraph"/>
        <w:numPr>
          <w:ilvl w:val="0"/>
          <w:numId w:val="46"/>
        </w:numPr>
      </w:pPr>
      <w:r w:rsidRPr="00B11541">
        <w:t>a</w:t>
      </w:r>
      <w:r w:rsidR="000350CC" w:rsidRPr="00B11541">
        <w:t>nalyse, interpret and synthesise evidence from different types of sources to develop and sustain a historical argument</w:t>
      </w:r>
    </w:p>
    <w:p w14:paraId="685A4A90" w14:textId="2423ABB6" w:rsidR="000350CC" w:rsidRPr="00B11541" w:rsidRDefault="00DF151F" w:rsidP="008F7B45">
      <w:pPr>
        <w:pStyle w:val="SyllabusListParagraph"/>
        <w:numPr>
          <w:ilvl w:val="0"/>
          <w:numId w:val="46"/>
        </w:numPr>
      </w:pPr>
      <w:r w:rsidRPr="00B11541">
        <w:t>e</w:t>
      </w:r>
      <w:r w:rsidR="00563AF0">
        <w:t>valuate the reliability and</w:t>
      </w:r>
      <w:r w:rsidR="000350CC" w:rsidRPr="00B11541">
        <w:t xml:space="preserve"> usefulness of sources to develop informed judg</w:t>
      </w:r>
      <w:r w:rsidR="001D6E2C" w:rsidRPr="00B11541">
        <w:t>e</w:t>
      </w:r>
      <w:r w:rsidR="000350CC" w:rsidRPr="00B11541">
        <w:t>ments that</w:t>
      </w:r>
      <w:r w:rsidR="002275E3">
        <w:t xml:space="preserve"> support a historical argument</w:t>
      </w:r>
    </w:p>
    <w:p w14:paraId="6AEB607C" w14:textId="77777777" w:rsidR="000350CC" w:rsidRPr="00D05241" w:rsidRDefault="000350CC" w:rsidP="00752A9F">
      <w:pPr>
        <w:pStyle w:val="Heading4"/>
      </w:pPr>
      <w:r w:rsidRPr="00D05241">
        <w:lastRenderedPageBreak/>
        <w:t>Perspectives and interpretations</w:t>
      </w:r>
    </w:p>
    <w:p w14:paraId="62E15DA5" w14:textId="77777777" w:rsidR="000350CC" w:rsidRPr="00B11541" w:rsidRDefault="00DF151F" w:rsidP="008F7B45">
      <w:pPr>
        <w:pStyle w:val="SyllabusListParagraph"/>
        <w:numPr>
          <w:ilvl w:val="0"/>
          <w:numId w:val="47"/>
        </w:numPr>
      </w:pPr>
      <w:r w:rsidRPr="00B11541">
        <w:t>a</w:t>
      </w:r>
      <w:r w:rsidR="000350CC" w:rsidRPr="00B11541">
        <w:t>nalyse and account for the different perspectives of ind</w:t>
      </w:r>
      <w:r w:rsidR="002275E3">
        <w:t>ividuals and groups in the past</w:t>
      </w:r>
    </w:p>
    <w:p w14:paraId="7AD272A8" w14:textId="077F2F26" w:rsidR="000350CC" w:rsidRPr="00B11541" w:rsidRDefault="000350CC" w:rsidP="008F7B45">
      <w:pPr>
        <w:pStyle w:val="SyllabusListParagraph"/>
        <w:numPr>
          <w:ilvl w:val="0"/>
          <w:numId w:val="47"/>
        </w:numPr>
      </w:pPr>
      <w:r w:rsidRPr="00B11541">
        <w:t>evaluate different historical interpretations of the past, how they evolved, and how they are shaped by the historian’s perspective</w:t>
      </w:r>
    </w:p>
    <w:p w14:paraId="76859090" w14:textId="05488BAF" w:rsidR="000350CC" w:rsidRPr="00B11541" w:rsidRDefault="00D177BC" w:rsidP="008F7B45">
      <w:pPr>
        <w:pStyle w:val="SyllabusListParagraph"/>
        <w:numPr>
          <w:ilvl w:val="0"/>
          <w:numId w:val="47"/>
        </w:numPr>
      </w:pPr>
      <w:r w:rsidRPr="00D177BC">
        <w:t xml:space="preserve">recognise </w:t>
      </w:r>
      <w:r w:rsidR="000350CC" w:rsidRPr="00B11541">
        <w:t>the provisional nature of historical knowledge to arrive at rea</w:t>
      </w:r>
      <w:r w:rsidR="002275E3">
        <w:t>soned and supported conclusions</w:t>
      </w:r>
    </w:p>
    <w:p w14:paraId="7D07D620" w14:textId="77777777" w:rsidR="000350CC" w:rsidRPr="00D05241" w:rsidRDefault="000350CC" w:rsidP="00752A9F">
      <w:pPr>
        <w:pStyle w:val="Heading4"/>
      </w:pPr>
      <w:r w:rsidRPr="00D05241">
        <w:t>Explanation and communication</w:t>
      </w:r>
    </w:p>
    <w:p w14:paraId="30AE8688" w14:textId="77777777" w:rsidR="000350CC" w:rsidRPr="00B11541" w:rsidRDefault="00DF151F" w:rsidP="008F7B45">
      <w:pPr>
        <w:pStyle w:val="SyllabusListParagraph"/>
        <w:numPr>
          <w:ilvl w:val="0"/>
          <w:numId w:val="48"/>
        </w:numPr>
      </w:pPr>
      <w:r w:rsidRPr="00B11541">
        <w:t>d</w:t>
      </w:r>
      <w:r w:rsidR="000350CC" w:rsidRPr="00B11541">
        <w:t>evelop texts that integrate appropriate evidence from a range of sources to explain the past and to support and refute arguments</w:t>
      </w:r>
    </w:p>
    <w:p w14:paraId="326BE174" w14:textId="77777777" w:rsidR="000350CC" w:rsidRPr="00B11541" w:rsidRDefault="00DF151F" w:rsidP="008F7B45">
      <w:pPr>
        <w:pStyle w:val="SyllabusListParagraph"/>
        <w:numPr>
          <w:ilvl w:val="0"/>
          <w:numId w:val="48"/>
        </w:numPr>
      </w:pPr>
      <w:r w:rsidRPr="00B11541">
        <w:t>c</w:t>
      </w:r>
      <w:r w:rsidR="000350CC" w:rsidRPr="00B11541">
        <w:t>ommunicate historical understanding by selecting and using text forms appropri</w:t>
      </w:r>
      <w:r w:rsidR="002275E3">
        <w:t>ate to the purpose and audience</w:t>
      </w:r>
    </w:p>
    <w:p w14:paraId="6FB4F502" w14:textId="77777777" w:rsidR="000350CC" w:rsidRPr="00B11541" w:rsidRDefault="00DF151F" w:rsidP="008F7B45">
      <w:pPr>
        <w:pStyle w:val="SyllabusListParagraph"/>
        <w:numPr>
          <w:ilvl w:val="0"/>
          <w:numId w:val="48"/>
        </w:numPr>
      </w:pPr>
      <w:r w:rsidRPr="00B11541">
        <w:t>a</w:t>
      </w:r>
      <w:r w:rsidR="000350CC" w:rsidRPr="00B11541">
        <w:t>pply appropriate referencing techniq</w:t>
      </w:r>
      <w:r w:rsidR="002275E3">
        <w:t>ues accurately and consistently</w:t>
      </w:r>
    </w:p>
    <w:p w14:paraId="0C282DB7" w14:textId="77777777" w:rsidR="000350CC" w:rsidRPr="00D05241" w:rsidRDefault="00FD7D7E" w:rsidP="00120451">
      <w:pPr>
        <w:pStyle w:val="SyllabusHeading3"/>
        <w:rPr>
          <w:iCs/>
        </w:rPr>
      </w:pPr>
      <w:r w:rsidRPr="00D05241">
        <w:t>Historical K</w:t>
      </w:r>
      <w:r w:rsidR="000350CC" w:rsidRPr="00D05241">
        <w:t xml:space="preserve">nowledge and </w:t>
      </w:r>
      <w:r w:rsidRPr="00D05241">
        <w:t>U</w:t>
      </w:r>
      <w:r w:rsidR="000350CC" w:rsidRPr="00D05241">
        <w:t>nderstanding</w:t>
      </w:r>
    </w:p>
    <w:p w14:paraId="7C6E6CD1" w14:textId="4B3B1DC3" w:rsidR="000350CC" w:rsidRPr="004D64E3" w:rsidRDefault="000350CC" w:rsidP="00D05241">
      <w:r w:rsidRPr="004D64E3">
        <w:t xml:space="preserve">Students study </w:t>
      </w:r>
      <w:r w:rsidRPr="004D64E3">
        <w:rPr>
          <w:b/>
          <w:bCs/>
        </w:rPr>
        <w:t>one</w:t>
      </w:r>
      <w:r w:rsidRPr="004D64E3">
        <w:t xml:space="preserve"> of the following </w:t>
      </w:r>
      <w:r w:rsidR="006F63A7" w:rsidRPr="004D64E3">
        <w:t>societies/</w:t>
      </w:r>
      <w:r w:rsidRPr="004D64E3">
        <w:t>time periods, which is to be taught with the requisite historical skills described a</w:t>
      </w:r>
      <w:r w:rsidR="003F0926" w:rsidRPr="004D64E3">
        <w:t>s part of t</w:t>
      </w:r>
      <w:r w:rsidRPr="004D64E3">
        <w:t>his unit</w:t>
      </w:r>
      <w:r w:rsidR="004D64E3" w:rsidRPr="004D64E3">
        <w:t>.</w:t>
      </w:r>
    </w:p>
    <w:p w14:paraId="335175A1" w14:textId="77777777" w:rsidR="00622943" w:rsidRPr="00583AAB" w:rsidRDefault="006D5578" w:rsidP="008F7B45">
      <w:pPr>
        <w:pStyle w:val="ListBullet"/>
        <w:numPr>
          <w:ilvl w:val="0"/>
          <w:numId w:val="8"/>
        </w:numPr>
        <w:tabs>
          <w:tab w:val="clear" w:pos="397"/>
        </w:tabs>
        <w:ind w:left="357" w:hanging="357"/>
      </w:pPr>
      <w:r w:rsidRPr="00583AAB">
        <w:t>Egypt: From Amenhotep II to</w:t>
      </w:r>
      <w:r w:rsidRPr="00583AAB">
        <w:rPr>
          <w:sz w:val="28"/>
          <w:szCs w:val="28"/>
        </w:rPr>
        <w:t xml:space="preserve"> </w:t>
      </w:r>
      <w:r w:rsidRPr="00583AAB">
        <w:t xml:space="preserve">Horemheb </w:t>
      </w:r>
    </w:p>
    <w:p w14:paraId="571A63F3" w14:textId="6FEBD0BC" w:rsidR="00622943" w:rsidRPr="00583AAB" w:rsidRDefault="0015616B" w:rsidP="008F7B45">
      <w:pPr>
        <w:pStyle w:val="ListBullet"/>
        <w:numPr>
          <w:ilvl w:val="0"/>
          <w:numId w:val="8"/>
        </w:numPr>
        <w:tabs>
          <w:tab w:val="clear" w:pos="397"/>
        </w:tabs>
        <w:ind w:left="357" w:hanging="357"/>
      </w:pPr>
      <w:r w:rsidRPr="00583AAB">
        <w:t>T</w:t>
      </w:r>
      <w:r w:rsidR="00CA1D96" w:rsidRPr="00583AAB">
        <w:t>he Peloponnesian War</w:t>
      </w:r>
      <w:r w:rsidR="00622943" w:rsidRPr="00583AAB">
        <w:t xml:space="preserve"> </w:t>
      </w:r>
    </w:p>
    <w:p w14:paraId="2A793F8A" w14:textId="43F7D156" w:rsidR="006D5578" w:rsidRPr="00583AAB" w:rsidRDefault="00CA1D96" w:rsidP="008F7B45">
      <w:pPr>
        <w:pStyle w:val="ListBullet"/>
        <w:numPr>
          <w:ilvl w:val="0"/>
          <w:numId w:val="8"/>
        </w:numPr>
        <w:tabs>
          <w:tab w:val="clear" w:pos="397"/>
        </w:tabs>
        <w:ind w:left="357" w:hanging="357"/>
      </w:pPr>
      <w:r w:rsidRPr="00583AAB">
        <w:t>Rome</w:t>
      </w:r>
      <w:r w:rsidR="008F7671" w:rsidRPr="00583AAB">
        <w:t>: From Republic to Empire</w:t>
      </w:r>
    </w:p>
    <w:p w14:paraId="088757F2" w14:textId="79E79310" w:rsidR="00732C8A" w:rsidRPr="004D64E3" w:rsidRDefault="004D64E3" w:rsidP="00D05241">
      <w:r>
        <w:t>Note: t</w:t>
      </w:r>
      <w:r w:rsidR="00732C8A" w:rsidRPr="004D64E3">
        <w:t>he elective offered in Unit 4 must be the same society as the Unit 3 elective. For example</w:t>
      </w:r>
      <w:r w:rsidRPr="004D64E3">
        <w:t>,</w:t>
      </w:r>
      <w:r w:rsidR="00732C8A" w:rsidRPr="004D64E3">
        <w:t xml:space="preserve"> Uni</w:t>
      </w:r>
      <w:r w:rsidR="00170E15">
        <w:t>t </w:t>
      </w:r>
      <w:r w:rsidR="00732C8A" w:rsidRPr="004D64E3">
        <w:t>3</w:t>
      </w:r>
      <w:r w:rsidR="00233A50">
        <w:t>,</w:t>
      </w:r>
      <w:r w:rsidR="00732C8A" w:rsidRPr="004D64E3">
        <w:t xml:space="preserve"> Egypt: From Tetisheri to </w:t>
      </w:r>
      <w:proofErr w:type="spellStart"/>
      <w:r w:rsidR="00732C8A" w:rsidRPr="004D64E3">
        <w:t>Tuthmosis</w:t>
      </w:r>
      <w:proofErr w:type="spellEnd"/>
      <w:r w:rsidR="00732C8A" w:rsidRPr="004D64E3">
        <w:t xml:space="preserve"> III and Unit 4</w:t>
      </w:r>
      <w:r w:rsidR="00233A50">
        <w:t>,</w:t>
      </w:r>
      <w:r w:rsidR="00732C8A" w:rsidRPr="004D64E3">
        <w:t xml:space="preserve"> Egypt: From Amenhotep II to Horemheb.</w:t>
      </w:r>
    </w:p>
    <w:p w14:paraId="0EB94E48" w14:textId="2688E258" w:rsidR="00937504" w:rsidRPr="00360960" w:rsidRDefault="00937504" w:rsidP="00120451">
      <w:pPr>
        <w:pStyle w:val="SyllabusHeading3"/>
      </w:pPr>
      <w:r w:rsidRPr="00360960">
        <w:t>Elective 1</w:t>
      </w:r>
      <w:r w:rsidR="00417F1C">
        <w:t xml:space="preserve"> –</w:t>
      </w:r>
      <w:r w:rsidRPr="00360960">
        <w:t xml:space="preserve"> Egypt: From Amenhotep II to Horemheb </w:t>
      </w:r>
    </w:p>
    <w:p w14:paraId="75FCD581" w14:textId="76700099" w:rsidR="00937504" w:rsidRPr="0078628D" w:rsidRDefault="00937504" w:rsidP="008F7B45">
      <w:pPr>
        <w:pStyle w:val="ListParagraph"/>
        <w:numPr>
          <w:ilvl w:val="0"/>
          <w:numId w:val="49"/>
        </w:numPr>
      </w:pPr>
      <w:r w:rsidRPr="0078628D">
        <w:rPr>
          <w:sz w:val="22"/>
          <w:szCs w:val="28"/>
        </w:rPr>
        <w:t>the key</w:t>
      </w:r>
      <w:r w:rsidR="009638DC" w:rsidRPr="005273AF">
        <w:t xml:space="preserve"> </w:t>
      </w:r>
      <w:r w:rsidR="009638DC" w:rsidRPr="009638DC">
        <w:rPr>
          <w:sz w:val="22"/>
        </w:rPr>
        <w:t>material, pictorial and written sources</w:t>
      </w:r>
      <w:r w:rsidR="009638DC" w:rsidRPr="005273AF">
        <w:t xml:space="preserve"> </w:t>
      </w:r>
      <w:r w:rsidRPr="0078628D">
        <w:rPr>
          <w:sz w:val="22"/>
          <w:szCs w:val="28"/>
        </w:rPr>
        <w:t>for the period, which are incorporated into the ancient historical narrative</w:t>
      </w:r>
    </w:p>
    <w:p w14:paraId="7F979C49" w14:textId="77777777" w:rsidR="00937504" w:rsidRPr="00677FD9" w:rsidRDefault="00937504" w:rsidP="00752A9F">
      <w:pPr>
        <w:pStyle w:val="Heading4"/>
        <w:rPr>
          <w:iCs/>
        </w:rPr>
      </w:pPr>
      <w:r w:rsidRPr="00D05241">
        <w:t xml:space="preserve">The ancient historical narrative </w:t>
      </w:r>
    </w:p>
    <w:p w14:paraId="459D3872" w14:textId="2F7BB0BC" w:rsidR="00937504" w:rsidRPr="0009031B" w:rsidRDefault="00937504" w:rsidP="00D05241">
      <w:pPr>
        <w:rPr>
          <w:b/>
          <w:bCs/>
        </w:rPr>
      </w:pPr>
      <w:r w:rsidRPr="00D05241">
        <w:rPr>
          <w:b/>
          <w:bCs/>
        </w:rPr>
        <w:t xml:space="preserve">The religious and </w:t>
      </w:r>
      <w:r w:rsidRPr="0009031B">
        <w:rPr>
          <w:b/>
          <w:bCs/>
        </w:rPr>
        <w:t>mortuary</w:t>
      </w:r>
      <w:r w:rsidR="00667155" w:rsidRPr="0009031B">
        <w:rPr>
          <w:b/>
          <w:bCs/>
        </w:rPr>
        <w:t xml:space="preserve"> beliefs and </w:t>
      </w:r>
      <w:r w:rsidRPr="0009031B">
        <w:rPr>
          <w:b/>
          <w:bCs/>
        </w:rPr>
        <w:t>practices of non-royalty and royalty</w:t>
      </w:r>
      <w:r w:rsidR="00417F1C">
        <w:rPr>
          <w:b/>
          <w:bCs/>
        </w:rPr>
        <w:t>,</w:t>
      </w:r>
      <w:r w:rsidR="00667155" w:rsidRPr="0009031B">
        <w:rPr>
          <w:b/>
          <w:bCs/>
        </w:rPr>
        <w:t xml:space="preserve"> and the significant cultural beliefs and practices of Egyptian society</w:t>
      </w:r>
    </w:p>
    <w:p w14:paraId="3B8B350C" w14:textId="153A6981" w:rsidR="00937504" w:rsidRPr="0009031B" w:rsidRDefault="00937504" w:rsidP="008F7B45">
      <w:pPr>
        <w:pStyle w:val="SyllabusListParagraph"/>
        <w:numPr>
          <w:ilvl w:val="0"/>
          <w:numId w:val="50"/>
        </w:numPr>
      </w:pPr>
      <w:r w:rsidRPr="006E07B7">
        <w:t>the nature of the Theban excavations,</w:t>
      </w:r>
      <w:r>
        <w:t xml:space="preserve"> including</w:t>
      </w:r>
      <w:r w:rsidRPr="006E07B7">
        <w:t xml:space="preserve"> the use of older and newer</w:t>
      </w:r>
      <w:r>
        <w:t xml:space="preserve"> scientific methods;</w:t>
      </w:r>
      <w:r w:rsidRPr="006E07B7">
        <w:t xml:space="preserve"> the research and recording work and the contributions of scholars, historians, archaeologists and institutions, including Melinda Hartwig and ARCE </w:t>
      </w:r>
      <w:r>
        <w:t>in the tomb of Menna (TT69),</w:t>
      </w:r>
      <w:r w:rsidRPr="006E07B7">
        <w:t xml:space="preserve"> Nina and Norman de Garis Davies and Harry Burton and the Metropolitan Museum of Art in New York in the tomb of </w:t>
      </w:r>
      <w:proofErr w:type="spellStart"/>
      <w:r w:rsidRPr="006E07B7">
        <w:t>Rekhmire</w:t>
      </w:r>
      <w:proofErr w:type="spellEnd"/>
      <w:r w:rsidRPr="006E07B7">
        <w:t xml:space="preserve"> </w:t>
      </w:r>
      <w:r w:rsidR="00417F1C">
        <w:t>(</w:t>
      </w:r>
      <w:r w:rsidRPr="006E07B7">
        <w:t>TT100</w:t>
      </w:r>
      <w:r w:rsidR="00417F1C">
        <w:t>)</w:t>
      </w:r>
      <w:r w:rsidRPr="006E07B7">
        <w:t xml:space="preserve">, and the work of </w:t>
      </w:r>
      <w:r w:rsidRPr="0009031B">
        <w:t xml:space="preserve">the Italian conservators in the tomb of Nefertari </w:t>
      </w:r>
      <w:r w:rsidR="00417F1C">
        <w:t>(</w:t>
      </w:r>
      <w:r w:rsidRPr="0009031B">
        <w:t>QV66</w:t>
      </w:r>
      <w:r w:rsidR="00417F1C">
        <w:t>)</w:t>
      </w:r>
      <w:r w:rsidR="00555DDD" w:rsidRPr="0009031B">
        <w:t>, including the Theban Mapping Project</w:t>
      </w:r>
      <w:r w:rsidRPr="0009031B">
        <w:t xml:space="preserve"> </w:t>
      </w:r>
    </w:p>
    <w:p w14:paraId="667ED9B6" w14:textId="1D75EBA2" w:rsidR="00937504" w:rsidRPr="006E07B7" w:rsidRDefault="00937504" w:rsidP="008F7B45">
      <w:pPr>
        <w:pStyle w:val="SyllabusListParagraph"/>
        <w:numPr>
          <w:ilvl w:val="0"/>
          <w:numId w:val="50"/>
        </w:numPr>
      </w:pPr>
      <w:r>
        <w:t>t</w:t>
      </w:r>
      <w:r w:rsidRPr="006E07B7">
        <w:t>he difficulties of interpretation owing to damage or removal of reliefs and inscriptions caused by environmental factors or human agency and the effectiveness of the protection and conservation of the to</w:t>
      </w:r>
      <w:r>
        <w:t>mb of Menna (TT69),</w:t>
      </w:r>
      <w:r w:rsidRPr="006E07B7">
        <w:t xml:space="preserve"> the tomb of </w:t>
      </w:r>
      <w:proofErr w:type="spellStart"/>
      <w:r w:rsidRPr="006E07B7">
        <w:t>Rekhmire</w:t>
      </w:r>
      <w:proofErr w:type="spellEnd"/>
      <w:r w:rsidRPr="006E07B7">
        <w:t xml:space="preserve"> </w:t>
      </w:r>
      <w:r w:rsidR="00417F1C">
        <w:t>(</w:t>
      </w:r>
      <w:r w:rsidRPr="006E07B7">
        <w:t>TT100</w:t>
      </w:r>
      <w:r w:rsidR="00417F1C">
        <w:t>)</w:t>
      </w:r>
      <w:r>
        <w:t xml:space="preserve"> and the tomb of Nefertari </w:t>
      </w:r>
      <w:r w:rsidR="00417F1C">
        <w:t>(</w:t>
      </w:r>
      <w:r>
        <w:t>QV66</w:t>
      </w:r>
      <w:r w:rsidR="00417F1C">
        <w:t>)</w:t>
      </w:r>
    </w:p>
    <w:p w14:paraId="74B34698" w14:textId="3D7691F0" w:rsidR="00937504" w:rsidRDefault="00937504" w:rsidP="00961EB4">
      <w:pPr>
        <w:pStyle w:val="SyllabusListParagraph"/>
        <w:numPr>
          <w:ilvl w:val="0"/>
          <w:numId w:val="50"/>
        </w:numPr>
      </w:pPr>
      <w:r w:rsidRPr="006E07B7">
        <w:lastRenderedPageBreak/>
        <w:t xml:space="preserve">the nature and significance of afterlife beliefs and practices of non-royalty and royalty, including evidence from tomb decoration, including iconic scenes and the Book of the Dead </w:t>
      </w:r>
      <w:r>
        <w:t xml:space="preserve">in the tomb of Menna (TT69), </w:t>
      </w:r>
      <w:r w:rsidRPr="006E07B7">
        <w:t xml:space="preserve">in the tomb of </w:t>
      </w:r>
      <w:proofErr w:type="spellStart"/>
      <w:r w:rsidRPr="006E07B7">
        <w:t>Rekhmire</w:t>
      </w:r>
      <w:proofErr w:type="spellEnd"/>
      <w:r w:rsidRPr="006E07B7">
        <w:t xml:space="preserve"> (TT100) and the tomb of Nefertari (QV66)</w:t>
      </w:r>
      <w:r w:rsidR="00961EB4">
        <w:t xml:space="preserve">; </w:t>
      </w:r>
      <w:r>
        <w:t>t</w:t>
      </w:r>
      <w:r w:rsidRPr="006E07B7">
        <w:t>he significant cultural beliefs and practices of Egyptian society as revealed through the Theban sources</w:t>
      </w:r>
      <w:r>
        <w:t xml:space="preserve"> of the tomb of Menna (TT69),</w:t>
      </w:r>
      <w:r w:rsidRPr="006E07B7">
        <w:t xml:space="preserve"> the tomb of </w:t>
      </w:r>
      <w:proofErr w:type="spellStart"/>
      <w:r w:rsidRPr="006E07B7">
        <w:t>Rekhmire</w:t>
      </w:r>
      <w:proofErr w:type="spellEnd"/>
      <w:r w:rsidRPr="006E07B7">
        <w:t xml:space="preserve"> (TT100) and the tomb of Nefertari </w:t>
      </w:r>
      <w:r w:rsidR="00417F1C">
        <w:t>(</w:t>
      </w:r>
      <w:r w:rsidRPr="006E07B7">
        <w:t>QV66</w:t>
      </w:r>
      <w:r w:rsidR="00417F1C">
        <w:t>)</w:t>
      </w:r>
    </w:p>
    <w:p w14:paraId="2720E0B2" w14:textId="775EE04E" w:rsidR="00961EB4" w:rsidRPr="0009031B" w:rsidRDefault="00961EB4" w:rsidP="00961EB4">
      <w:pPr>
        <w:pStyle w:val="SyllabusListParagraph"/>
        <w:numPr>
          <w:ilvl w:val="0"/>
          <w:numId w:val="50"/>
        </w:numPr>
      </w:pPr>
      <w:r w:rsidRPr="0009031B">
        <w:t xml:space="preserve">the significant afterlife and cultural beliefs and practices </w:t>
      </w:r>
      <w:r w:rsidR="007C0E35" w:rsidRPr="0009031B">
        <w:t xml:space="preserve">of Egyptian society as revealed through the evidence from Deir </w:t>
      </w:r>
      <w:proofErr w:type="spellStart"/>
      <w:r w:rsidR="007C0E35" w:rsidRPr="0009031B">
        <w:t>el</w:t>
      </w:r>
      <w:proofErr w:type="spellEnd"/>
      <w:r w:rsidR="007C0E35" w:rsidRPr="0009031B">
        <w:t xml:space="preserve"> Medina</w:t>
      </w:r>
      <w:r w:rsidR="00E84BCB" w:rsidRPr="0009031B">
        <w:t>, including the contents of the tomb of Kha and Merit (TT8)</w:t>
      </w:r>
    </w:p>
    <w:p w14:paraId="7BBD25E9" w14:textId="1D5B252D" w:rsidR="00937504" w:rsidRDefault="00937504" w:rsidP="008F7B45">
      <w:pPr>
        <w:pStyle w:val="SyllabusListParagraph"/>
        <w:numPr>
          <w:ilvl w:val="0"/>
          <w:numId w:val="50"/>
        </w:numPr>
      </w:pPr>
      <w:r>
        <w:rPr>
          <w:bCs/>
        </w:rPr>
        <w:t>t</w:t>
      </w:r>
      <w:r w:rsidRPr="006E07B7">
        <w:rPr>
          <w:bCs/>
        </w:rPr>
        <w:t>he religious, political and cultural significance of the Theban Festivals</w:t>
      </w:r>
      <w:r w:rsidRPr="006E07B7">
        <w:t xml:space="preserve"> throughout the 18</w:t>
      </w:r>
      <w:r w:rsidRPr="0078628D">
        <w:t>th</w:t>
      </w:r>
      <w:r w:rsidR="0078628D">
        <w:t> d</w:t>
      </w:r>
      <w:r w:rsidRPr="006E07B7">
        <w:t>ynasty, including the Opet Festival and th</w:t>
      </w:r>
      <w:r>
        <w:t>e Great Festival of the Valley</w:t>
      </w:r>
    </w:p>
    <w:p w14:paraId="69320B2C" w14:textId="77777777" w:rsidR="00937504" w:rsidRPr="00D05241" w:rsidRDefault="00937504" w:rsidP="00752A9F">
      <w:pPr>
        <w:pStyle w:val="Heading4"/>
      </w:pPr>
      <w:r w:rsidRPr="00D05241">
        <w:t xml:space="preserve">An overview of the reigns of Amenhotep II, </w:t>
      </w:r>
      <w:proofErr w:type="spellStart"/>
      <w:r w:rsidRPr="00D05241">
        <w:t>Tuthmosis</w:t>
      </w:r>
      <w:proofErr w:type="spellEnd"/>
      <w:r w:rsidRPr="00D05241">
        <w:t xml:space="preserve"> IV and Amenhotep III </w:t>
      </w:r>
    </w:p>
    <w:p w14:paraId="3FE373AC" w14:textId="323D3132" w:rsidR="00937504" w:rsidRPr="00360960" w:rsidRDefault="00937504" w:rsidP="008F7B45">
      <w:pPr>
        <w:pStyle w:val="SyllabusListParagraph"/>
        <w:numPr>
          <w:ilvl w:val="0"/>
          <w:numId w:val="51"/>
        </w:numPr>
        <w:rPr>
          <w:b/>
          <w:bCs/>
        </w:rPr>
      </w:pPr>
      <w:r w:rsidRPr="00360960">
        <w:t>family relationships, including Queen Tiye</w:t>
      </w:r>
    </w:p>
    <w:p w14:paraId="0D1578B4" w14:textId="3EA657FD" w:rsidR="00937504" w:rsidRPr="0009031B" w:rsidRDefault="00E84BCB" w:rsidP="00D05241">
      <w:pPr>
        <w:rPr>
          <w:b/>
          <w:bCs/>
          <w:strike/>
        </w:rPr>
      </w:pPr>
      <w:r w:rsidRPr="0009031B">
        <w:rPr>
          <w:b/>
          <w:bCs/>
        </w:rPr>
        <w:t xml:space="preserve">The Amarna </w:t>
      </w:r>
      <w:r w:rsidR="00417F1C">
        <w:rPr>
          <w:b/>
          <w:bCs/>
        </w:rPr>
        <w:t>p</w:t>
      </w:r>
      <w:r w:rsidRPr="0009031B">
        <w:rPr>
          <w:b/>
          <w:bCs/>
        </w:rPr>
        <w:t>eriod</w:t>
      </w:r>
      <w:r w:rsidR="00937504" w:rsidRPr="0009031B">
        <w:rPr>
          <w:b/>
          <w:bCs/>
          <w:strike/>
        </w:rPr>
        <w:t xml:space="preserve"> </w:t>
      </w:r>
    </w:p>
    <w:p w14:paraId="0BC43702" w14:textId="5458497E" w:rsidR="00937504" w:rsidRPr="0009031B" w:rsidRDefault="00937504" w:rsidP="008F7B45">
      <w:pPr>
        <w:pStyle w:val="SyllabusListParagraph"/>
        <w:numPr>
          <w:ilvl w:val="0"/>
          <w:numId w:val="52"/>
        </w:numPr>
        <w:rPr>
          <w:strike/>
        </w:rPr>
      </w:pPr>
      <w:r w:rsidRPr="0009031B">
        <w:t>family background and status; key events in Amenhotep IV’s rise to prominence; his crowning as pharaoh in a traditional ceremony; his use of traditional artistic representation</w:t>
      </w:r>
      <w:r w:rsidR="00891A4A" w:rsidRPr="0009031B">
        <w:t>,</w:t>
      </w:r>
      <w:r w:rsidRPr="0009031B">
        <w:t xml:space="preserve"> religious references and building material in Year 1 </w:t>
      </w:r>
    </w:p>
    <w:p w14:paraId="017F0240" w14:textId="1833B679" w:rsidR="00937504" w:rsidRPr="00891A4A" w:rsidRDefault="00937504" w:rsidP="008F7B45">
      <w:pPr>
        <w:pStyle w:val="SyllabusListParagraph"/>
        <w:numPr>
          <w:ilvl w:val="0"/>
          <w:numId w:val="52"/>
        </w:numPr>
      </w:pPr>
      <w:r w:rsidRPr="006E07B7">
        <w:t xml:space="preserve">his building program </w:t>
      </w:r>
      <w:r>
        <w:t>in Years 1–4;</w:t>
      </w:r>
      <w:r w:rsidRPr="006E07B7">
        <w:t xml:space="preserve"> the changes to the artistic representation of the </w:t>
      </w:r>
      <w:r w:rsidR="00A86933" w:rsidRPr="00A86933">
        <w:t>p</w:t>
      </w:r>
      <w:r w:rsidRPr="00A86933">
        <w:t xml:space="preserve">haraoh and his family during Years 1–4; changes to religion and art in Years 1–4, including the evidence from the </w:t>
      </w:r>
      <w:r w:rsidR="00A86933" w:rsidRPr="00A86933">
        <w:t>t</w:t>
      </w:r>
      <w:r w:rsidRPr="00A86933">
        <w:t xml:space="preserve">omb of Ramose </w:t>
      </w:r>
      <w:r w:rsidR="00417F1C">
        <w:t>(</w:t>
      </w:r>
      <w:r w:rsidRPr="00A86933">
        <w:t>TT55</w:t>
      </w:r>
      <w:r w:rsidR="00417F1C">
        <w:t>)</w:t>
      </w:r>
      <w:r w:rsidRPr="00A86933">
        <w:rPr>
          <w:rFonts w:ascii="Comic Sans MS" w:hAnsi="Comic Sans MS"/>
        </w:rPr>
        <w:t xml:space="preserve"> </w:t>
      </w:r>
      <w:r w:rsidRPr="00A86933">
        <w:t>and from Amenhotep IV/Akhenaten’s temples at Karnak (the</w:t>
      </w:r>
      <w:r w:rsidRPr="006E07B7">
        <w:t xml:space="preserve"> </w:t>
      </w:r>
      <w:proofErr w:type="spellStart"/>
      <w:r w:rsidRPr="006E07B7">
        <w:t>Gempaaten</w:t>
      </w:r>
      <w:proofErr w:type="spellEnd"/>
      <w:r w:rsidRPr="006E07B7">
        <w:t xml:space="preserve"> and the </w:t>
      </w:r>
      <w:proofErr w:type="spellStart"/>
      <w:r w:rsidRPr="006E07B7">
        <w:t>Hutbenben</w:t>
      </w:r>
      <w:proofErr w:type="spellEnd"/>
      <w:r>
        <w:t>)</w:t>
      </w:r>
    </w:p>
    <w:p w14:paraId="0085FF69" w14:textId="229913A5" w:rsidR="00937504" w:rsidRPr="0009031B" w:rsidRDefault="00937504" w:rsidP="00204339">
      <w:pPr>
        <w:pStyle w:val="SyllabusListParagraph"/>
        <w:numPr>
          <w:ilvl w:val="0"/>
          <w:numId w:val="52"/>
        </w:numPr>
      </w:pPr>
      <w:r w:rsidRPr="006E07B7">
        <w:t xml:space="preserve">the </w:t>
      </w:r>
      <w:r w:rsidRPr="00D55D71">
        <w:t>difficulties of</w:t>
      </w:r>
      <w:r w:rsidR="00204339" w:rsidRPr="00D55D71">
        <w:t xml:space="preserve"> the</w:t>
      </w:r>
      <w:r w:rsidRPr="00D55D71">
        <w:t xml:space="preserve"> interpretation </w:t>
      </w:r>
      <w:r w:rsidRPr="006E07B7">
        <w:t xml:space="preserve">of evidence owing to additions and reuse by successive pharaohs, including damage to or </w:t>
      </w:r>
      <w:r w:rsidRPr="0009031B">
        <w:t>removal of reliefs and inscriptions (images and written) caused by environmental factors or human agency</w:t>
      </w:r>
      <w:r w:rsidR="00204339" w:rsidRPr="0009031B">
        <w:t>. P</w:t>
      </w:r>
      <w:r w:rsidRPr="0009031B">
        <w:t xml:space="preserve">roblems for </w:t>
      </w:r>
      <w:r w:rsidR="00204339" w:rsidRPr="0009031B">
        <w:t xml:space="preserve">the </w:t>
      </w:r>
      <w:r w:rsidRPr="0009031B">
        <w:t xml:space="preserve">interpretation of evidence include the reuse of </w:t>
      </w:r>
      <w:proofErr w:type="spellStart"/>
      <w:r w:rsidRPr="0009031B">
        <w:t>talatat</w:t>
      </w:r>
      <w:proofErr w:type="spellEnd"/>
      <w:r w:rsidRPr="0009031B">
        <w:t xml:space="preserve"> blocks in Pylons 9 and 10 by Horemheb, the burying of statues at Karnak and the modern dispersal of </w:t>
      </w:r>
      <w:proofErr w:type="spellStart"/>
      <w:r w:rsidRPr="0009031B">
        <w:t>talatat</w:t>
      </w:r>
      <w:proofErr w:type="spellEnd"/>
      <w:r w:rsidRPr="0009031B">
        <w:t xml:space="preserve"> blocks throughout the world</w:t>
      </w:r>
      <w:r w:rsidR="00204339" w:rsidRPr="0009031B">
        <w:t xml:space="preserve">. The </w:t>
      </w:r>
      <w:r w:rsidRPr="0009031B">
        <w:t xml:space="preserve">contribution of scholars, historians and archaeologists using a variety of scientific methodologies to recover, record and reassemble the </w:t>
      </w:r>
      <w:proofErr w:type="spellStart"/>
      <w:r w:rsidRPr="0009031B">
        <w:t>talatat</w:t>
      </w:r>
      <w:proofErr w:type="spellEnd"/>
      <w:r w:rsidRPr="0009031B">
        <w:t xml:space="preserve"> blocks, including the work of Henri Chevrier</w:t>
      </w:r>
    </w:p>
    <w:p w14:paraId="2FA40E6D" w14:textId="5E0FF68E" w:rsidR="00937504" w:rsidRPr="0009031B" w:rsidRDefault="00937504" w:rsidP="008F7B45">
      <w:pPr>
        <w:pStyle w:val="SyllabusListParagraph"/>
        <w:numPr>
          <w:ilvl w:val="0"/>
          <w:numId w:val="52"/>
        </w:numPr>
      </w:pPr>
      <w:r w:rsidRPr="0009031B">
        <w:t>the nature and impact of the Amarna revolution on</w:t>
      </w:r>
    </w:p>
    <w:p w14:paraId="43CA422D" w14:textId="67AB33FD" w:rsidR="00937504" w:rsidRPr="006E07B7" w:rsidRDefault="00937504" w:rsidP="008F7B45">
      <w:pPr>
        <w:pStyle w:val="SyllabusListParagraph"/>
        <w:numPr>
          <w:ilvl w:val="1"/>
          <w:numId w:val="53"/>
        </w:numPr>
      </w:pPr>
      <w:r w:rsidRPr="0009031B">
        <w:t xml:space="preserve">the governance of the state, including the change of name to Akhenaten in c. Years 5–6; the movement of the capital city to Amarna; the possible </w:t>
      </w:r>
      <w:r w:rsidR="00204339" w:rsidRPr="0009031B">
        <w:t xml:space="preserve">moving </w:t>
      </w:r>
      <w:r w:rsidRPr="0009031B">
        <w:t xml:space="preserve">of the state administration from Memphis to Amarna; the </w:t>
      </w:r>
      <w:r w:rsidR="00204339" w:rsidRPr="0009031B">
        <w:t xml:space="preserve">moving </w:t>
      </w:r>
      <w:r w:rsidRPr="0009031B">
        <w:t xml:space="preserve">of the religious centre and the </w:t>
      </w:r>
      <w:r w:rsidRPr="006E07B7">
        <w:t>Palace Court to Amarna</w:t>
      </w:r>
    </w:p>
    <w:p w14:paraId="415989FB" w14:textId="77777777" w:rsidR="00937504" w:rsidRPr="006E07B7" w:rsidRDefault="00937504" w:rsidP="008F7B45">
      <w:pPr>
        <w:pStyle w:val="SyllabusListParagraph"/>
        <w:numPr>
          <w:ilvl w:val="1"/>
          <w:numId w:val="53"/>
        </w:numPr>
      </w:pPr>
      <w:r>
        <w:t>the economy, including</w:t>
      </w:r>
      <w:r w:rsidRPr="006E07B7">
        <w:t xml:space="preserve"> the redirection of resources from the closure of the temples of Amun to Akhenaten’s projects</w:t>
      </w:r>
    </w:p>
    <w:p w14:paraId="230F4B3C" w14:textId="77777777" w:rsidR="00937504" w:rsidRPr="006E07B7" w:rsidRDefault="00937504" w:rsidP="008F7B45">
      <w:pPr>
        <w:pStyle w:val="SyllabusListParagraph"/>
        <w:numPr>
          <w:ilvl w:val="1"/>
          <w:numId w:val="53"/>
        </w:numPr>
      </w:pPr>
      <w:r w:rsidRPr="006E07B7">
        <w:t>architecture, including</w:t>
      </w:r>
      <w:r>
        <w:t xml:space="preserve"> the building program at Amarna;</w:t>
      </w:r>
      <w:r w:rsidRPr="006E07B7">
        <w:t xml:space="preserve"> th</w:t>
      </w:r>
      <w:r>
        <w:t>e change in temple architecture;</w:t>
      </w:r>
      <w:r w:rsidRPr="006E07B7">
        <w:t xml:space="preserve"> the layout of the city of </w:t>
      </w:r>
      <w:proofErr w:type="spellStart"/>
      <w:r w:rsidRPr="006E07B7">
        <w:t>Akhetaten</w:t>
      </w:r>
      <w:proofErr w:type="spellEnd"/>
      <w:r>
        <w:t>,</w:t>
      </w:r>
      <w:r w:rsidRPr="006E07B7">
        <w:t xml:space="preserve"> including the evidence from the Amarna workers’ cemeteries</w:t>
      </w:r>
    </w:p>
    <w:p w14:paraId="1CC6099A" w14:textId="77777777" w:rsidR="00937504" w:rsidRDefault="00937504" w:rsidP="008F7B45">
      <w:pPr>
        <w:pStyle w:val="SyllabusListParagraph"/>
        <w:numPr>
          <w:ilvl w:val="1"/>
          <w:numId w:val="53"/>
        </w:numPr>
      </w:pPr>
      <w:r w:rsidRPr="006E07B7">
        <w:t>religion, including the impact of the new solar triad of Ate</w:t>
      </w:r>
      <w:r>
        <w:t>n, Akhenaten and Nefertiti; the Hymns to the Aten</w:t>
      </w:r>
    </w:p>
    <w:p w14:paraId="746B1363" w14:textId="45180188" w:rsidR="00937504" w:rsidRDefault="00937504" w:rsidP="008F7B45">
      <w:pPr>
        <w:pStyle w:val="SyllabusListParagraph"/>
        <w:numPr>
          <w:ilvl w:val="1"/>
          <w:numId w:val="53"/>
        </w:numPr>
      </w:pPr>
      <w:r>
        <w:t xml:space="preserve">mortuary </w:t>
      </w:r>
      <w:r w:rsidRPr="00937504">
        <w:t xml:space="preserve">beliefs and practices, including the Amarna </w:t>
      </w:r>
      <w:r w:rsidRPr="004271FC">
        <w:t xml:space="preserve">vision of the </w:t>
      </w:r>
      <w:r w:rsidR="004271FC" w:rsidRPr="004271FC">
        <w:t>a</w:t>
      </w:r>
      <w:r w:rsidRPr="004271FC">
        <w:t>fterlife</w:t>
      </w:r>
    </w:p>
    <w:p w14:paraId="4AD3B0E1" w14:textId="6D14542E" w:rsidR="00937504" w:rsidRPr="007775EB" w:rsidRDefault="00937504" w:rsidP="008F7B45">
      <w:pPr>
        <w:pStyle w:val="SyllabusListParagraph"/>
        <w:numPr>
          <w:ilvl w:val="1"/>
          <w:numId w:val="53"/>
        </w:numPr>
      </w:pPr>
      <w:r>
        <w:lastRenderedPageBreak/>
        <w:t xml:space="preserve">art and </w:t>
      </w:r>
      <w:r w:rsidRPr="006E07B7">
        <w:t xml:space="preserve">religion, including the portrayal of the human figure (Akhenaten, Nefertiti, </w:t>
      </w:r>
      <w:proofErr w:type="spellStart"/>
      <w:r>
        <w:t>Smenkh</w:t>
      </w:r>
      <w:r w:rsidR="00977173">
        <w:t>k</w:t>
      </w:r>
      <w:r w:rsidRPr="006E07B7">
        <w:t>are</w:t>
      </w:r>
      <w:proofErr w:type="spellEnd"/>
      <w:r w:rsidRPr="006E07B7">
        <w:t xml:space="preserve"> and the royal d</w:t>
      </w:r>
      <w:r>
        <w:t>aughters and their activities)</w:t>
      </w:r>
    </w:p>
    <w:p w14:paraId="1DED8A23" w14:textId="77777777" w:rsidR="004271FC" w:rsidRDefault="00937504" w:rsidP="008F7B45">
      <w:pPr>
        <w:pStyle w:val="SyllabusListParagraph"/>
        <w:numPr>
          <w:ilvl w:val="0"/>
          <w:numId w:val="54"/>
        </w:numPr>
      </w:pPr>
      <w:r w:rsidRPr="006E07B7">
        <w:t>Akhenaten’s foreign policy, including the geopolitical realities of Syria-Palestine and the changing nature of Egypt’s diplomatic, economi</w:t>
      </w:r>
      <w:r>
        <w:t>c and military relations</w:t>
      </w:r>
      <w:r w:rsidRPr="006E07B7">
        <w:t xml:space="preserve"> with powers in the region, including </w:t>
      </w:r>
    </w:p>
    <w:p w14:paraId="246BCAFF" w14:textId="1BA38A14" w:rsidR="004271FC" w:rsidRDefault="00937504" w:rsidP="004271FC">
      <w:pPr>
        <w:pStyle w:val="SyllabusListParagraph"/>
        <w:numPr>
          <w:ilvl w:val="1"/>
          <w:numId w:val="53"/>
        </w:numPr>
      </w:pPr>
      <w:r w:rsidRPr="006E07B7">
        <w:t>Mitanni and the Hittites, and the smaller city</w:t>
      </w:r>
      <w:r w:rsidR="00417F1C">
        <w:t>-</w:t>
      </w:r>
      <w:r w:rsidRPr="006E07B7">
        <w:t>state</w:t>
      </w:r>
      <w:r>
        <w:t>s of Syria-Palestine</w:t>
      </w:r>
    </w:p>
    <w:p w14:paraId="3995126D" w14:textId="03B2F008" w:rsidR="004271FC" w:rsidRDefault="004271FC" w:rsidP="004271FC">
      <w:pPr>
        <w:pStyle w:val="SyllabusListParagraph"/>
        <w:numPr>
          <w:ilvl w:val="1"/>
          <w:numId w:val="53"/>
        </w:numPr>
      </w:pPr>
      <w:r>
        <w:t>t</w:t>
      </w:r>
      <w:r w:rsidR="00937504" w:rsidRPr="006E07B7">
        <w:t>he discovery and changing interpretation of evidence from the Amarna Letters</w:t>
      </w:r>
    </w:p>
    <w:p w14:paraId="36358194" w14:textId="64394257" w:rsidR="00937504" w:rsidRPr="006E07B7" w:rsidRDefault="004271FC" w:rsidP="004271FC">
      <w:pPr>
        <w:pStyle w:val="SyllabusListParagraph"/>
        <w:numPr>
          <w:ilvl w:val="1"/>
          <w:numId w:val="53"/>
        </w:numPr>
      </w:pPr>
      <w:r>
        <w:t>t</w:t>
      </w:r>
      <w:r w:rsidR="00937504" w:rsidRPr="006E07B7">
        <w:t>he calling of the Durbar in Year 12</w:t>
      </w:r>
    </w:p>
    <w:p w14:paraId="3DB8DC70" w14:textId="6BF4ED9D" w:rsidR="00937504" w:rsidRPr="006E07B7" w:rsidRDefault="00937504" w:rsidP="008F7B45">
      <w:pPr>
        <w:pStyle w:val="SyllabusListParagraph"/>
        <w:numPr>
          <w:ilvl w:val="0"/>
          <w:numId w:val="54"/>
        </w:numPr>
      </w:pPr>
      <w:r>
        <w:t>the impact of the plague;</w:t>
      </w:r>
      <w:r w:rsidRPr="006E07B7">
        <w:t xml:space="preserve"> the pos</w:t>
      </w:r>
      <w:r>
        <w:t>sible co-regency with Nefertiti;</w:t>
      </w:r>
      <w:r w:rsidRPr="006E07B7">
        <w:t xml:space="preserve"> the questi</w:t>
      </w:r>
      <w:r>
        <w:t xml:space="preserve">on of the identity of </w:t>
      </w:r>
      <w:proofErr w:type="spellStart"/>
      <w:r>
        <w:t>Smenkh</w:t>
      </w:r>
      <w:r w:rsidR="00977173">
        <w:t>k</w:t>
      </w:r>
      <w:r>
        <w:t>are</w:t>
      </w:r>
      <w:proofErr w:type="spellEnd"/>
      <w:r>
        <w:t>; the death of Akhenaten;</w:t>
      </w:r>
      <w:r w:rsidRPr="006E07B7">
        <w:t xml:space="preserve"> the move back to Thebes, including evidence from TT54 and from gr</w:t>
      </w:r>
      <w:r>
        <w:t>ave goods in Tutankhamun’s tomb</w:t>
      </w:r>
    </w:p>
    <w:p w14:paraId="77ED8E13" w14:textId="0C4D7D60" w:rsidR="00937504" w:rsidRPr="0009031B" w:rsidRDefault="00937504" w:rsidP="008F7B45">
      <w:pPr>
        <w:pStyle w:val="SyllabusListParagraph"/>
        <w:numPr>
          <w:ilvl w:val="0"/>
          <w:numId w:val="54"/>
        </w:numPr>
      </w:pPr>
      <w:r w:rsidRPr="006E07B7">
        <w:t xml:space="preserve">the usefulness and </w:t>
      </w:r>
      <w:r w:rsidRPr="0009031B">
        <w:t xml:space="preserve">reliability of the contribution of scholars, </w:t>
      </w:r>
      <w:r w:rsidR="00204339" w:rsidRPr="0009031B">
        <w:t xml:space="preserve">archaeologists, historians and scientists </w:t>
      </w:r>
      <w:r w:rsidRPr="0009031B">
        <w:t xml:space="preserve">to </w:t>
      </w:r>
      <w:r w:rsidR="00204339" w:rsidRPr="0009031B">
        <w:t xml:space="preserve">the debate </w:t>
      </w:r>
      <w:r w:rsidR="008C1D0E" w:rsidRPr="0009031B">
        <w:t xml:space="preserve">over </w:t>
      </w:r>
      <w:r w:rsidRPr="0009031B">
        <w:t xml:space="preserve">our understanding of </w:t>
      </w:r>
      <w:r w:rsidR="00204339" w:rsidRPr="0009031B">
        <w:t xml:space="preserve">the Amarna period </w:t>
      </w:r>
      <w:r w:rsidRPr="0009031B">
        <w:t xml:space="preserve">sites, material culture and human remains, and of the portrayal of the pharaoh and the Amarna royal family in reliefs and inscriptions (Akhenaten, Nefertiti, </w:t>
      </w:r>
      <w:proofErr w:type="spellStart"/>
      <w:r w:rsidRPr="0009031B">
        <w:t>Smenkh</w:t>
      </w:r>
      <w:r w:rsidR="00977173">
        <w:t>k</w:t>
      </w:r>
      <w:r w:rsidRPr="0009031B">
        <w:t>are</w:t>
      </w:r>
      <w:proofErr w:type="spellEnd"/>
      <w:r w:rsidRPr="0009031B">
        <w:t xml:space="preserve"> and the royal daughters and their activities)</w:t>
      </w:r>
    </w:p>
    <w:p w14:paraId="6F70637D" w14:textId="67787F60" w:rsidR="00937504" w:rsidRPr="0009031B" w:rsidRDefault="00937504" w:rsidP="008F7B45">
      <w:pPr>
        <w:pStyle w:val="SyllabusListParagraph"/>
        <w:numPr>
          <w:ilvl w:val="0"/>
          <w:numId w:val="54"/>
        </w:numPr>
      </w:pPr>
      <w:r w:rsidRPr="0009031B">
        <w:t>the evidence provided by human remains, new scientific methodologies, and the</w:t>
      </w:r>
      <w:r w:rsidR="00074C20" w:rsidRPr="0009031B">
        <w:t xml:space="preserve"> contribution of the</w:t>
      </w:r>
      <w:r w:rsidRPr="0009031B">
        <w:t xml:space="preserve"> work of scholars, historians, scientists and archaeologists</w:t>
      </w:r>
      <w:r w:rsidR="00074C20" w:rsidRPr="0009031B">
        <w:t xml:space="preserve"> to the debate</w:t>
      </w:r>
      <w:r w:rsidRPr="0009031B">
        <w:t xml:space="preserve"> about </w:t>
      </w:r>
      <w:r w:rsidR="00074C20" w:rsidRPr="0009031B">
        <w:t xml:space="preserve">the </w:t>
      </w:r>
      <w:r w:rsidRPr="0009031B">
        <w:t>royal lineage and the health of New Kingdom Egyptians in this period, including Tutankhamun, Akhenaten and the Amarna royal family</w:t>
      </w:r>
    </w:p>
    <w:p w14:paraId="45A5A487" w14:textId="4B235DE3" w:rsidR="00937504" w:rsidRPr="0009031B" w:rsidRDefault="00937504" w:rsidP="008F7B45">
      <w:pPr>
        <w:pStyle w:val="SyllabusListParagraph"/>
        <w:numPr>
          <w:ilvl w:val="0"/>
          <w:numId w:val="54"/>
        </w:numPr>
      </w:pPr>
      <w:r w:rsidRPr="0009031B">
        <w:t xml:space="preserve">evidence of the continuation of the iconography of the pharaoh, including representation as warrior and leader; the ideology of kingship, including titles, regalia and the </w:t>
      </w:r>
      <w:r w:rsidR="008C497A" w:rsidRPr="0009031B">
        <w:t xml:space="preserve">significance of </w:t>
      </w:r>
      <w:r w:rsidR="00A10130" w:rsidRPr="0009031B">
        <w:t>his</w:t>
      </w:r>
      <w:r w:rsidR="008C497A" w:rsidRPr="0009031B">
        <w:t xml:space="preserve"> role in upholding </w:t>
      </w:r>
      <w:proofErr w:type="spellStart"/>
      <w:r w:rsidR="008C497A" w:rsidRPr="0009031B">
        <w:t>m</w:t>
      </w:r>
      <w:r w:rsidRPr="0009031B">
        <w:t>a</w:t>
      </w:r>
      <w:r w:rsidR="00050057" w:rsidRPr="0009031B">
        <w:t>’</w:t>
      </w:r>
      <w:r w:rsidRPr="0009031B">
        <w:t>at</w:t>
      </w:r>
      <w:proofErr w:type="spellEnd"/>
      <w:r w:rsidRPr="0009031B">
        <w:t xml:space="preserve"> </w:t>
      </w:r>
    </w:p>
    <w:p w14:paraId="7EA59B17" w14:textId="77777777" w:rsidR="00937504" w:rsidRPr="00D05241" w:rsidRDefault="00937504" w:rsidP="00752A9F">
      <w:pPr>
        <w:pStyle w:val="Heading4"/>
      </w:pPr>
      <w:r w:rsidRPr="00D05241">
        <w:t>Tutankhamun, Ay and Horemheb</w:t>
      </w:r>
    </w:p>
    <w:p w14:paraId="323BCF92" w14:textId="70B464B6" w:rsidR="00937504" w:rsidRPr="003C24B9" w:rsidRDefault="00937504" w:rsidP="008F7B45">
      <w:pPr>
        <w:pStyle w:val="SyllabusListParagraph"/>
        <w:numPr>
          <w:ilvl w:val="0"/>
          <w:numId w:val="55"/>
        </w:numPr>
      </w:pPr>
      <w:r w:rsidRPr="003C24B9">
        <w:t>evidence provided by human remains and other sources</w:t>
      </w:r>
      <w:r w:rsidR="0009031B" w:rsidRPr="0009031B">
        <w:t xml:space="preserve"> </w:t>
      </w:r>
      <w:r>
        <w:t>about Tutankhamun’s</w:t>
      </w:r>
      <w:r w:rsidRPr="003C24B9">
        <w:t xml:space="preserve"> family background </w:t>
      </w:r>
      <w:r>
        <w:t xml:space="preserve">and royal lineage; </w:t>
      </w:r>
      <w:r w:rsidRPr="00937504">
        <w:t xml:space="preserve">the </w:t>
      </w:r>
      <w:r w:rsidR="00FF055E" w:rsidRPr="00937504">
        <w:t>pharaonic</w:t>
      </w:r>
      <w:r w:rsidRPr="00937504">
        <w:t xml:space="preserve"> lineage from Tutankhamun to Horemheb</w:t>
      </w:r>
    </w:p>
    <w:p w14:paraId="3B96E496" w14:textId="78CD16BC" w:rsidR="00937504" w:rsidRPr="003C24B9" w:rsidRDefault="00937504" w:rsidP="008F7B45">
      <w:pPr>
        <w:pStyle w:val="SyllabusListParagraph"/>
        <w:numPr>
          <w:ilvl w:val="0"/>
          <w:numId w:val="55"/>
        </w:numPr>
      </w:pPr>
      <w:r>
        <w:t>t</w:t>
      </w:r>
      <w:r w:rsidRPr="003C24B9">
        <w:t xml:space="preserve">he usefulness and reliability of the portrayal of Tutankhamun and </w:t>
      </w:r>
      <w:proofErr w:type="spellStart"/>
      <w:r w:rsidRPr="003C24B9">
        <w:t>Ankhesenamun</w:t>
      </w:r>
      <w:proofErr w:type="spellEnd"/>
      <w:r w:rsidRPr="003C24B9">
        <w:t xml:space="preserve"> in rel</w:t>
      </w:r>
      <w:r>
        <w:t>iefs and inscriptions;</w:t>
      </w:r>
      <w:r w:rsidRPr="003C24B9">
        <w:t xml:space="preserve"> the difficulties of the interpretation of evidence owing to additions and reuse by successive pharaohs, including damage to</w:t>
      </w:r>
      <w:r w:rsidR="00417F1C">
        <w:t>,</w:t>
      </w:r>
      <w:r w:rsidRPr="003C24B9">
        <w:t xml:space="preserve"> or removal of</w:t>
      </w:r>
      <w:r w:rsidR="00417F1C">
        <w:t xml:space="preserve">, </w:t>
      </w:r>
      <w:r w:rsidRPr="003C24B9">
        <w:t>reliefs and inscriptions caused by environ</w:t>
      </w:r>
      <w:r>
        <w:t>mental factors or human agency</w:t>
      </w:r>
    </w:p>
    <w:p w14:paraId="26CC3273" w14:textId="77777777" w:rsidR="00937504" w:rsidRPr="003C24B9" w:rsidRDefault="00937504" w:rsidP="008F7B45">
      <w:pPr>
        <w:pStyle w:val="SyllabusListParagraph"/>
        <w:numPr>
          <w:ilvl w:val="0"/>
          <w:numId w:val="55"/>
        </w:numPr>
      </w:pPr>
      <w:r w:rsidRPr="003C24B9">
        <w:t>the nature and significance of afterlife beliefs and mortuary practices of royalty, including evidence from burials, tomb decoration, mummification and books of the afterlife in the tomb of Tutankhamun</w:t>
      </w:r>
    </w:p>
    <w:p w14:paraId="02B82519" w14:textId="4006674B" w:rsidR="00937504" w:rsidRPr="003C24B9" w:rsidRDefault="00937504" w:rsidP="008F7B45">
      <w:pPr>
        <w:pStyle w:val="SyllabusListParagraph"/>
        <w:numPr>
          <w:ilvl w:val="0"/>
          <w:numId w:val="55"/>
        </w:numPr>
      </w:pPr>
      <w:r w:rsidRPr="003C24B9">
        <w:t>the significant beliefs and cultural practices of Egyptian society as revealed by the tomb and grave goods of Tutankhamun</w:t>
      </w:r>
    </w:p>
    <w:p w14:paraId="6D73CFD9" w14:textId="6EEE3151" w:rsidR="00937504" w:rsidRPr="00AE09E5" w:rsidRDefault="00937504" w:rsidP="008F7B45">
      <w:pPr>
        <w:pStyle w:val="SyllabusListParagraph"/>
        <w:numPr>
          <w:ilvl w:val="0"/>
          <w:numId w:val="55"/>
        </w:numPr>
      </w:pPr>
      <w:r w:rsidRPr="00AE09E5">
        <w:t xml:space="preserve">the usefulness and reliability of the contribution of scholars, historians, archaeologists, institutions, new scientific methodologies and scientists to our understanding of Tutankhamun and his family, his tomb and its contents, including </w:t>
      </w:r>
      <w:r w:rsidR="00CA40B0">
        <w:t xml:space="preserve">at least one of the following: </w:t>
      </w:r>
      <w:r w:rsidRPr="00AE09E5">
        <w:t>Howard Carter and Harry Burton</w:t>
      </w:r>
      <w:r w:rsidRPr="00AE09E5">
        <w:rPr>
          <w:color w:val="FF0000"/>
        </w:rPr>
        <w:t xml:space="preserve"> </w:t>
      </w:r>
      <w:r w:rsidRPr="00AE09E5">
        <w:t xml:space="preserve">and their team, Nicholas Reeves, </w:t>
      </w:r>
      <w:proofErr w:type="spellStart"/>
      <w:r w:rsidRPr="00AE09E5">
        <w:t>Zawi</w:t>
      </w:r>
      <w:proofErr w:type="spellEnd"/>
      <w:r w:rsidRPr="00AE09E5">
        <w:t xml:space="preserve"> Hawass and Factum Arte</w:t>
      </w:r>
    </w:p>
    <w:p w14:paraId="0EF9B8A4" w14:textId="7650BFDD" w:rsidR="00937504" w:rsidRPr="0009031B" w:rsidRDefault="00937504" w:rsidP="008F7B45">
      <w:pPr>
        <w:pStyle w:val="SyllabusListParagraph"/>
        <w:numPr>
          <w:ilvl w:val="0"/>
          <w:numId w:val="55"/>
        </w:numPr>
      </w:pPr>
      <w:r w:rsidRPr="003C24B9">
        <w:lastRenderedPageBreak/>
        <w:t>the significance of written re</w:t>
      </w:r>
      <w:r>
        <w:t xml:space="preserve">cords as sources for the period; </w:t>
      </w:r>
      <w:r w:rsidRPr="003C24B9">
        <w:t>the usefulness, reliability and changing interpretation of ancient sources, including the R</w:t>
      </w:r>
      <w:r>
        <w:t xml:space="preserve">estoration Stele of Tutankhamun; </w:t>
      </w:r>
      <w:r w:rsidRPr="003C24B9">
        <w:t xml:space="preserve">evidence from the Hittite archive at </w:t>
      </w:r>
      <w:proofErr w:type="spellStart"/>
      <w:r w:rsidRPr="003C24B9">
        <w:t>Bogazkoy</w:t>
      </w:r>
      <w:proofErr w:type="spellEnd"/>
      <w:r w:rsidRPr="003C24B9">
        <w:t xml:space="preserve"> (Hatt</w:t>
      </w:r>
      <w:r w:rsidR="00977173">
        <w:t>usa/</w:t>
      </w:r>
      <w:proofErr w:type="spellStart"/>
      <w:r w:rsidR="00977173">
        <w:t>Hattusha</w:t>
      </w:r>
      <w:proofErr w:type="spellEnd"/>
      <w:r w:rsidRPr="003C24B9">
        <w:t>) in T</w:t>
      </w:r>
      <w:r w:rsidR="00977173">
        <w:rPr>
          <w:rFonts w:cs="Calibri"/>
        </w:rPr>
        <w:t>ü</w:t>
      </w:r>
      <w:r w:rsidRPr="003C24B9">
        <w:t>rk</w:t>
      </w:r>
      <w:r w:rsidR="00977173">
        <w:t>i</w:t>
      </w:r>
      <w:r w:rsidRPr="003C24B9">
        <w:t>y</w:t>
      </w:r>
      <w:r w:rsidR="00977173">
        <w:t>e</w:t>
      </w:r>
      <w:r w:rsidRPr="003C24B9">
        <w:t xml:space="preserve"> regarding the su</w:t>
      </w:r>
      <w:r>
        <w:t>ccession to the Egyptian throne; Horemheb’s Edict of Reform</w:t>
      </w:r>
      <w:r w:rsidR="00FA7D43" w:rsidRPr="0009031B">
        <w:t xml:space="preserve">; and the significant omission of the Amarna kings from the </w:t>
      </w:r>
      <w:r w:rsidR="00417F1C">
        <w:t>K</w:t>
      </w:r>
      <w:r w:rsidR="00FA7D43" w:rsidRPr="0009031B">
        <w:t xml:space="preserve">ing </w:t>
      </w:r>
      <w:r w:rsidR="00417F1C">
        <w:t>L</w:t>
      </w:r>
      <w:r w:rsidR="00FA7D43" w:rsidRPr="0009031B">
        <w:t>ist</w:t>
      </w:r>
      <w:r w:rsidR="00411F81">
        <w:t>s</w:t>
      </w:r>
    </w:p>
    <w:p w14:paraId="1D2D18EA" w14:textId="7020CEBE" w:rsidR="00937504" w:rsidRPr="0009031B" w:rsidRDefault="00937504" w:rsidP="008F7B45">
      <w:pPr>
        <w:pStyle w:val="SyllabusListParagraph"/>
        <w:numPr>
          <w:ilvl w:val="0"/>
          <w:numId w:val="55"/>
        </w:numPr>
      </w:pPr>
      <w:r w:rsidRPr="0009031B">
        <w:t xml:space="preserve">evidence of the iconography of the pharaoh during the reigns of Tutankhamun, Ay and Horemheb, including representation as warrior and leader; ideology of kingship, including titles, regalia and the </w:t>
      </w:r>
      <w:r w:rsidR="009C0CFD" w:rsidRPr="0009031B">
        <w:t xml:space="preserve">significance of their role in upholding </w:t>
      </w:r>
      <w:proofErr w:type="spellStart"/>
      <w:r w:rsidR="009C0CFD" w:rsidRPr="0009031B">
        <w:t>m</w:t>
      </w:r>
      <w:r w:rsidRPr="0009031B">
        <w:t>a</w:t>
      </w:r>
      <w:r w:rsidR="00050057" w:rsidRPr="0009031B">
        <w:t>’</w:t>
      </w:r>
      <w:r w:rsidRPr="0009031B">
        <w:t>at</w:t>
      </w:r>
      <w:proofErr w:type="spellEnd"/>
    </w:p>
    <w:p w14:paraId="6621785C" w14:textId="777DDDAD" w:rsidR="00937504" w:rsidRPr="0068794E" w:rsidRDefault="00937504" w:rsidP="008F7B45">
      <w:pPr>
        <w:pStyle w:val="SyllabusListParagraph"/>
        <w:numPr>
          <w:ilvl w:val="0"/>
          <w:numId w:val="55"/>
        </w:numPr>
      </w:pPr>
      <w:r w:rsidRPr="00AE09E5">
        <w:t xml:space="preserve">evidence for the continuing role of the army in Egyptian society, including in the succession of Horemheb and the end of the 18th </w:t>
      </w:r>
      <w:r w:rsidR="0078628D">
        <w:t>d</w:t>
      </w:r>
      <w:r w:rsidRPr="00AE09E5">
        <w:t>ynasty</w:t>
      </w:r>
    </w:p>
    <w:p w14:paraId="1257216B" w14:textId="77777777" w:rsidR="000350CC" w:rsidRPr="00D05241" w:rsidRDefault="000350CC" w:rsidP="00D05241">
      <w:pPr>
        <w:rPr>
          <w:b/>
          <w:bCs/>
        </w:rPr>
      </w:pPr>
      <w:r w:rsidRPr="00D05241">
        <w:rPr>
          <w:b/>
          <w:bCs/>
        </w:rPr>
        <w:t>OR</w:t>
      </w:r>
    </w:p>
    <w:p w14:paraId="2F26E482" w14:textId="77777777" w:rsidR="009B6738" w:rsidRDefault="000350CC" w:rsidP="009B6738">
      <w:pPr>
        <w:pStyle w:val="SyllabusHeading3"/>
      </w:pPr>
      <w:r w:rsidRPr="009B6738">
        <w:t>Elective</w:t>
      </w:r>
      <w:r w:rsidRPr="00381F5A">
        <w:t xml:space="preserve"> 2</w:t>
      </w:r>
      <w:r w:rsidR="00417F1C">
        <w:t xml:space="preserve"> –</w:t>
      </w:r>
      <w:r w:rsidRPr="00381F5A">
        <w:t xml:space="preserve"> </w:t>
      </w:r>
      <w:r w:rsidR="004478FB" w:rsidRPr="00381F5A">
        <w:t>T</w:t>
      </w:r>
      <w:r w:rsidR="00B93783" w:rsidRPr="00381F5A">
        <w:t>he Peloponnesian War</w:t>
      </w:r>
    </w:p>
    <w:p w14:paraId="0F865089" w14:textId="3955E45F" w:rsidR="000350CC" w:rsidRPr="00397DC0" w:rsidRDefault="00B93783" w:rsidP="009B6738">
      <w:pPr>
        <w:pStyle w:val="SyllabusListParagraph"/>
      </w:pPr>
      <w:r w:rsidRPr="007A1E94">
        <w:t>t</w:t>
      </w:r>
      <w:r w:rsidR="000350CC" w:rsidRPr="007A1E94">
        <w:t xml:space="preserve">he key written </w:t>
      </w:r>
      <w:r w:rsidR="0059683F" w:rsidRPr="007A1E94">
        <w:t xml:space="preserve">and archaeological sources </w:t>
      </w:r>
      <w:r w:rsidR="000350CC" w:rsidRPr="007A1E94">
        <w:t>for the period</w:t>
      </w:r>
      <w:r w:rsidR="006E03DA" w:rsidRPr="007A1E94">
        <w:t>,</w:t>
      </w:r>
      <w:r w:rsidR="000350CC" w:rsidRPr="007A1E94">
        <w:t xml:space="preserve"> including the writings of Thucydides, </w:t>
      </w:r>
      <w:r w:rsidR="000350CC" w:rsidRPr="00BE2E1F">
        <w:t>Plutarch</w:t>
      </w:r>
      <w:r w:rsidR="00BE2E1F">
        <w:t xml:space="preserve">’s </w:t>
      </w:r>
      <w:r w:rsidR="00504646">
        <w:rPr>
          <w:i/>
        </w:rPr>
        <w:t>Lives</w:t>
      </w:r>
      <w:r w:rsidR="007A1E94" w:rsidRPr="00504646">
        <w:rPr>
          <w:i/>
        </w:rPr>
        <w:t>,</w:t>
      </w:r>
      <w:r w:rsidR="007A1E94" w:rsidRPr="007A1E94">
        <w:t xml:space="preserve"> Old Oligarch</w:t>
      </w:r>
      <w:r w:rsidR="000350CC" w:rsidRPr="007A1E94">
        <w:t xml:space="preserve">, </w:t>
      </w:r>
      <w:r w:rsidR="007A1E94" w:rsidRPr="007A1E94">
        <w:t>Aristophanes</w:t>
      </w:r>
      <w:r w:rsidR="000350CC" w:rsidRPr="007A1E94">
        <w:t xml:space="preserve">, inscriptions, </w:t>
      </w:r>
      <w:r w:rsidR="004A74F3" w:rsidRPr="007A1E94">
        <w:t>dec</w:t>
      </w:r>
      <w:r w:rsidR="007A1E94" w:rsidRPr="007A1E94">
        <w:t>rees and modern interpretations</w:t>
      </w:r>
    </w:p>
    <w:p w14:paraId="5F095C10" w14:textId="77777777" w:rsidR="0073022F" w:rsidRPr="00FF055E" w:rsidRDefault="0073022F" w:rsidP="00752A9F">
      <w:pPr>
        <w:pStyle w:val="Heading4"/>
        <w:rPr>
          <w:iCs/>
        </w:rPr>
      </w:pPr>
      <w:r w:rsidRPr="00D05241">
        <w:t xml:space="preserve">The ancient historical narrative </w:t>
      </w:r>
    </w:p>
    <w:p w14:paraId="2ECC5344" w14:textId="003B9F4E" w:rsidR="00920106" w:rsidRPr="00FF055E" w:rsidRDefault="00920106" w:rsidP="00D05241">
      <w:pPr>
        <w:rPr>
          <w:b/>
          <w:bCs/>
          <w:iCs/>
          <w:strike/>
        </w:rPr>
      </w:pPr>
      <w:r w:rsidRPr="00D05241">
        <w:rPr>
          <w:b/>
          <w:bCs/>
        </w:rPr>
        <w:t xml:space="preserve">The </w:t>
      </w:r>
      <w:r w:rsidR="00417F1C">
        <w:rPr>
          <w:b/>
          <w:bCs/>
        </w:rPr>
        <w:t>c</w:t>
      </w:r>
      <w:r w:rsidRPr="00D05241">
        <w:rPr>
          <w:b/>
          <w:bCs/>
        </w:rPr>
        <w:t>auses of the Peloponnesian War</w:t>
      </w:r>
    </w:p>
    <w:p w14:paraId="6FA313B8" w14:textId="77777777" w:rsidR="00AC33FB" w:rsidRPr="00AC33FB" w:rsidRDefault="00AC33FB" w:rsidP="008F7B45">
      <w:pPr>
        <w:pStyle w:val="SyllabusListParagraph"/>
        <w:numPr>
          <w:ilvl w:val="0"/>
          <w:numId w:val="57"/>
        </w:numPr>
      </w:pPr>
      <w:r w:rsidRPr="00AC33FB">
        <w:t>Thucydides’</w:t>
      </w:r>
      <w:r w:rsidR="00FB7CC8" w:rsidRPr="00AC33FB">
        <w:t xml:space="preserve"> </w:t>
      </w:r>
      <w:proofErr w:type="spellStart"/>
      <w:r w:rsidR="00FB7CC8" w:rsidRPr="00AC33FB">
        <w:t>aitiai</w:t>
      </w:r>
      <w:proofErr w:type="spellEnd"/>
      <w:r w:rsidR="003A41FC" w:rsidRPr="00AC33FB">
        <w:t xml:space="preserve">, </w:t>
      </w:r>
      <w:r w:rsidR="000350CC" w:rsidRPr="00AC33FB">
        <w:t xml:space="preserve">including </w:t>
      </w:r>
      <w:r w:rsidR="005E622B">
        <w:t xml:space="preserve">the </w:t>
      </w:r>
      <w:r w:rsidR="000350CC" w:rsidRPr="00AC33FB">
        <w:t>w</w:t>
      </w:r>
      <w:r w:rsidRPr="00AC33FB">
        <w:t>ar between Corcyra and Corinth,</w:t>
      </w:r>
      <w:r w:rsidR="000350CC" w:rsidRPr="00AC33FB">
        <w:t xml:space="preserve"> Megarian decree, the </w:t>
      </w:r>
      <w:proofErr w:type="spellStart"/>
      <w:r w:rsidR="000350CC" w:rsidRPr="00AC33FB">
        <w:t>Potidaean</w:t>
      </w:r>
      <w:proofErr w:type="spellEnd"/>
      <w:r w:rsidR="000350CC" w:rsidRPr="00AC33FB">
        <w:t xml:space="preserve"> revolt and </w:t>
      </w:r>
      <w:r w:rsidR="003A41FC" w:rsidRPr="00AC33FB">
        <w:t xml:space="preserve">complaints from Aegina </w:t>
      </w:r>
    </w:p>
    <w:p w14:paraId="5E3866A3" w14:textId="6C087995" w:rsidR="003A41FC" w:rsidRPr="004271FC" w:rsidRDefault="008A294A" w:rsidP="008F7B45">
      <w:pPr>
        <w:pStyle w:val="SyllabusListParagraph"/>
        <w:numPr>
          <w:ilvl w:val="0"/>
          <w:numId w:val="57"/>
        </w:numPr>
      </w:pPr>
      <w:r w:rsidRPr="004271FC">
        <w:t xml:space="preserve">Thucydides’ </w:t>
      </w:r>
      <w:proofErr w:type="spellStart"/>
      <w:r w:rsidRPr="004271FC">
        <w:t>propha</w:t>
      </w:r>
      <w:r w:rsidR="00AC040D" w:rsidRPr="004271FC">
        <w:t>sis</w:t>
      </w:r>
      <w:proofErr w:type="spellEnd"/>
      <w:r w:rsidR="004271FC" w:rsidRPr="004271FC">
        <w:t xml:space="preserve"> – </w:t>
      </w:r>
      <w:r w:rsidR="00AC040D" w:rsidRPr="004271FC">
        <w:t>Spartan fear of the growth of Athenian power</w:t>
      </w:r>
    </w:p>
    <w:p w14:paraId="34C67187" w14:textId="6668B77A" w:rsidR="00A322AE" w:rsidRPr="00673069" w:rsidRDefault="00B46937" w:rsidP="008F7B45">
      <w:pPr>
        <w:pStyle w:val="SyllabusListParagraph"/>
        <w:numPr>
          <w:ilvl w:val="0"/>
          <w:numId w:val="57"/>
        </w:numPr>
      </w:pPr>
      <w:r w:rsidRPr="004271FC">
        <w:t>Thucy</w:t>
      </w:r>
      <w:r w:rsidR="00A322AE" w:rsidRPr="004271FC">
        <w:t xml:space="preserve">dides’ explanation of the causes of the war </w:t>
      </w:r>
      <w:r w:rsidR="004271FC" w:rsidRPr="004271FC">
        <w:t xml:space="preserve">– </w:t>
      </w:r>
      <w:r w:rsidR="00A322AE" w:rsidRPr="004271FC">
        <w:t>different interpretations</w:t>
      </w:r>
      <w:r w:rsidR="00A322AE" w:rsidRPr="00673069">
        <w:t xml:space="preserve"> by the ancient and modern sources; long</w:t>
      </w:r>
      <w:r w:rsidR="00417F1C">
        <w:t>-</w:t>
      </w:r>
      <w:r w:rsidR="00A322AE" w:rsidRPr="00673069">
        <w:t>term economic and political differences between Athens and the Peloponnesians</w:t>
      </w:r>
    </w:p>
    <w:p w14:paraId="3BFE1A9D" w14:textId="658D2380" w:rsidR="00C85F30" w:rsidRPr="00D05241" w:rsidRDefault="00C85F30" w:rsidP="00752A9F">
      <w:pPr>
        <w:pStyle w:val="Heading4"/>
      </w:pPr>
      <w:r w:rsidRPr="00D05241">
        <w:t xml:space="preserve">Peloponnesian War: </w:t>
      </w:r>
      <w:r w:rsidR="00FF055E">
        <w:t>t</w:t>
      </w:r>
      <w:r w:rsidRPr="00D05241">
        <w:t xml:space="preserve">he </w:t>
      </w:r>
      <w:proofErr w:type="spellStart"/>
      <w:r w:rsidRPr="00D05241">
        <w:t>Archidamian</w:t>
      </w:r>
      <w:proofErr w:type="spellEnd"/>
      <w:r w:rsidRPr="00D05241">
        <w:t xml:space="preserve"> War</w:t>
      </w:r>
    </w:p>
    <w:p w14:paraId="1E4FD952" w14:textId="3F98007F" w:rsidR="00345094" w:rsidRPr="00673069" w:rsidRDefault="00345094" w:rsidP="008F7B45">
      <w:pPr>
        <w:pStyle w:val="SyllabusListParagraph"/>
        <w:numPr>
          <w:ilvl w:val="0"/>
          <w:numId w:val="58"/>
        </w:numPr>
      </w:pPr>
      <w:r w:rsidRPr="00673069">
        <w:t>Atheni</w:t>
      </w:r>
      <w:r w:rsidR="00BC3F31" w:rsidRPr="00673069">
        <w:t xml:space="preserve">an resources, aims and strategy, </w:t>
      </w:r>
      <w:r w:rsidRPr="00673069">
        <w:t xml:space="preserve">including </w:t>
      </w:r>
      <w:proofErr w:type="spellStart"/>
      <w:r w:rsidRPr="00673069">
        <w:t>Periesesthai</w:t>
      </w:r>
      <w:proofErr w:type="spellEnd"/>
      <w:r w:rsidRPr="00673069">
        <w:t xml:space="preserve"> (Pericles</w:t>
      </w:r>
      <w:r w:rsidR="00677FD9">
        <w:t>’</w:t>
      </w:r>
      <w:r w:rsidRPr="00673069">
        <w:t xml:space="preserve"> speech</w:t>
      </w:r>
      <w:r w:rsidR="000263D5" w:rsidRPr="00673069">
        <w:t>,</w:t>
      </w:r>
      <w:r w:rsidR="00F02E1E">
        <w:t xml:space="preserve"> Thucydides</w:t>
      </w:r>
      <w:r w:rsidR="00677FD9">
        <w:t>,</w:t>
      </w:r>
      <w:r w:rsidR="00F02E1E">
        <w:t xml:space="preserve"> I</w:t>
      </w:r>
      <w:r w:rsidRPr="00673069">
        <w:t xml:space="preserve">.140–144) </w:t>
      </w:r>
    </w:p>
    <w:p w14:paraId="7850E1EC" w14:textId="02AF37AB" w:rsidR="00345094" w:rsidRPr="00673069" w:rsidRDefault="00345094" w:rsidP="008F7B45">
      <w:pPr>
        <w:pStyle w:val="SyllabusListParagraph"/>
        <w:numPr>
          <w:ilvl w:val="0"/>
          <w:numId w:val="58"/>
        </w:numPr>
      </w:pPr>
      <w:r w:rsidRPr="00673069">
        <w:t>Spartan resources, aims and strategy</w:t>
      </w:r>
      <w:r w:rsidR="009E5896">
        <w:t>,</w:t>
      </w:r>
      <w:r w:rsidRPr="00673069">
        <w:t xml:space="preserve"> including liberation of the Hellenes (Corinthian speech in Thucydides</w:t>
      </w:r>
      <w:r w:rsidR="000263D5" w:rsidRPr="00673069">
        <w:t>,</w:t>
      </w:r>
      <w:r w:rsidR="00F02E1E">
        <w:t xml:space="preserve"> I</w:t>
      </w:r>
      <w:r w:rsidRPr="00673069">
        <w:t xml:space="preserve">.69–71, </w:t>
      </w:r>
      <w:r w:rsidR="00A374E6">
        <w:t>I.</w:t>
      </w:r>
      <w:r w:rsidRPr="00673069">
        <w:t>120–124)</w:t>
      </w:r>
    </w:p>
    <w:p w14:paraId="51F81158" w14:textId="77777777" w:rsidR="008630D4" w:rsidRPr="00E7590B" w:rsidRDefault="00526F8B" w:rsidP="008F7B45">
      <w:pPr>
        <w:pStyle w:val="SyllabusListParagraph"/>
        <w:numPr>
          <w:ilvl w:val="0"/>
          <w:numId w:val="58"/>
        </w:numPr>
      </w:pPr>
      <w:r w:rsidRPr="00E7590B">
        <w:t xml:space="preserve">the course of the </w:t>
      </w:r>
      <w:proofErr w:type="spellStart"/>
      <w:r w:rsidR="000350CC" w:rsidRPr="00E7590B">
        <w:t>Archidamian</w:t>
      </w:r>
      <w:proofErr w:type="spellEnd"/>
      <w:r w:rsidR="000350CC" w:rsidRPr="00E7590B">
        <w:t xml:space="preserve"> War</w:t>
      </w:r>
      <w:r w:rsidR="007D4FE8" w:rsidRPr="00E7590B">
        <w:t>,</w:t>
      </w:r>
      <w:r w:rsidR="000350CC" w:rsidRPr="00E7590B">
        <w:t xml:space="preserve"> including </w:t>
      </w:r>
      <w:r w:rsidR="001B7F56">
        <w:t>the Plague;</w:t>
      </w:r>
      <w:r w:rsidR="000350CC" w:rsidRPr="00E7590B">
        <w:t xml:space="preserve"> the death of Pericles and</w:t>
      </w:r>
      <w:r w:rsidR="001B7F56">
        <w:t xml:space="preserve"> change of Athenian leadership; the </w:t>
      </w:r>
      <w:proofErr w:type="spellStart"/>
      <w:r w:rsidR="001B7F56">
        <w:t>Mytilenean</w:t>
      </w:r>
      <w:proofErr w:type="spellEnd"/>
      <w:r w:rsidR="001B7F56">
        <w:t xml:space="preserve"> revolt; Pylos and </w:t>
      </w:r>
      <w:proofErr w:type="spellStart"/>
      <w:r w:rsidR="001B7F56">
        <w:t>Sphacteria</w:t>
      </w:r>
      <w:proofErr w:type="spellEnd"/>
      <w:r w:rsidR="001B7F56">
        <w:t>; Brasidas’ Thracian campaign;</w:t>
      </w:r>
      <w:r w:rsidR="007D4FE8" w:rsidRPr="00E7590B">
        <w:t xml:space="preserve"> </w:t>
      </w:r>
      <w:r w:rsidR="008630D4" w:rsidRPr="00E7590B">
        <w:t>Amphipolis</w:t>
      </w:r>
    </w:p>
    <w:p w14:paraId="34BE4B7D" w14:textId="5A53A0C1" w:rsidR="000350CC" w:rsidRPr="00E7590B" w:rsidRDefault="008630D4" w:rsidP="008F7B45">
      <w:pPr>
        <w:pStyle w:val="SyllabusListParagraph"/>
        <w:numPr>
          <w:ilvl w:val="0"/>
          <w:numId w:val="58"/>
        </w:numPr>
      </w:pPr>
      <w:r w:rsidRPr="00E7590B">
        <w:t xml:space="preserve">the role of </w:t>
      </w:r>
      <w:r w:rsidR="000350CC" w:rsidRPr="00E7590B">
        <w:t>key individuals, including Archidamus, Pericles, Cleon, Nicias and Brasidas</w:t>
      </w:r>
    </w:p>
    <w:p w14:paraId="0362D12E" w14:textId="77777777" w:rsidR="007C6FE9" w:rsidRPr="00E7590B" w:rsidRDefault="007C6FE9" w:rsidP="008F7B45">
      <w:pPr>
        <w:pStyle w:val="SyllabusListParagraph"/>
        <w:numPr>
          <w:ilvl w:val="0"/>
          <w:numId w:val="58"/>
        </w:numPr>
      </w:pPr>
      <w:r w:rsidRPr="00E7590B">
        <w:t>Thucydides’ contested views on new leadership, including the demagogues</w:t>
      </w:r>
    </w:p>
    <w:p w14:paraId="00FF923A" w14:textId="46F54BD7" w:rsidR="00AF013A" w:rsidRPr="00D05241" w:rsidRDefault="00AF013A" w:rsidP="00752A9F">
      <w:pPr>
        <w:pStyle w:val="Heading4"/>
      </w:pPr>
      <w:r w:rsidRPr="00D05241">
        <w:t xml:space="preserve">Peloponnesian War: </w:t>
      </w:r>
      <w:r w:rsidR="00FF055E">
        <w:t>t</w:t>
      </w:r>
      <w:r w:rsidRPr="00D05241">
        <w:t>he Peace of Nicias</w:t>
      </w:r>
    </w:p>
    <w:p w14:paraId="67997D9B" w14:textId="16F7483B" w:rsidR="00A70526" w:rsidRPr="003233BC" w:rsidRDefault="00AF013A" w:rsidP="008F7B45">
      <w:pPr>
        <w:pStyle w:val="SyllabusListParagraph"/>
        <w:numPr>
          <w:ilvl w:val="0"/>
          <w:numId w:val="59"/>
        </w:numPr>
      </w:pPr>
      <w:r w:rsidRPr="003233BC">
        <w:t>key reasons for the signing of the Peace of Nicias as outlined by Thucydides (V.13–17)</w:t>
      </w:r>
      <w:r w:rsidR="00E7590B" w:rsidRPr="003233BC">
        <w:t xml:space="preserve">; </w:t>
      </w:r>
      <w:r w:rsidR="000350CC" w:rsidRPr="003233BC">
        <w:t>the terms</w:t>
      </w:r>
      <w:r w:rsidRPr="003233BC">
        <w:t xml:space="preserve"> of the treaty</w:t>
      </w:r>
      <w:r w:rsidR="00B95141">
        <w:t>;</w:t>
      </w:r>
      <w:r w:rsidR="000350CC" w:rsidRPr="003233BC">
        <w:t xml:space="preserve"> </w:t>
      </w:r>
      <w:r w:rsidRPr="003233BC">
        <w:t xml:space="preserve">the response </w:t>
      </w:r>
      <w:r w:rsidR="00A70526" w:rsidRPr="003233BC">
        <w:t>of the allies</w:t>
      </w:r>
      <w:r w:rsidR="00B95141">
        <w:t xml:space="preserve">; </w:t>
      </w:r>
      <w:r w:rsidR="00A70526" w:rsidRPr="003233BC">
        <w:t xml:space="preserve">the subsequent Athenian-Spartan </w:t>
      </w:r>
      <w:r w:rsidR="000350CC" w:rsidRPr="003233BC">
        <w:t xml:space="preserve">alliance </w:t>
      </w:r>
    </w:p>
    <w:p w14:paraId="0674888B" w14:textId="77777777" w:rsidR="00A70526" w:rsidRPr="003233BC" w:rsidRDefault="00A70526" w:rsidP="008F7B45">
      <w:pPr>
        <w:pStyle w:val="SyllabusListParagraph"/>
        <w:numPr>
          <w:ilvl w:val="0"/>
          <w:numId w:val="59"/>
        </w:numPr>
      </w:pPr>
      <w:r w:rsidRPr="003233BC">
        <w:lastRenderedPageBreak/>
        <w:t xml:space="preserve">reasons for the breakdown, including weaknesses </w:t>
      </w:r>
      <w:r w:rsidR="0083264B" w:rsidRPr="003233BC">
        <w:t>of the initial agreement; changing attitudes in Sparta a</w:t>
      </w:r>
      <w:r w:rsidR="00B95141">
        <w:t>nd Athens; the Battle of Mantin</w:t>
      </w:r>
      <w:r w:rsidR="0083264B" w:rsidRPr="003233BC">
        <w:t>ea; the restoration of Spartan supremacy in the Peloponnesian League</w:t>
      </w:r>
    </w:p>
    <w:p w14:paraId="3FA6E449" w14:textId="77777777" w:rsidR="005B3027" w:rsidRPr="003233BC" w:rsidRDefault="00B46937" w:rsidP="008F7B45">
      <w:pPr>
        <w:pStyle w:val="SyllabusListParagraph"/>
        <w:numPr>
          <w:ilvl w:val="0"/>
          <w:numId w:val="59"/>
        </w:numPr>
      </w:pPr>
      <w:r>
        <w:t xml:space="preserve">resurgence of Athenian </w:t>
      </w:r>
      <w:r w:rsidR="005B3027" w:rsidRPr="003233BC">
        <w:t>expansionism; the Melian Dialogue</w:t>
      </w:r>
    </w:p>
    <w:p w14:paraId="0090894F" w14:textId="279AC040" w:rsidR="000350CC" w:rsidRPr="003233BC" w:rsidRDefault="005B3027" w:rsidP="008F7B45">
      <w:pPr>
        <w:pStyle w:val="SyllabusListParagraph"/>
        <w:numPr>
          <w:ilvl w:val="0"/>
          <w:numId w:val="59"/>
        </w:numPr>
      </w:pPr>
      <w:r w:rsidRPr="003233BC">
        <w:t xml:space="preserve">the role of </w:t>
      </w:r>
      <w:r w:rsidR="000350CC" w:rsidRPr="003233BC">
        <w:t xml:space="preserve">key individuals, including Nicias </w:t>
      </w:r>
      <w:r w:rsidRPr="003233BC">
        <w:t xml:space="preserve">and </w:t>
      </w:r>
      <w:r w:rsidR="000350CC" w:rsidRPr="003233BC">
        <w:t>Alcibiades</w:t>
      </w:r>
    </w:p>
    <w:p w14:paraId="43F0456F" w14:textId="77777777" w:rsidR="008E2A12" w:rsidRPr="003233BC" w:rsidRDefault="008E2A12" w:rsidP="008F7B45">
      <w:pPr>
        <w:pStyle w:val="SyllabusListParagraph"/>
        <w:numPr>
          <w:ilvl w:val="0"/>
          <w:numId w:val="59"/>
        </w:numPr>
      </w:pPr>
      <w:r w:rsidRPr="003233BC">
        <w:t>Thucydides</w:t>
      </w:r>
      <w:r w:rsidR="003233BC">
        <w:t>’ exp</w:t>
      </w:r>
      <w:r w:rsidRPr="003233BC">
        <w:t>lanation for the failure of the treaty; Plutarch’s account of its failure</w:t>
      </w:r>
    </w:p>
    <w:p w14:paraId="73A493D5" w14:textId="6F971F60" w:rsidR="00E734E4" w:rsidRPr="00381F5A" w:rsidRDefault="00E734E4" w:rsidP="00752A9F">
      <w:pPr>
        <w:pStyle w:val="Heading4"/>
      </w:pPr>
      <w:r w:rsidRPr="00381F5A">
        <w:t xml:space="preserve">Peloponnesian War: </w:t>
      </w:r>
      <w:r w:rsidR="00FF055E">
        <w:t>t</w:t>
      </w:r>
      <w:r w:rsidRPr="00381F5A">
        <w:t>he Sicilian Expedition</w:t>
      </w:r>
    </w:p>
    <w:p w14:paraId="0BC835E3" w14:textId="77777777" w:rsidR="00161100" w:rsidRPr="001B7F56" w:rsidRDefault="004621D9" w:rsidP="008F7B45">
      <w:pPr>
        <w:pStyle w:val="SyllabusListParagraph"/>
        <w:numPr>
          <w:ilvl w:val="0"/>
          <w:numId w:val="60"/>
        </w:numPr>
      </w:pPr>
      <w:r w:rsidRPr="001B7F56">
        <w:t>the reasons for the expedition of 415 BCE; aims of the expedition, including the speeches in the Athenian Assembly</w:t>
      </w:r>
    </w:p>
    <w:p w14:paraId="1AC80156" w14:textId="5E783F39" w:rsidR="001B7F56" w:rsidRPr="00894AD9" w:rsidRDefault="000350CC" w:rsidP="008F7B45">
      <w:pPr>
        <w:pStyle w:val="SyllabusListParagraph"/>
        <w:numPr>
          <w:ilvl w:val="0"/>
          <w:numId w:val="60"/>
        </w:numPr>
      </w:pPr>
      <w:r w:rsidRPr="00894AD9">
        <w:t>key events</w:t>
      </w:r>
      <w:r w:rsidR="006E03DA" w:rsidRPr="00894AD9">
        <w:t>,</w:t>
      </w:r>
      <w:r w:rsidRPr="00894AD9">
        <w:t xml:space="preserve"> including </w:t>
      </w:r>
      <w:r w:rsidR="004621D9" w:rsidRPr="00894AD9">
        <w:t xml:space="preserve">the significance of </w:t>
      </w:r>
      <w:r w:rsidRPr="00894AD9">
        <w:t>the Mutilation of the Hermae</w:t>
      </w:r>
      <w:r w:rsidR="004621D9" w:rsidRPr="00894AD9">
        <w:t xml:space="preserve"> and profanation of the </w:t>
      </w:r>
      <w:r w:rsidR="00953F74" w:rsidRPr="005C3EA9">
        <w:t>M</w:t>
      </w:r>
      <w:r w:rsidR="004621D9" w:rsidRPr="00894AD9">
        <w:t>ysteries; the recall of Alcibiades; the leadership problem; Spartan aid to Syracuse</w:t>
      </w:r>
      <w:r w:rsidR="00F02E1E">
        <w:t>;</w:t>
      </w:r>
      <w:r w:rsidR="004621D9" w:rsidRPr="00894AD9">
        <w:t xml:space="preserve"> the second expedition (413 BCE) </w:t>
      </w:r>
    </w:p>
    <w:p w14:paraId="05E7F8BE" w14:textId="77777777" w:rsidR="004621D9" w:rsidRPr="00894AD9" w:rsidRDefault="004621D9" w:rsidP="008F7B45">
      <w:pPr>
        <w:pStyle w:val="SyllabusListParagraph"/>
        <w:numPr>
          <w:ilvl w:val="0"/>
          <w:numId w:val="60"/>
        </w:numPr>
      </w:pPr>
      <w:r w:rsidRPr="00894AD9">
        <w:t>reasons for Athens’ failure, including the conflicting aims for the expedition; the significance of the recall of Alcibiades; Nicias’ responsibility for the failure compared to the mismanagement of the Athenian Assembly</w:t>
      </w:r>
      <w:r w:rsidRPr="00894AD9">
        <w:rPr>
          <w:szCs w:val="52"/>
        </w:rPr>
        <w:t xml:space="preserve"> </w:t>
      </w:r>
    </w:p>
    <w:p w14:paraId="2F3E42DA" w14:textId="77777777" w:rsidR="004621D9" w:rsidRPr="00894AD9" w:rsidRDefault="004621D9" w:rsidP="008F7B45">
      <w:pPr>
        <w:pStyle w:val="SyllabusListParagraph"/>
        <w:numPr>
          <w:ilvl w:val="0"/>
          <w:numId w:val="60"/>
        </w:numPr>
      </w:pPr>
      <w:r w:rsidRPr="00894AD9">
        <w:t>Thucydides’ representation of leadership and the reasons for the failure of the expedition</w:t>
      </w:r>
    </w:p>
    <w:p w14:paraId="02977705" w14:textId="77777777" w:rsidR="004621D9" w:rsidRPr="00ED0978" w:rsidRDefault="004621D9" w:rsidP="008F7B45">
      <w:pPr>
        <w:pStyle w:val="SyllabusListParagraph"/>
        <w:numPr>
          <w:ilvl w:val="0"/>
          <w:numId w:val="60"/>
        </w:numPr>
      </w:pPr>
      <w:r w:rsidRPr="00ED0978">
        <w:rPr>
          <w:szCs w:val="52"/>
        </w:rPr>
        <w:t xml:space="preserve">consequences of the failure of the Sicilian </w:t>
      </w:r>
      <w:r w:rsidRPr="004271FC">
        <w:rPr>
          <w:szCs w:val="52"/>
        </w:rPr>
        <w:t>Expedition for</w:t>
      </w:r>
      <w:r w:rsidRPr="00ED0978">
        <w:rPr>
          <w:szCs w:val="52"/>
        </w:rPr>
        <w:t xml:space="preserve"> Athens </w:t>
      </w:r>
    </w:p>
    <w:p w14:paraId="07BDBBC8" w14:textId="0E0CC61B" w:rsidR="000350CC" w:rsidRPr="00ED0978" w:rsidRDefault="004621D9" w:rsidP="008F7B45">
      <w:pPr>
        <w:pStyle w:val="SyllabusListParagraph"/>
        <w:numPr>
          <w:ilvl w:val="0"/>
          <w:numId w:val="60"/>
        </w:numPr>
        <w:rPr>
          <w:strike/>
        </w:rPr>
      </w:pPr>
      <w:r w:rsidRPr="00ED0978">
        <w:t xml:space="preserve">the role of </w:t>
      </w:r>
      <w:r w:rsidR="000350CC" w:rsidRPr="00ED0978">
        <w:t xml:space="preserve">key individuals, including Nicias, Alcibiades and </w:t>
      </w:r>
      <w:proofErr w:type="spellStart"/>
      <w:r w:rsidR="000350CC" w:rsidRPr="00ED0978">
        <w:t>Gylippus</w:t>
      </w:r>
      <w:proofErr w:type="spellEnd"/>
    </w:p>
    <w:p w14:paraId="14D9ADA5" w14:textId="77777777" w:rsidR="0027080E" w:rsidRPr="00D05241" w:rsidRDefault="0027080E" w:rsidP="00752A9F">
      <w:pPr>
        <w:pStyle w:val="Heading4"/>
        <w:rPr>
          <w:strike/>
          <w:highlight w:val="yellow"/>
        </w:rPr>
      </w:pPr>
      <w:r w:rsidRPr="00D05241">
        <w:t>The</w:t>
      </w:r>
      <w:r w:rsidR="00FA1351" w:rsidRPr="00D05241">
        <w:t xml:space="preserve"> final phase of the Peloponnesia</w:t>
      </w:r>
      <w:r w:rsidRPr="00D05241">
        <w:t>n War</w:t>
      </w:r>
    </w:p>
    <w:p w14:paraId="7DE75012" w14:textId="77777777" w:rsidR="009C4A66" w:rsidRPr="00DB6455" w:rsidRDefault="00B93783" w:rsidP="008F7B45">
      <w:pPr>
        <w:pStyle w:val="SyllabusListParagraph"/>
        <w:numPr>
          <w:ilvl w:val="0"/>
          <w:numId w:val="61"/>
        </w:numPr>
      </w:pPr>
      <w:r w:rsidRPr="00DB6455">
        <w:t>t</w:t>
      </w:r>
      <w:r w:rsidR="000350CC" w:rsidRPr="00DB6455">
        <w:t xml:space="preserve">he key events of the </w:t>
      </w:r>
      <w:proofErr w:type="spellStart"/>
      <w:r w:rsidR="000350CC" w:rsidRPr="00DB6455">
        <w:t>Decelean</w:t>
      </w:r>
      <w:proofErr w:type="spellEnd"/>
      <w:r w:rsidR="000350CC" w:rsidRPr="00DB6455">
        <w:t>/Ionian War</w:t>
      </w:r>
      <w:r w:rsidR="001731A7" w:rsidRPr="00DB6455">
        <w:t>,</w:t>
      </w:r>
      <w:r w:rsidR="000350CC" w:rsidRPr="00DB6455">
        <w:t xml:space="preserve"> including the occupation of </w:t>
      </w:r>
      <w:proofErr w:type="spellStart"/>
      <w:r w:rsidR="000350CC" w:rsidRPr="00DB6455">
        <w:t>Decelea</w:t>
      </w:r>
      <w:proofErr w:type="spellEnd"/>
      <w:r w:rsidR="00DB6455" w:rsidRPr="00DB6455">
        <w:t>;</w:t>
      </w:r>
      <w:r w:rsidR="000350CC" w:rsidRPr="00DB6455">
        <w:t xml:space="preserve"> </w:t>
      </w:r>
      <w:r w:rsidR="00DB6455" w:rsidRPr="00DB6455">
        <w:t>the Oligarchic Coup;</w:t>
      </w:r>
      <w:r w:rsidR="0027080E" w:rsidRPr="00DB6455">
        <w:t xml:space="preserve"> battles of Cyzicus; peace offers by Sparta and the Athenian refusals; </w:t>
      </w:r>
      <w:r w:rsidR="00DB6455" w:rsidRPr="00DB6455">
        <w:t>the revolt of Ionian allies;</w:t>
      </w:r>
      <w:r w:rsidR="000350CC" w:rsidRPr="00DB6455">
        <w:t xml:space="preserve"> alliances between Sparta and Persia</w:t>
      </w:r>
      <w:r w:rsidR="00DB6455" w:rsidRPr="00DB6455">
        <w:t>;</w:t>
      </w:r>
      <w:r w:rsidR="009C4A66" w:rsidRPr="00DB6455">
        <w:t xml:space="preserve"> Battle of </w:t>
      </w:r>
      <w:proofErr w:type="spellStart"/>
      <w:r w:rsidR="009C4A66" w:rsidRPr="00DB6455">
        <w:t>Notium</w:t>
      </w:r>
      <w:proofErr w:type="spellEnd"/>
      <w:r w:rsidR="00DB6455" w:rsidRPr="00DB6455">
        <w:t>;</w:t>
      </w:r>
      <w:r w:rsidR="009C4A66" w:rsidRPr="00DB6455">
        <w:t xml:space="preserve"> r</w:t>
      </w:r>
      <w:r w:rsidR="00ED0978" w:rsidRPr="00DB6455">
        <w:t>e</w:t>
      </w:r>
      <w:r w:rsidR="009C4A66" w:rsidRPr="00DB6455">
        <w:t xml:space="preserve">moval of </w:t>
      </w:r>
      <w:r w:rsidR="00DB6455" w:rsidRPr="00DB6455">
        <w:t>Alcibiades;</w:t>
      </w:r>
      <w:r w:rsidR="009C4A66" w:rsidRPr="00DB6455">
        <w:t xml:space="preserve"> </w:t>
      </w:r>
      <w:r w:rsidR="000350CC" w:rsidRPr="00DB6455">
        <w:t xml:space="preserve">Battle of </w:t>
      </w:r>
      <w:proofErr w:type="spellStart"/>
      <w:r w:rsidR="000350CC" w:rsidRPr="00DB6455">
        <w:t>Arginusae</w:t>
      </w:r>
      <w:proofErr w:type="spellEnd"/>
      <w:r w:rsidR="009C4A66" w:rsidRPr="00DB6455">
        <w:t xml:space="preserve"> </w:t>
      </w:r>
      <w:r w:rsidR="000350CC" w:rsidRPr="00DB6455">
        <w:t>and</w:t>
      </w:r>
      <w:r w:rsidR="009C4A66" w:rsidRPr="00DB6455">
        <w:t xml:space="preserve"> the trial of the </w:t>
      </w:r>
      <w:r w:rsidR="00ED0978" w:rsidRPr="00DB6455">
        <w:t>generals; Battle of Aegospotami</w:t>
      </w:r>
    </w:p>
    <w:p w14:paraId="2DF7BBE3" w14:textId="139B9FA3" w:rsidR="009C4A66" w:rsidRPr="00DB6455" w:rsidRDefault="009C4A66" w:rsidP="008F7B45">
      <w:pPr>
        <w:pStyle w:val="SyllabusListParagraph"/>
        <w:numPr>
          <w:ilvl w:val="0"/>
          <w:numId w:val="61"/>
        </w:numPr>
      </w:pPr>
      <w:r w:rsidRPr="00DB6455">
        <w:t>reasons for</w:t>
      </w:r>
      <w:r w:rsidR="002A5BAE">
        <w:t xml:space="preserve"> the defeat of</w:t>
      </w:r>
      <w:r w:rsidR="00096DD7">
        <w:t xml:space="preserve"> Athens in 404 BC</w:t>
      </w:r>
      <w:r w:rsidR="00FF055E">
        <w:t>E</w:t>
      </w:r>
      <w:r w:rsidR="00096DD7">
        <w:t>;</w:t>
      </w:r>
      <w:r w:rsidRPr="00DB6455">
        <w:t xml:space="preserve"> siege of Athens; the circumstances and terms of surrender </w:t>
      </w:r>
    </w:p>
    <w:p w14:paraId="13EFC092" w14:textId="77777777" w:rsidR="0027080E" w:rsidRPr="00DB6455" w:rsidRDefault="009C4A66" w:rsidP="008F7B45">
      <w:pPr>
        <w:pStyle w:val="SyllabusListParagraph"/>
        <w:numPr>
          <w:ilvl w:val="0"/>
          <w:numId w:val="61"/>
        </w:numPr>
      </w:pPr>
      <w:r w:rsidRPr="00DB6455">
        <w:t>Thucydides’ explanation for the defeat of Athens; the role of the demos</w:t>
      </w:r>
    </w:p>
    <w:p w14:paraId="6FBB50FE" w14:textId="1419BFA6" w:rsidR="009C4A66" w:rsidRPr="00457D83" w:rsidRDefault="009C4A66" w:rsidP="008F7B45">
      <w:pPr>
        <w:pStyle w:val="SyllabusListParagraph"/>
        <w:numPr>
          <w:ilvl w:val="0"/>
          <w:numId w:val="61"/>
        </w:numPr>
      </w:pPr>
      <w:r w:rsidRPr="00DB6455">
        <w:t>the role of key individuals, including Alcibiades, Lysander, Cyrus, Tissaphernes and Pharnabazus</w:t>
      </w:r>
    </w:p>
    <w:p w14:paraId="40DDEBBA" w14:textId="77777777" w:rsidR="000350CC" w:rsidRPr="00D05241" w:rsidRDefault="000350CC" w:rsidP="00D05241">
      <w:pPr>
        <w:rPr>
          <w:b/>
          <w:bCs/>
        </w:rPr>
      </w:pPr>
      <w:r w:rsidRPr="00D05241">
        <w:rPr>
          <w:b/>
          <w:bCs/>
        </w:rPr>
        <w:t>OR</w:t>
      </w:r>
    </w:p>
    <w:p w14:paraId="1CA92886" w14:textId="37028EF8" w:rsidR="000350CC" w:rsidRPr="00381F5A" w:rsidRDefault="000350CC" w:rsidP="00120451">
      <w:pPr>
        <w:pStyle w:val="SyllabusHeading3"/>
      </w:pPr>
      <w:r w:rsidRPr="00381F5A">
        <w:t>Elective 3</w:t>
      </w:r>
      <w:r w:rsidR="00417F1C">
        <w:t xml:space="preserve"> –</w:t>
      </w:r>
      <w:r w:rsidR="00B21299" w:rsidRPr="00381F5A">
        <w:t xml:space="preserve"> Rome</w:t>
      </w:r>
      <w:r w:rsidR="0042653C" w:rsidRPr="00381F5A">
        <w:t>:</w:t>
      </w:r>
      <w:r w:rsidR="00B21299" w:rsidRPr="00381F5A">
        <w:t xml:space="preserve"> From Republic to Empire</w:t>
      </w:r>
      <w:r w:rsidRPr="00381F5A">
        <w:t xml:space="preserve"> </w:t>
      </w:r>
    </w:p>
    <w:p w14:paraId="20845866" w14:textId="3ADA0398" w:rsidR="00170E15" w:rsidRDefault="002C3DBA" w:rsidP="008F7B45">
      <w:pPr>
        <w:pStyle w:val="SyllabusListParagraph"/>
        <w:numPr>
          <w:ilvl w:val="0"/>
          <w:numId w:val="62"/>
        </w:numPr>
      </w:pPr>
      <w:r w:rsidRPr="00FD0D08">
        <w:t xml:space="preserve">the key written and archaeological sources for the period, including the writings of Cicero, Caesar, Suetonius, Plutarch and </w:t>
      </w:r>
      <w:r w:rsidRPr="00807041">
        <w:t>Augustus’ Res Gestae</w:t>
      </w:r>
      <w:r w:rsidRPr="00FD0D08">
        <w:t>; inscription</w:t>
      </w:r>
      <w:r w:rsidR="00891A4A">
        <w:t>s</w:t>
      </w:r>
      <w:r w:rsidRPr="00891A4A">
        <w:rPr>
          <w:bCs/>
        </w:rPr>
        <w:t xml:space="preserve">; </w:t>
      </w:r>
      <w:r w:rsidRPr="00FD0D08">
        <w:t>coins and modern interpretations</w:t>
      </w:r>
      <w:r w:rsidR="00170E15">
        <w:br w:type="page"/>
      </w:r>
    </w:p>
    <w:p w14:paraId="167DDF2E" w14:textId="3CFC7509" w:rsidR="0073022F" w:rsidRPr="00FF055E" w:rsidRDefault="0073022F" w:rsidP="00752A9F">
      <w:pPr>
        <w:pStyle w:val="Heading4"/>
        <w:rPr>
          <w:iCs/>
        </w:rPr>
      </w:pPr>
      <w:r w:rsidRPr="00D05241">
        <w:lastRenderedPageBreak/>
        <w:t xml:space="preserve">The ancient historical narrative </w:t>
      </w:r>
    </w:p>
    <w:p w14:paraId="104011FB" w14:textId="77777777" w:rsidR="00464917" w:rsidRPr="00FF055E" w:rsidRDefault="00464917" w:rsidP="00D05241">
      <w:pPr>
        <w:rPr>
          <w:b/>
          <w:bCs/>
          <w:iCs/>
        </w:rPr>
      </w:pPr>
      <w:r w:rsidRPr="00D05241">
        <w:rPr>
          <w:b/>
          <w:bCs/>
        </w:rPr>
        <w:t>The First Triumvirate</w:t>
      </w:r>
    </w:p>
    <w:p w14:paraId="04FE8442" w14:textId="43E0C5C7" w:rsidR="00464917" w:rsidRPr="00FD0D08" w:rsidRDefault="00B93783" w:rsidP="008F7B45">
      <w:pPr>
        <w:pStyle w:val="SyllabusListParagraph"/>
        <w:numPr>
          <w:ilvl w:val="0"/>
          <w:numId w:val="63"/>
        </w:numPr>
      </w:pPr>
      <w:r w:rsidRPr="00FD0D08">
        <w:t>t</w:t>
      </w:r>
      <w:r w:rsidR="00464917" w:rsidRPr="00FD0D08">
        <w:t>he</w:t>
      </w:r>
      <w:r w:rsidR="000350CC" w:rsidRPr="00FD0D08">
        <w:t xml:space="preserve"> formation of the so-called ‘First Triumvirate’</w:t>
      </w:r>
      <w:r w:rsidR="00464917" w:rsidRPr="00FD0D08">
        <w:t>;</w:t>
      </w:r>
      <w:r w:rsidR="000350CC" w:rsidRPr="00FD0D08">
        <w:t xml:space="preserve"> </w:t>
      </w:r>
      <w:r w:rsidR="00464917" w:rsidRPr="00FD0D08">
        <w:t xml:space="preserve">the reasons for and aims of the ‘First </w:t>
      </w:r>
      <w:r w:rsidR="00464917" w:rsidRPr="00D05241">
        <w:t>Triumvirate</w:t>
      </w:r>
      <w:r w:rsidR="00953F74" w:rsidRPr="00D05241">
        <w:t>’</w:t>
      </w:r>
      <w:r w:rsidR="00464917" w:rsidRPr="00D05241">
        <w:t>,</w:t>
      </w:r>
      <w:r w:rsidR="00464917" w:rsidRPr="00FD0D08">
        <w:t xml:space="preserve"> </w:t>
      </w:r>
      <w:r w:rsidR="000350CC" w:rsidRPr="00FD0D08">
        <w:t xml:space="preserve">including tensions between the </w:t>
      </w:r>
      <w:r w:rsidR="00442A65">
        <w:t>O</w:t>
      </w:r>
      <w:r w:rsidR="000350CC" w:rsidRPr="00FD0D08">
        <w:t xml:space="preserve">ptimates and </w:t>
      </w:r>
      <w:r w:rsidR="00233A50">
        <w:t>P</w:t>
      </w:r>
      <w:r w:rsidR="000350CC" w:rsidRPr="00FD0D08">
        <w:t xml:space="preserve">opulares; </w:t>
      </w:r>
      <w:r w:rsidR="00464917" w:rsidRPr="00FD0D08">
        <w:t>return of Pompey and his al</w:t>
      </w:r>
      <w:r w:rsidR="00826E81">
        <w:t>ienation; alienation of Crassus;</w:t>
      </w:r>
      <w:r w:rsidR="00464917" w:rsidRPr="00FD0D08">
        <w:t xml:space="preserve"> attempts to obstruct Caesar</w:t>
      </w:r>
      <w:r w:rsidR="00FF055E">
        <w:t>’</w:t>
      </w:r>
      <w:r w:rsidR="00464917" w:rsidRPr="00FD0D08">
        <w:t>s career</w:t>
      </w:r>
    </w:p>
    <w:p w14:paraId="332482B0" w14:textId="6A783163" w:rsidR="000350CC" w:rsidRPr="00FD0D08" w:rsidRDefault="000350CC" w:rsidP="008F7B45">
      <w:pPr>
        <w:pStyle w:val="SyllabusListParagraph"/>
        <w:numPr>
          <w:ilvl w:val="0"/>
          <w:numId w:val="63"/>
        </w:numPr>
      </w:pPr>
      <w:r w:rsidRPr="00FD0D08">
        <w:t>Caesar’s first consulship</w:t>
      </w:r>
      <w:r w:rsidR="00464917" w:rsidRPr="00FD0D08">
        <w:t xml:space="preserve"> in 59 BCE and Caesar’s response to opposition from the </w:t>
      </w:r>
      <w:r w:rsidR="00442A65">
        <w:t>O</w:t>
      </w:r>
      <w:r w:rsidR="00464917" w:rsidRPr="00FD0D08">
        <w:t xml:space="preserve">ptimates; </w:t>
      </w:r>
      <w:r w:rsidRPr="00FD0D08">
        <w:t>his legislative program</w:t>
      </w:r>
      <w:r w:rsidR="00464917" w:rsidRPr="00FD0D08">
        <w:t>: land</w:t>
      </w:r>
      <w:r w:rsidR="00E4701C">
        <w:t xml:space="preserve"> </w:t>
      </w:r>
      <w:r w:rsidR="00464917" w:rsidRPr="00FD0D08">
        <w:t>bill, ratification of Easte</w:t>
      </w:r>
      <w:r w:rsidR="00FD0D08" w:rsidRPr="00FD0D08">
        <w:t>rn Settlement; tax concessions;</w:t>
      </w:r>
      <w:r w:rsidRPr="00FD0D08">
        <w:t xml:space="preserve"> </w:t>
      </w:r>
      <w:r w:rsidR="00464917" w:rsidRPr="00FD0D08">
        <w:t xml:space="preserve">Caesar’s </w:t>
      </w:r>
      <w:r w:rsidRPr="00FD0D08">
        <w:t>acquisition of the Gallic Command</w:t>
      </w:r>
      <w:r w:rsidR="00464917" w:rsidRPr="00FD0D08">
        <w:t xml:space="preserve"> and its importance to Caesar’s political career</w:t>
      </w:r>
    </w:p>
    <w:p w14:paraId="1AB661F2" w14:textId="77777777" w:rsidR="00464917" w:rsidRPr="00FD0D08" w:rsidRDefault="00464917" w:rsidP="008F7B45">
      <w:pPr>
        <w:pStyle w:val="SyllabusListParagraph"/>
        <w:numPr>
          <w:ilvl w:val="0"/>
          <w:numId w:val="63"/>
        </w:numPr>
      </w:pPr>
      <w:r w:rsidRPr="00FD0D08">
        <w:t xml:space="preserve">Rome during Caesar’s absence in Gaul: </w:t>
      </w:r>
      <w:r w:rsidR="00B93783" w:rsidRPr="00FD0D08">
        <w:t>t</w:t>
      </w:r>
      <w:r w:rsidR="00FD0D08" w:rsidRPr="00FD0D08">
        <w:t xml:space="preserve">he actions of Clodius, </w:t>
      </w:r>
      <w:r w:rsidR="000350CC" w:rsidRPr="00FD0D08">
        <w:t>Cicero</w:t>
      </w:r>
      <w:r w:rsidRPr="00FD0D08">
        <w:t xml:space="preserve"> and Milo; Cicero’s exile and recall;</w:t>
      </w:r>
      <w:r w:rsidR="000350CC" w:rsidRPr="00FD0D08">
        <w:t xml:space="preserve"> the reasons for and results of the Conference of Luca, </w:t>
      </w:r>
      <w:r w:rsidR="00FD0D08" w:rsidRPr="00FD0D08">
        <w:t>the relati</w:t>
      </w:r>
      <w:r w:rsidRPr="00FD0D08">
        <w:t>ve positions of the triumvirs after the conference</w:t>
      </w:r>
    </w:p>
    <w:p w14:paraId="61D849BE" w14:textId="34CDF590" w:rsidR="00464917" w:rsidRPr="00FD0D08" w:rsidRDefault="00FF055E" w:rsidP="008F7B45">
      <w:pPr>
        <w:pStyle w:val="SyllabusListParagraph"/>
        <w:numPr>
          <w:ilvl w:val="0"/>
          <w:numId w:val="63"/>
        </w:numPr>
      </w:pPr>
      <w:r>
        <w:t>t</w:t>
      </w:r>
      <w:r w:rsidR="00464917" w:rsidRPr="00FD0D08">
        <w:t>he role of key indi</w:t>
      </w:r>
      <w:r w:rsidR="00766D41" w:rsidRPr="00FD0D08">
        <w:t>viduals, including Caesar, Pompey, Crassus, Cicero and Clodius</w:t>
      </w:r>
    </w:p>
    <w:p w14:paraId="4191ED24" w14:textId="77777777" w:rsidR="00766D41" w:rsidRPr="00D05241" w:rsidRDefault="00766D41" w:rsidP="00752A9F">
      <w:pPr>
        <w:pStyle w:val="Heading4"/>
      </w:pPr>
      <w:r w:rsidRPr="00D05241">
        <w:t>The Civil War</w:t>
      </w:r>
    </w:p>
    <w:p w14:paraId="1643663B" w14:textId="77777777" w:rsidR="00766D41" w:rsidRPr="00FD0D08" w:rsidRDefault="000350CC" w:rsidP="008F7B45">
      <w:pPr>
        <w:pStyle w:val="SyllabusListParagraph"/>
        <w:numPr>
          <w:ilvl w:val="0"/>
          <w:numId w:val="64"/>
        </w:numPr>
      </w:pPr>
      <w:r w:rsidRPr="00FD0D08">
        <w:t>the reasons for</w:t>
      </w:r>
      <w:r w:rsidR="00FD0D08" w:rsidRPr="00FD0D08">
        <w:t xml:space="preserve"> </w:t>
      </w:r>
      <w:r w:rsidRPr="00FD0D08">
        <w:t xml:space="preserve">the Civil War, including </w:t>
      </w:r>
      <w:r w:rsidR="00766D41" w:rsidRPr="00FD0D08">
        <w:t xml:space="preserve">the role of the Senate, attitudes of Pompey and </w:t>
      </w:r>
      <w:r w:rsidR="00FD0D08" w:rsidRPr="00FD0D08">
        <w:t>Caesar</w:t>
      </w:r>
      <w:r w:rsidR="00766D41" w:rsidRPr="00FD0D08">
        <w:t>,</w:t>
      </w:r>
      <w:r w:rsidR="00FD0D08" w:rsidRPr="00FD0D08">
        <w:t xml:space="preserve"> </w:t>
      </w:r>
      <w:r w:rsidR="00766D41" w:rsidRPr="00FD0D08">
        <w:t>relative responsibility for the outbreak of Civil War</w:t>
      </w:r>
    </w:p>
    <w:p w14:paraId="32B5AB58" w14:textId="19C00D50" w:rsidR="000350CC" w:rsidRPr="00FD0D08" w:rsidRDefault="00766D41" w:rsidP="008F7B45">
      <w:pPr>
        <w:pStyle w:val="SyllabusListParagraph"/>
        <w:numPr>
          <w:ilvl w:val="0"/>
          <w:numId w:val="64"/>
        </w:numPr>
      </w:pPr>
      <w:r w:rsidRPr="00FD0D08">
        <w:t xml:space="preserve">relative strengths of the two sides; key events of the Civil War, including Caesar versus Pompey </w:t>
      </w:r>
      <w:r w:rsidR="000350CC" w:rsidRPr="00FD0D08">
        <w:t xml:space="preserve">and the </w:t>
      </w:r>
      <w:r w:rsidR="00442A65">
        <w:t>O</w:t>
      </w:r>
      <w:r w:rsidR="000350CC" w:rsidRPr="00FD0D08">
        <w:t>ptimates, the battles of Pharsalus, Thapsus</w:t>
      </w:r>
      <w:r w:rsidR="00121638" w:rsidRPr="00FD0D08">
        <w:t>,</w:t>
      </w:r>
      <w:r w:rsidR="000350CC" w:rsidRPr="00FD0D08">
        <w:t xml:space="preserve"> and Munda</w:t>
      </w:r>
      <w:r w:rsidRPr="00FD0D08">
        <w:t>; the strategies used by Pompey and Caesar; reasons for Caesar’s victory</w:t>
      </w:r>
    </w:p>
    <w:p w14:paraId="7E7B1480" w14:textId="58C8B236" w:rsidR="00D63824" w:rsidRPr="00FD0D08" w:rsidRDefault="00D63824" w:rsidP="008F7B45">
      <w:pPr>
        <w:pStyle w:val="SyllabusListParagraph"/>
        <w:numPr>
          <w:ilvl w:val="0"/>
          <w:numId w:val="64"/>
        </w:numPr>
      </w:pPr>
      <w:r w:rsidRPr="00FD0D08">
        <w:t>the role of key individuals</w:t>
      </w:r>
      <w:r w:rsidR="004E0371">
        <w:t>,</w:t>
      </w:r>
      <w:r w:rsidRPr="00FD0D08">
        <w:t xml:space="preserve"> including Caesar, Pompey</w:t>
      </w:r>
      <w:r w:rsidR="00011A0F">
        <w:t xml:space="preserve"> and</w:t>
      </w:r>
      <w:r w:rsidRPr="00FD0D08">
        <w:t xml:space="preserve"> Cato</w:t>
      </w:r>
    </w:p>
    <w:p w14:paraId="528F521B" w14:textId="58C0CC3B" w:rsidR="00D63824" w:rsidRPr="00D05241" w:rsidRDefault="00D63824" w:rsidP="00752A9F">
      <w:pPr>
        <w:pStyle w:val="Heading4"/>
      </w:pPr>
      <w:r w:rsidRPr="00D05241">
        <w:t xml:space="preserve">Caesar’s </w:t>
      </w:r>
      <w:r w:rsidR="00417F1C">
        <w:t>d</w:t>
      </w:r>
      <w:r w:rsidRPr="00D05241">
        <w:t xml:space="preserve">ictatorship and </w:t>
      </w:r>
      <w:r w:rsidR="00417F1C">
        <w:t>a</w:t>
      </w:r>
      <w:r w:rsidRPr="00D05241">
        <w:t xml:space="preserve">ssassination </w:t>
      </w:r>
    </w:p>
    <w:p w14:paraId="5F4DB890" w14:textId="148AA956" w:rsidR="00D63824" w:rsidRPr="00FD0D08" w:rsidRDefault="000350CC" w:rsidP="008F7B45">
      <w:pPr>
        <w:pStyle w:val="SyllabusListParagraph"/>
        <w:numPr>
          <w:ilvl w:val="0"/>
          <w:numId w:val="65"/>
        </w:numPr>
      </w:pPr>
      <w:r w:rsidRPr="00FD0D08">
        <w:t>Caesar’s dictatorship, includ</w:t>
      </w:r>
      <w:r w:rsidR="00BE77C5" w:rsidRPr="00FD0D08">
        <w:t>ing his constitutional position and</w:t>
      </w:r>
      <w:r w:rsidR="00D63824" w:rsidRPr="00FF055E">
        <w:t xml:space="preserve"> </w:t>
      </w:r>
      <w:r w:rsidR="00D63824" w:rsidRPr="00FD0D08">
        <w:t>his powers: the dictatorships; con</w:t>
      </w:r>
      <w:r w:rsidR="00DB4CEC">
        <w:t xml:space="preserve">sulships and other offices held </w:t>
      </w:r>
      <w:r w:rsidR="00953F74" w:rsidRPr="00D56E3B">
        <w:t xml:space="preserve">within </w:t>
      </w:r>
      <w:r w:rsidR="00D63824" w:rsidRPr="00D56E3B">
        <w:t>t</w:t>
      </w:r>
      <w:r w:rsidR="00D63824" w:rsidRPr="00FD0D08">
        <w:t xml:space="preserve">he cursus </w:t>
      </w:r>
      <w:proofErr w:type="spellStart"/>
      <w:r w:rsidR="00D63824" w:rsidRPr="00FD0D08">
        <w:t>honorum</w:t>
      </w:r>
      <w:proofErr w:type="spellEnd"/>
      <w:r w:rsidR="00D63824" w:rsidRPr="00FD0D08">
        <w:t>; his military power; control of the treasury; his privileges, including the oath taken to him</w:t>
      </w:r>
    </w:p>
    <w:p w14:paraId="43AE5596" w14:textId="2669B336" w:rsidR="00D63824" w:rsidRPr="00FD0D08" w:rsidRDefault="00D63824" w:rsidP="008F7B45">
      <w:pPr>
        <w:pStyle w:val="SyllabusListParagraph"/>
        <w:numPr>
          <w:ilvl w:val="0"/>
          <w:numId w:val="65"/>
        </w:numPr>
      </w:pPr>
      <w:r w:rsidRPr="00FD0D08">
        <w:t xml:space="preserve">Caesar’s </w:t>
      </w:r>
      <w:r w:rsidR="000350CC" w:rsidRPr="00FD0D08">
        <w:t>reform program</w:t>
      </w:r>
      <w:r w:rsidRPr="00FD0D08">
        <w:t>, including the aims of Caesar</w:t>
      </w:r>
      <w:r w:rsidR="00FF055E">
        <w:t>’</w:t>
      </w:r>
      <w:r w:rsidRPr="00FD0D08">
        <w:t>s reforms (political, economic, social, military</w:t>
      </w:r>
      <w:r w:rsidR="00011A0F">
        <w:t xml:space="preserve"> and</w:t>
      </w:r>
      <w:r w:rsidRPr="00FD0D08">
        <w:t xml:space="preserve"> religious) and their effectiveness</w:t>
      </w:r>
    </w:p>
    <w:p w14:paraId="12163D34" w14:textId="77777777" w:rsidR="000350CC" w:rsidRPr="00FD0D08" w:rsidRDefault="00B93783" w:rsidP="008F7B45">
      <w:pPr>
        <w:pStyle w:val="SyllabusListParagraph"/>
        <w:numPr>
          <w:ilvl w:val="0"/>
          <w:numId w:val="65"/>
        </w:numPr>
        <w:rPr>
          <w:strike/>
        </w:rPr>
      </w:pPr>
      <w:r w:rsidRPr="00FD0D08">
        <w:t>t</w:t>
      </w:r>
      <w:r w:rsidR="000350CC" w:rsidRPr="00FD0D08">
        <w:t xml:space="preserve">he </w:t>
      </w:r>
      <w:r w:rsidR="00D63824" w:rsidRPr="00FD0D08">
        <w:t xml:space="preserve">reasons for the </w:t>
      </w:r>
      <w:r w:rsidR="000350CC" w:rsidRPr="00FD0D08">
        <w:t>assassination of Caesar</w:t>
      </w:r>
      <w:r w:rsidR="001D0E86" w:rsidRPr="00FD0D08">
        <w:t>; the assassination; the reliability of Plutarch’s thesis that it was Caesar’s wish to be king t</w:t>
      </w:r>
      <w:r w:rsidR="00826E81">
        <w:t>hat led to his assassination;</w:t>
      </w:r>
      <w:r w:rsidR="001D0E86" w:rsidRPr="00FD0D08">
        <w:t xml:space="preserve"> other ancient and modern interpretations</w:t>
      </w:r>
      <w:r w:rsidR="000350CC" w:rsidRPr="00FD0D08">
        <w:t xml:space="preserve"> </w:t>
      </w:r>
    </w:p>
    <w:p w14:paraId="7A36A1F8" w14:textId="400CE02E" w:rsidR="001D0E86" w:rsidRPr="00FD0D08" w:rsidRDefault="001D0E86" w:rsidP="008F7B45">
      <w:pPr>
        <w:pStyle w:val="SyllabusListParagraph"/>
        <w:numPr>
          <w:ilvl w:val="0"/>
          <w:numId w:val="65"/>
        </w:numPr>
      </w:pPr>
      <w:r w:rsidRPr="00FD0D08">
        <w:t>the role of key individuals</w:t>
      </w:r>
      <w:r w:rsidR="001F0FB5">
        <w:t>,</w:t>
      </w:r>
      <w:r w:rsidRPr="00FD0D08">
        <w:t xml:space="preserve"> including Caesar, Marcus Brutus</w:t>
      </w:r>
      <w:r w:rsidR="00011A0F">
        <w:t xml:space="preserve"> and</w:t>
      </w:r>
      <w:r w:rsidRPr="00FD0D08">
        <w:t xml:space="preserve"> Decimus Brutus </w:t>
      </w:r>
    </w:p>
    <w:p w14:paraId="1CF09C22" w14:textId="77777777" w:rsidR="001D0E86" w:rsidRPr="00D05241" w:rsidRDefault="001D0E86" w:rsidP="00752A9F">
      <w:pPr>
        <w:pStyle w:val="Heading4"/>
      </w:pPr>
      <w:r w:rsidRPr="00D05241">
        <w:t>The Second Triumvirate</w:t>
      </w:r>
    </w:p>
    <w:p w14:paraId="59092194" w14:textId="5AC44E52" w:rsidR="00FD0D08" w:rsidRPr="00FD0D08" w:rsidRDefault="001D0E86" w:rsidP="008F7B45">
      <w:pPr>
        <w:pStyle w:val="SyllabusListParagraph"/>
        <w:numPr>
          <w:ilvl w:val="0"/>
          <w:numId w:val="66"/>
        </w:numPr>
      </w:pPr>
      <w:r w:rsidRPr="00FD0D08">
        <w:t xml:space="preserve">the dominance of </w:t>
      </w:r>
      <w:r w:rsidR="00417F1C">
        <w:t xml:space="preserve">Mark </w:t>
      </w:r>
      <w:r w:rsidRPr="00FD0D08">
        <w:t>Antony after Caesar</w:t>
      </w:r>
      <w:r w:rsidR="00FF055E">
        <w:t>’</w:t>
      </w:r>
      <w:r w:rsidRPr="00FD0D08">
        <w:t xml:space="preserve">s assassination; emergence of Octavian; Battle of </w:t>
      </w:r>
      <w:proofErr w:type="spellStart"/>
      <w:r w:rsidRPr="00FD0D08">
        <w:t>Mutina</w:t>
      </w:r>
      <w:proofErr w:type="spellEnd"/>
      <w:r w:rsidRPr="00FD0D08">
        <w:t xml:space="preserve"> and its ramifications</w:t>
      </w:r>
    </w:p>
    <w:p w14:paraId="4E5A05A7" w14:textId="77777777" w:rsidR="001D0E86" w:rsidRPr="00FD0D08" w:rsidRDefault="00B93783" w:rsidP="008F7B45">
      <w:pPr>
        <w:pStyle w:val="SyllabusListParagraph"/>
        <w:numPr>
          <w:ilvl w:val="0"/>
          <w:numId w:val="66"/>
        </w:numPr>
      </w:pPr>
      <w:r w:rsidRPr="00FD0D08">
        <w:rPr>
          <w:rFonts w:cs="Calibri"/>
        </w:rPr>
        <w:t>t</w:t>
      </w:r>
      <w:r w:rsidR="000350CC" w:rsidRPr="00FD0D08">
        <w:rPr>
          <w:rFonts w:cs="Calibri"/>
        </w:rPr>
        <w:t>he formation of the so-called ‘Second Triumvirate’</w:t>
      </w:r>
      <w:r w:rsidR="00FD0D08" w:rsidRPr="00FD0D08">
        <w:rPr>
          <w:rFonts w:cs="Calibri"/>
        </w:rPr>
        <w:t xml:space="preserve"> (Lex Titia); </w:t>
      </w:r>
      <w:r w:rsidR="001D0E86" w:rsidRPr="00FD0D08">
        <w:t xml:space="preserve">proscriptions; Battle of Philippi and distribution of power among triumvirs </w:t>
      </w:r>
    </w:p>
    <w:p w14:paraId="6E97BE2B" w14:textId="49011C14" w:rsidR="001D0E86" w:rsidRPr="00FD0D08" w:rsidRDefault="000350CC" w:rsidP="008F7B45">
      <w:pPr>
        <w:pStyle w:val="SyllabusListParagraph"/>
        <w:numPr>
          <w:ilvl w:val="0"/>
          <w:numId w:val="66"/>
        </w:numPr>
        <w:rPr>
          <w:rFonts w:cs="Calibri"/>
        </w:rPr>
      </w:pPr>
      <w:r w:rsidRPr="00FD0D08">
        <w:rPr>
          <w:rFonts w:cs="Calibri"/>
        </w:rPr>
        <w:t>the tensions and rivalry between Octavian and Mark Antony</w:t>
      </w:r>
      <w:r w:rsidR="001D0E86" w:rsidRPr="00FD0D08">
        <w:rPr>
          <w:rFonts w:cs="Calibri"/>
        </w:rPr>
        <w:t>; Treaty of Brundisium, Octavian in the west (Sextus Pompeius), Tarentu</w:t>
      </w:r>
      <w:r w:rsidR="00A857BE">
        <w:rPr>
          <w:rFonts w:cs="Calibri"/>
        </w:rPr>
        <w:t>m</w:t>
      </w:r>
      <w:r w:rsidR="00011A0F">
        <w:rPr>
          <w:rFonts w:cs="Calibri"/>
        </w:rPr>
        <w:t xml:space="preserve"> and</w:t>
      </w:r>
      <w:r w:rsidR="00A857BE">
        <w:rPr>
          <w:rFonts w:cs="Calibri"/>
        </w:rPr>
        <w:t xml:space="preserve"> </w:t>
      </w:r>
      <w:r w:rsidR="001D0E86" w:rsidRPr="00FD0D08">
        <w:rPr>
          <w:rFonts w:cs="Calibri"/>
        </w:rPr>
        <w:t>Lepidus’ demise</w:t>
      </w:r>
    </w:p>
    <w:p w14:paraId="4E67640B" w14:textId="0A68A088" w:rsidR="001D0E86" w:rsidRPr="00FD0D08" w:rsidRDefault="001D0E86" w:rsidP="008F7B45">
      <w:pPr>
        <w:pStyle w:val="SyllabusListParagraph"/>
        <w:numPr>
          <w:ilvl w:val="0"/>
          <w:numId w:val="66"/>
        </w:numPr>
        <w:rPr>
          <w:rFonts w:cs="Calibri"/>
        </w:rPr>
      </w:pPr>
      <w:r w:rsidRPr="00FD0D08">
        <w:rPr>
          <w:rFonts w:cs="Calibri"/>
        </w:rPr>
        <w:lastRenderedPageBreak/>
        <w:t xml:space="preserve">Antony </w:t>
      </w:r>
      <w:r w:rsidRPr="004271FC">
        <w:rPr>
          <w:rFonts w:cs="Calibri"/>
        </w:rPr>
        <w:t>in the east</w:t>
      </w:r>
      <w:r w:rsidR="004271FC" w:rsidRPr="004271FC">
        <w:rPr>
          <w:rFonts w:cs="Calibri"/>
        </w:rPr>
        <w:t xml:space="preserve"> – </w:t>
      </w:r>
      <w:r w:rsidRPr="004271FC">
        <w:rPr>
          <w:rFonts w:cs="Calibri"/>
        </w:rPr>
        <w:t>role of Cleopatra</w:t>
      </w:r>
      <w:r w:rsidRPr="00FD0D08">
        <w:rPr>
          <w:rFonts w:cs="Calibri"/>
        </w:rPr>
        <w:t>, Parthian campaign, donations of Alexandria, Antony’s divorce from Octavia</w:t>
      </w:r>
    </w:p>
    <w:p w14:paraId="155B1548" w14:textId="04F046F4" w:rsidR="001D0E86" w:rsidRPr="009977AD" w:rsidRDefault="001D0E86" w:rsidP="008F7B45">
      <w:pPr>
        <w:pStyle w:val="SyllabusListParagraph"/>
        <w:numPr>
          <w:ilvl w:val="0"/>
          <w:numId w:val="66"/>
        </w:numPr>
        <w:rPr>
          <w:b/>
        </w:rPr>
      </w:pPr>
      <w:r w:rsidRPr="00FD0D08">
        <w:t>reasons for and the events of the</w:t>
      </w:r>
      <w:r w:rsidRPr="00FF055E">
        <w:rPr>
          <w:bCs/>
        </w:rPr>
        <w:t xml:space="preserve"> </w:t>
      </w:r>
      <w:r w:rsidRPr="00FD0D08">
        <w:t xml:space="preserve">Battle of Actium; outcome and significance of Actium </w:t>
      </w:r>
    </w:p>
    <w:p w14:paraId="624C1F3B" w14:textId="4A9EFD29" w:rsidR="001D0E86" w:rsidRPr="00FD0D08" w:rsidRDefault="001D0E86" w:rsidP="008F7B45">
      <w:pPr>
        <w:pStyle w:val="SyllabusListParagraph"/>
        <w:numPr>
          <w:ilvl w:val="0"/>
          <w:numId w:val="66"/>
        </w:numPr>
      </w:pPr>
      <w:r w:rsidRPr="00FD0D08">
        <w:t>the role of key individuals</w:t>
      </w:r>
      <w:r w:rsidR="00641DBF">
        <w:t>,</w:t>
      </w:r>
      <w:r w:rsidRPr="00FD0D08">
        <w:t xml:space="preserve"> including Antony, Octavian, Cleopatra, Agrippa</w:t>
      </w:r>
      <w:r w:rsidR="00011A0F">
        <w:t xml:space="preserve"> and</w:t>
      </w:r>
      <w:r w:rsidRPr="00FD0D08">
        <w:t xml:space="preserve"> Octavia</w:t>
      </w:r>
    </w:p>
    <w:p w14:paraId="2D478332" w14:textId="6C8DEDC8" w:rsidR="00C874E0" w:rsidRPr="00D05241" w:rsidRDefault="00C874E0" w:rsidP="00752A9F">
      <w:pPr>
        <w:pStyle w:val="Heading4"/>
      </w:pPr>
      <w:r w:rsidRPr="00D05241">
        <w:t>Octavian</w:t>
      </w:r>
      <w:r w:rsidR="00421CCE">
        <w:t>’</w:t>
      </w:r>
      <w:r w:rsidRPr="00D05241">
        <w:t>s constitutional position after Actium</w:t>
      </w:r>
    </w:p>
    <w:p w14:paraId="2B80E663" w14:textId="77777777" w:rsidR="00C874E0" w:rsidRPr="00FD0D08" w:rsidRDefault="00C874E0" w:rsidP="008F7B45">
      <w:pPr>
        <w:pStyle w:val="SyllabusListParagraph"/>
        <w:numPr>
          <w:ilvl w:val="0"/>
          <w:numId w:val="67"/>
        </w:numPr>
      </w:pPr>
      <w:r w:rsidRPr="00FD0D08">
        <w:t>Octavian’s return and the restoration of confidence</w:t>
      </w:r>
    </w:p>
    <w:p w14:paraId="0B1339E9" w14:textId="339C12C4" w:rsidR="00C874E0" w:rsidRPr="00D56E3B" w:rsidRDefault="00C874E0" w:rsidP="008F7B45">
      <w:pPr>
        <w:pStyle w:val="SyllabusListParagraph"/>
        <w:numPr>
          <w:ilvl w:val="0"/>
          <w:numId w:val="67"/>
        </w:numPr>
        <w:rPr>
          <w:strike/>
        </w:rPr>
      </w:pPr>
      <w:r w:rsidRPr="00FD0D08">
        <w:t xml:space="preserve">the steps taken by Octavian to settle the issue </w:t>
      </w:r>
      <w:r w:rsidRPr="00D56E3B">
        <w:t>of hi</w:t>
      </w:r>
      <w:r w:rsidR="00953F74" w:rsidRPr="00D56E3B">
        <w:t xml:space="preserve">s </w:t>
      </w:r>
      <w:r w:rsidRPr="00D56E3B">
        <w:t>con</w:t>
      </w:r>
      <w:r w:rsidR="00943434" w:rsidRPr="00D56E3B">
        <w:t>stitutional position</w:t>
      </w:r>
      <w:r w:rsidR="00943434">
        <w:t xml:space="preserve">, including the </w:t>
      </w:r>
      <w:r w:rsidRPr="00FD0D08">
        <w:t xml:space="preserve">First Settlement of 27 BCE: ‘restoration of the Republic’; the military power of Augustus; </w:t>
      </w:r>
      <w:r w:rsidR="00943434">
        <w:t xml:space="preserve">the </w:t>
      </w:r>
      <w:r w:rsidRPr="00FD0D08">
        <w:t xml:space="preserve">Second Settlement of 23 BCE: </w:t>
      </w:r>
      <w:proofErr w:type="spellStart"/>
      <w:r w:rsidRPr="00FD0D08">
        <w:t>tribunicia</w:t>
      </w:r>
      <w:proofErr w:type="spellEnd"/>
      <w:r w:rsidRPr="00FD0D08">
        <w:t xml:space="preserve"> </w:t>
      </w:r>
      <w:proofErr w:type="spellStart"/>
      <w:r w:rsidRPr="00FD0D08">
        <w:t>potestas</w:t>
      </w:r>
      <w:proofErr w:type="spellEnd"/>
      <w:r w:rsidRPr="00FD0D08">
        <w:t xml:space="preserve">; </w:t>
      </w:r>
      <w:proofErr w:type="spellStart"/>
      <w:r w:rsidRPr="00FD0D08">
        <w:t>maius</w:t>
      </w:r>
      <w:proofErr w:type="spellEnd"/>
      <w:r w:rsidRPr="00FD0D08">
        <w:t xml:space="preserve"> imperium; </w:t>
      </w:r>
      <w:r w:rsidR="00943434">
        <w:t xml:space="preserve">the </w:t>
      </w:r>
      <w:r w:rsidRPr="00FD0D08">
        <w:t>Consolidation of 19</w:t>
      </w:r>
      <w:r w:rsidR="00970F32">
        <w:t>–</w:t>
      </w:r>
      <w:r w:rsidRPr="00FD0D08">
        <w:t xml:space="preserve">18 BCE and further </w:t>
      </w:r>
      <w:r w:rsidRPr="00D56E3B">
        <w:t>refinements</w:t>
      </w:r>
    </w:p>
    <w:p w14:paraId="7BA1603B" w14:textId="0BDCF273" w:rsidR="00C874E0" w:rsidRPr="00360960" w:rsidRDefault="00C874E0" w:rsidP="008F7B45">
      <w:pPr>
        <w:pStyle w:val="SyllabusListParagraph"/>
        <w:numPr>
          <w:ilvl w:val="0"/>
          <w:numId w:val="67"/>
        </w:numPr>
      </w:pPr>
      <w:r w:rsidRPr="00FD0D08">
        <w:t>Augustus</w:t>
      </w:r>
      <w:r w:rsidR="00421CCE">
        <w:t>’</w:t>
      </w:r>
      <w:r w:rsidRPr="00FD0D08">
        <w:t xml:space="preserve"> constitutional position as </w:t>
      </w:r>
      <w:r w:rsidRPr="00360960">
        <w:t xml:space="preserve">princeps, his honours and titles; Augustus’ account of his constitutional position in the Res Gestae </w:t>
      </w:r>
    </w:p>
    <w:p w14:paraId="78F5A74C" w14:textId="77777777" w:rsidR="00FD0D08" w:rsidRPr="004D64E3" w:rsidRDefault="00FD0D08">
      <w:pPr>
        <w:rPr>
          <w:rFonts w:eastAsiaTheme="majorEastAsia" w:cs="Calibri"/>
        </w:rPr>
      </w:pPr>
      <w:bookmarkStart w:id="35" w:name="_Toc32578509"/>
      <w:bookmarkStart w:id="36" w:name="_Toc80088661"/>
      <w:bookmarkStart w:id="37" w:name="_Toc359506624"/>
      <w:bookmarkStart w:id="38" w:name="_Toc359503808"/>
      <w:r w:rsidRPr="00360960">
        <w:rPr>
          <w:rFonts w:asciiTheme="minorHAnsi" w:hAnsiTheme="minorHAnsi" w:cstheme="minorHAnsi"/>
        </w:rPr>
        <w:br w:type="page"/>
      </w:r>
    </w:p>
    <w:p w14:paraId="03201629" w14:textId="77777777" w:rsidR="00487C4C" w:rsidRPr="00FD0D08" w:rsidRDefault="00487C4C" w:rsidP="00120451">
      <w:pPr>
        <w:pStyle w:val="SyllabusHeading1"/>
      </w:pPr>
      <w:bookmarkStart w:id="39" w:name="_Toc140666021"/>
      <w:r w:rsidRPr="00FD0D08">
        <w:lastRenderedPageBreak/>
        <w:t>Assessment</w:t>
      </w:r>
      <w:bookmarkEnd w:id="35"/>
      <w:bookmarkEnd w:id="36"/>
      <w:bookmarkEnd w:id="39"/>
    </w:p>
    <w:p w14:paraId="00FEC6A4" w14:textId="77777777" w:rsidR="00487C4C" w:rsidRPr="00FD0D08" w:rsidRDefault="00487C4C" w:rsidP="009977AD">
      <w:pPr>
        <w:rPr>
          <w:rFonts w:eastAsia="Times New Roman"/>
        </w:rPr>
      </w:pPr>
      <w:r w:rsidRPr="00FD0D08">
        <w:rPr>
          <w:rFonts w:eastAsia="Times New Roman"/>
        </w:rPr>
        <w:t>Assessment is an integral part of teaching and learning that at the senior secondary years:</w:t>
      </w:r>
    </w:p>
    <w:p w14:paraId="49172758" w14:textId="77777777" w:rsidR="00487C4C" w:rsidRPr="00FD0D08" w:rsidRDefault="00487C4C" w:rsidP="008F7B45">
      <w:pPr>
        <w:pStyle w:val="SyllabusListParagraph"/>
        <w:numPr>
          <w:ilvl w:val="0"/>
          <w:numId w:val="68"/>
        </w:numPr>
      </w:pPr>
      <w:r w:rsidRPr="00FD0D08">
        <w:t>provides evidence of student achievement</w:t>
      </w:r>
    </w:p>
    <w:p w14:paraId="184D3A6D" w14:textId="77777777" w:rsidR="00487C4C" w:rsidRPr="00FD0D08" w:rsidRDefault="00487C4C" w:rsidP="008F7B45">
      <w:pPr>
        <w:pStyle w:val="SyllabusListParagraph"/>
        <w:numPr>
          <w:ilvl w:val="0"/>
          <w:numId w:val="68"/>
        </w:numPr>
      </w:pPr>
      <w:r w:rsidRPr="00FD0D08">
        <w:t>identifies opportunities for further learning</w:t>
      </w:r>
    </w:p>
    <w:p w14:paraId="65C717B3" w14:textId="77777777" w:rsidR="00487C4C" w:rsidRPr="00FD0D08" w:rsidRDefault="00487C4C" w:rsidP="008F7B45">
      <w:pPr>
        <w:pStyle w:val="SyllabusListParagraph"/>
        <w:numPr>
          <w:ilvl w:val="0"/>
          <w:numId w:val="68"/>
        </w:numPr>
      </w:pPr>
      <w:r w:rsidRPr="00FD0D08">
        <w:t>connects to the standards described for the course</w:t>
      </w:r>
    </w:p>
    <w:p w14:paraId="21E51F65" w14:textId="77777777" w:rsidR="00487C4C" w:rsidRPr="00FD0D08" w:rsidRDefault="00487C4C" w:rsidP="008F7B45">
      <w:pPr>
        <w:pStyle w:val="SyllabusListParagraph"/>
        <w:numPr>
          <w:ilvl w:val="0"/>
          <w:numId w:val="68"/>
        </w:numPr>
      </w:pPr>
      <w:r w:rsidRPr="00FD0D08">
        <w:t>contributes to the recognition of student achievement.</w:t>
      </w:r>
    </w:p>
    <w:p w14:paraId="6DF238B6" w14:textId="77777777" w:rsidR="00487C4C" w:rsidRPr="00FD0D08" w:rsidRDefault="00487C4C" w:rsidP="009977AD">
      <w:r w:rsidRPr="00FD0D08">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007681DA" w14:textId="77777777" w:rsidR="00487C4C" w:rsidRPr="00FD0D08" w:rsidRDefault="00487C4C" w:rsidP="009977AD">
      <w:r w:rsidRPr="00FD0D08">
        <w:rPr>
          <w:shd w:val="clear" w:color="auto" w:fill="FEFEFE"/>
        </w:rPr>
        <w:t xml:space="preserve">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 </w:t>
      </w:r>
    </w:p>
    <w:p w14:paraId="5D6032AE" w14:textId="7FE0C42E" w:rsidR="00487C4C" w:rsidRPr="00FD0D08" w:rsidRDefault="00487C4C" w:rsidP="009977AD">
      <w:r w:rsidRPr="00FD0D08">
        <w:rPr>
          <w:shd w:val="clear" w:color="auto" w:fill="FEFEFE"/>
        </w:rPr>
        <w:t>Summative assessment involves assessment procedures that aim to determine students’ learning at a particular time</w:t>
      </w:r>
      <w:r w:rsidR="00233A50">
        <w:rPr>
          <w:shd w:val="clear" w:color="auto" w:fill="FEFEFE"/>
        </w:rPr>
        <w:t>;</w:t>
      </w:r>
      <w:r w:rsidRPr="00FD0D08">
        <w:rPr>
          <w:shd w:val="clear" w:color="auto" w:fill="FEFEFE"/>
        </w:rPr>
        <w:t xml:space="preserve"> for example when reporting against the standards, after completion of a unit/s. </w:t>
      </w:r>
      <w:r w:rsidRPr="00FD0D08">
        <w:rPr>
          <w:rFonts w:eastAsia="Times New Roman"/>
        </w:rPr>
        <w:t>These assessments should be limited in number and made clear to students through the assessment outline.</w:t>
      </w:r>
    </w:p>
    <w:p w14:paraId="4E8516AD" w14:textId="77777777" w:rsidR="00487C4C" w:rsidRPr="00FD0D08" w:rsidRDefault="00487C4C" w:rsidP="009977AD">
      <w:pPr>
        <w:rPr>
          <w:rFonts w:eastAsia="Times New Roman"/>
        </w:rPr>
      </w:pPr>
      <w:r w:rsidRPr="00FD0D08">
        <w:rPr>
          <w:rFonts w:eastAsia="Times New Roman"/>
        </w:rPr>
        <w:t>Appropriate assessment of student work in this course is underpinned by reference to the set of pre</w:t>
      </w:r>
      <w:r w:rsidRPr="00FD0D08">
        <w:rPr>
          <w:rFonts w:eastAsia="Times New Roman"/>
        </w:rPr>
        <w:noBreakHyphen/>
        <w:t>determined course standards. These standards describe the level of achievement required to achieve each grade, from A to E. Teachers use these standards to determine how well a student has demonstrated their learning.</w:t>
      </w:r>
    </w:p>
    <w:p w14:paraId="62C3CB81" w14:textId="77777777" w:rsidR="00487C4C" w:rsidRPr="00FD0D08" w:rsidRDefault="00487C4C" w:rsidP="009977AD">
      <w:r w:rsidRPr="00FD0D08">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0C62F9D8" w14:textId="77777777" w:rsidR="00487C4C" w:rsidRPr="00FD0D08" w:rsidRDefault="00487C4C" w:rsidP="009977AD">
      <w:r w:rsidRPr="00FD0D08">
        <w:rPr>
          <w:lang w:val="en-US"/>
        </w:rPr>
        <w:t>Assessment should not generate workload and/or stress that</w:t>
      </w:r>
      <w:r w:rsidRPr="00FD0D08">
        <w:t>, under fair and reasonable circumstances, would unduly diminish the performance of students.</w:t>
      </w:r>
    </w:p>
    <w:p w14:paraId="05064F81" w14:textId="77777777" w:rsidR="00F26315" w:rsidRDefault="00F26315">
      <w:pPr>
        <w:rPr>
          <w:rFonts w:eastAsiaTheme="majorEastAsia" w:cstheme="majorBidi"/>
          <w:b/>
          <w:bCs/>
          <w:color w:val="585858"/>
          <w:sz w:val="32"/>
          <w:szCs w:val="26"/>
        </w:rPr>
      </w:pPr>
      <w:bookmarkStart w:id="40" w:name="_Toc32568998"/>
      <w:bookmarkStart w:id="41" w:name="_Toc32571334"/>
      <w:bookmarkStart w:id="42" w:name="_Toc32571378"/>
      <w:bookmarkStart w:id="43" w:name="_Toc32578510"/>
      <w:bookmarkStart w:id="44" w:name="_Toc80088662"/>
      <w:bookmarkStart w:id="45" w:name="_Toc140666022"/>
      <w:r>
        <w:br w:type="page"/>
      </w:r>
    </w:p>
    <w:p w14:paraId="4C178F1C" w14:textId="7242BAD4" w:rsidR="00487C4C" w:rsidRPr="00FD0D08" w:rsidRDefault="00487C4C" w:rsidP="00120451">
      <w:pPr>
        <w:pStyle w:val="SyllabusHeading2"/>
      </w:pPr>
      <w:r w:rsidRPr="00FD0D08">
        <w:lastRenderedPageBreak/>
        <w:t>School-based assessment</w:t>
      </w:r>
      <w:bookmarkEnd w:id="40"/>
      <w:bookmarkEnd w:id="41"/>
      <w:bookmarkEnd w:id="42"/>
      <w:bookmarkEnd w:id="43"/>
      <w:bookmarkEnd w:id="44"/>
      <w:bookmarkEnd w:id="45"/>
    </w:p>
    <w:p w14:paraId="3EDA157D" w14:textId="77777777" w:rsidR="00487C4C" w:rsidRPr="00FD0D08" w:rsidRDefault="00487C4C" w:rsidP="00487C4C">
      <w:pPr>
        <w:spacing w:before="120"/>
        <w:rPr>
          <w:rFonts w:cstheme="minorHAnsi"/>
        </w:rPr>
      </w:pPr>
      <w:r w:rsidRPr="00FD0D08">
        <w:rPr>
          <w:rFonts w:cstheme="minorHAnsi"/>
        </w:rPr>
        <w:t xml:space="preserve">The </w:t>
      </w:r>
      <w:r w:rsidRPr="00FD0D08">
        <w:rPr>
          <w:rFonts w:cstheme="minorHAnsi"/>
          <w:i/>
        </w:rPr>
        <w:t>Western Australian Certificate of Education (WACE) Manual</w:t>
      </w:r>
      <w:r w:rsidRPr="00FD0D08">
        <w:rPr>
          <w:rFonts w:cstheme="minorHAnsi"/>
        </w:rPr>
        <w:t xml:space="preserve"> contains essential information on principles, policies and procedures for school-based assessment that must be read in conjunction with this syllabus.</w:t>
      </w:r>
    </w:p>
    <w:p w14:paraId="4F7740F7" w14:textId="77777777" w:rsidR="00487C4C" w:rsidRPr="00FD0D08" w:rsidRDefault="00487C4C" w:rsidP="00487C4C">
      <w:pPr>
        <w:rPr>
          <w:rFonts w:cstheme="minorHAnsi"/>
        </w:rPr>
      </w:pPr>
      <w:r w:rsidRPr="00FD0D08">
        <w:rPr>
          <w:rFonts w:cstheme="minorHAnsi"/>
        </w:rPr>
        <w:t>School-based assessment involves teachers gathering, describing and quantifying information about student achievement.</w:t>
      </w:r>
    </w:p>
    <w:p w14:paraId="2D04146E" w14:textId="77777777" w:rsidR="00487C4C" w:rsidRPr="00FD0D08" w:rsidRDefault="00487C4C" w:rsidP="00487C4C">
      <w:pPr>
        <w:spacing w:before="120"/>
        <w:rPr>
          <w:rFonts w:cstheme="minorHAnsi"/>
        </w:rPr>
      </w:pPr>
      <w:r w:rsidRPr="00FD0D08">
        <w:rPr>
          <w:rFonts w:cstheme="minorHAnsi"/>
        </w:rPr>
        <w:t xml:space="preserve">Teachers design school-based assessment tasks to meet the needs of students. As outlined in the </w:t>
      </w:r>
      <w:r w:rsidRPr="00FD0D08">
        <w:rPr>
          <w:rFonts w:cstheme="minorHAnsi"/>
          <w:i/>
        </w:rPr>
        <w:t>WACE Manual</w:t>
      </w:r>
      <w:r w:rsidRPr="00FD0D08">
        <w:rPr>
          <w:rFonts w:cstheme="minorHAnsi"/>
        </w:rPr>
        <w:t>, school-based assessment of student achievement in this course must be based on the Principles of Assessment:</w:t>
      </w:r>
    </w:p>
    <w:p w14:paraId="10908B7E" w14:textId="77777777" w:rsidR="00487C4C" w:rsidRPr="00FD0D08" w:rsidRDefault="00487C4C" w:rsidP="008F7B45">
      <w:pPr>
        <w:pStyle w:val="SyllabusListParagraph"/>
        <w:numPr>
          <w:ilvl w:val="0"/>
          <w:numId w:val="69"/>
        </w:numPr>
      </w:pPr>
      <w:r w:rsidRPr="00FD0D08">
        <w:t>Assessment is an integral part of teaching and learning</w:t>
      </w:r>
    </w:p>
    <w:p w14:paraId="144417D9" w14:textId="77777777" w:rsidR="00487C4C" w:rsidRPr="00FD0D08" w:rsidRDefault="00487C4C" w:rsidP="008F7B45">
      <w:pPr>
        <w:pStyle w:val="SyllabusListParagraph"/>
        <w:numPr>
          <w:ilvl w:val="0"/>
          <w:numId w:val="69"/>
        </w:numPr>
      </w:pPr>
      <w:r w:rsidRPr="00FD0D08">
        <w:t>Assessment should be educative</w:t>
      </w:r>
    </w:p>
    <w:p w14:paraId="1353A6B8" w14:textId="77777777" w:rsidR="00487C4C" w:rsidRPr="00FD0D08" w:rsidRDefault="00487C4C" w:rsidP="008F7B45">
      <w:pPr>
        <w:pStyle w:val="SyllabusListParagraph"/>
        <w:numPr>
          <w:ilvl w:val="0"/>
          <w:numId w:val="69"/>
        </w:numPr>
      </w:pPr>
      <w:r w:rsidRPr="00FD0D08">
        <w:t>Assessment should be fair</w:t>
      </w:r>
    </w:p>
    <w:p w14:paraId="0B2F8DE1" w14:textId="77777777" w:rsidR="00487C4C" w:rsidRPr="00FD0D08" w:rsidRDefault="00487C4C" w:rsidP="008F7B45">
      <w:pPr>
        <w:pStyle w:val="SyllabusListParagraph"/>
        <w:numPr>
          <w:ilvl w:val="0"/>
          <w:numId w:val="69"/>
        </w:numPr>
      </w:pPr>
      <w:r w:rsidRPr="00FD0D08">
        <w:t>Assessment should be designed to meet its specific purpose/s</w:t>
      </w:r>
    </w:p>
    <w:p w14:paraId="3A62AA95" w14:textId="77777777" w:rsidR="00487C4C" w:rsidRPr="00FD0D08" w:rsidRDefault="00487C4C" w:rsidP="008F7B45">
      <w:pPr>
        <w:pStyle w:val="SyllabusListParagraph"/>
        <w:numPr>
          <w:ilvl w:val="0"/>
          <w:numId w:val="69"/>
        </w:numPr>
      </w:pPr>
      <w:r w:rsidRPr="00FD0D08">
        <w:t>Assessment should lead to informative reporting</w:t>
      </w:r>
    </w:p>
    <w:p w14:paraId="7636F8A8" w14:textId="77777777" w:rsidR="00487C4C" w:rsidRPr="00FD0D08" w:rsidRDefault="00487C4C" w:rsidP="008F7B45">
      <w:pPr>
        <w:pStyle w:val="SyllabusListParagraph"/>
        <w:numPr>
          <w:ilvl w:val="0"/>
          <w:numId w:val="69"/>
        </w:numPr>
      </w:pPr>
      <w:r w:rsidRPr="00FD0D08">
        <w:t>Assessment should lead to school-wide evaluation processes</w:t>
      </w:r>
    </w:p>
    <w:p w14:paraId="35EE3FC4" w14:textId="77777777" w:rsidR="00487C4C" w:rsidRPr="00FD0D08" w:rsidRDefault="00487C4C" w:rsidP="008F7B45">
      <w:pPr>
        <w:pStyle w:val="SyllabusListParagraph"/>
        <w:numPr>
          <w:ilvl w:val="0"/>
          <w:numId w:val="69"/>
        </w:numPr>
      </w:pPr>
      <w:r w:rsidRPr="00FD0D08">
        <w:t>Assessment should provide significant data for improvement of teaching practices.</w:t>
      </w:r>
    </w:p>
    <w:p w14:paraId="10110A10" w14:textId="77777777" w:rsidR="00487C4C" w:rsidRPr="00FD0D08" w:rsidRDefault="00487C4C" w:rsidP="009977AD">
      <w:r w:rsidRPr="00FD0D08">
        <w:t>The table below provides details of the assessment types and their weighting for the Ancient History ATAR Year 12 syllabus.</w:t>
      </w:r>
    </w:p>
    <w:p w14:paraId="78BBC2B4" w14:textId="77777777" w:rsidR="00487C4C" w:rsidRPr="00FD0D08" w:rsidRDefault="00487C4C" w:rsidP="00487C4C">
      <w:pPr>
        <w:rPr>
          <w:rFonts w:cstheme="minorHAnsi"/>
        </w:rPr>
      </w:pPr>
      <w:r w:rsidRPr="00FD0D08">
        <w:rPr>
          <w:rFonts w:cstheme="minorHAnsi"/>
        </w:rPr>
        <w:t>Summative assessments in this course must:</w:t>
      </w:r>
    </w:p>
    <w:p w14:paraId="56296AC0" w14:textId="77777777" w:rsidR="00487C4C" w:rsidRPr="00FD0D08" w:rsidRDefault="00487C4C" w:rsidP="008F7B45">
      <w:pPr>
        <w:pStyle w:val="SyllabusListParagraph"/>
        <w:numPr>
          <w:ilvl w:val="0"/>
          <w:numId w:val="70"/>
        </w:numPr>
      </w:pPr>
      <w:r w:rsidRPr="00FD0D08">
        <w:t>be limited in number to no more than eight tasks</w:t>
      </w:r>
    </w:p>
    <w:p w14:paraId="0DF12F3B" w14:textId="210C40ED" w:rsidR="00487C4C" w:rsidRPr="00FD0D08" w:rsidRDefault="00487C4C" w:rsidP="008F7B45">
      <w:pPr>
        <w:pStyle w:val="SyllabusListParagraph"/>
        <w:numPr>
          <w:ilvl w:val="0"/>
          <w:numId w:val="70"/>
        </w:numPr>
      </w:pPr>
      <w:r w:rsidRPr="00FD0D08">
        <w:t xml:space="preserve">allow for the assessment of each assessment type at least once for </w:t>
      </w:r>
      <w:r w:rsidR="00F26315">
        <w:t>over the year/pair of units</w:t>
      </w:r>
    </w:p>
    <w:p w14:paraId="78AD97FD" w14:textId="77777777" w:rsidR="00487C4C" w:rsidRPr="00FD0D08" w:rsidRDefault="00487C4C" w:rsidP="008F7B45">
      <w:pPr>
        <w:pStyle w:val="SyllabusListParagraph"/>
        <w:numPr>
          <w:ilvl w:val="0"/>
          <w:numId w:val="70"/>
        </w:numPr>
      </w:pPr>
      <w:r w:rsidRPr="00FD0D08">
        <w:t>have a minimum value of 5 per cent of the total school assessment mark</w:t>
      </w:r>
    </w:p>
    <w:p w14:paraId="36ACAF89" w14:textId="77777777" w:rsidR="00487C4C" w:rsidRPr="00FD0D08" w:rsidRDefault="00487C4C" w:rsidP="008F7B45">
      <w:pPr>
        <w:pStyle w:val="SyllabusListParagraph"/>
        <w:numPr>
          <w:ilvl w:val="0"/>
          <w:numId w:val="70"/>
        </w:numPr>
      </w:pPr>
      <w:r w:rsidRPr="00FD0D08">
        <w:t>provide a representative sampling of the syllabus content.</w:t>
      </w:r>
    </w:p>
    <w:p w14:paraId="19D6E088" w14:textId="77777777" w:rsidR="00487C4C" w:rsidRPr="00FD0D08" w:rsidRDefault="00487C4C" w:rsidP="009977AD">
      <w:r w:rsidRPr="00FD0D08">
        <w:rPr>
          <w:rFonts w:eastAsia="Times New Roman"/>
        </w:rPr>
        <w:t>Assessment tasks not administered under test or controlled conditions require appropriate authentication processes.</w:t>
      </w:r>
    </w:p>
    <w:p w14:paraId="235CCD12" w14:textId="77777777" w:rsidR="009227B7" w:rsidRDefault="009227B7">
      <w:pPr>
        <w:rPr>
          <w:b/>
          <w:bCs/>
          <w:color w:val="595959" w:themeColor="text1" w:themeTint="A6"/>
          <w:sz w:val="28"/>
          <w:szCs w:val="28"/>
        </w:rPr>
      </w:pPr>
      <w:bookmarkStart w:id="46" w:name="_Toc359505483"/>
      <w:bookmarkStart w:id="47" w:name="_Toc359503791"/>
      <w:r>
        <w:br w:type="page"/>
      </w:r>
    </w:p>
    <w:p w14:paraId="0E7122BE" w14:textId="42B48B9D" w:rsidR="000C2E91" w:rsidRPr="001A27E9" w:rsidRDefault="000C2E91" w:rsidP="00120451">
      <w:pPr>
        <w:pStyle w:val="SyllabusHeading3"/>
      </w:pPr>
      <w:r w:rsidRPr="001A27E9">
        <w:lastRenderedPageBreak/>
        <w:t>Assessment table</w:t>
      </w:r>
      <w:bookmarkEnd w:id="46"/>
      <w:bookmarkEnd w:id="47"/>
      <w:r w:rsidR="008C4A51" w:rsidRPr="001A27E9">
        <w:t xml:space="preserve"> </w:t>
      </w:r>
      <w:r w:rsidR="002C54CE" w:rsidRPr="001A27E9">
        <w:t>–</w:t>
      </w:r>
      <w:r w:rsidR="008C4A51" w:rsidRPr="001A27E9">
        <w:t xml:space="preserve"> </w:t>
      </w:r>
      <w:r w:rsidR="009D48B2" w:rsidRPr="001A27E9">
        <w:t>Year 12</w:t>
      </w:r>
    </w:p>
    <w:tbl>
      <w:tblPr>
        <w:tblStyle w:val="LightList-Accent4"/>
        <w:tblW w:w="5000" w:type="pct"/>
        <w:tblLook w:val="00A0" w:firstRow="1" w:lastRow="0" w:firstColumn="1" w:lastColumn="0" w:noHBand="0" w:noVBand="0"/>
      </w:tblPr>
      <w:tblGrid>
        <w:gridCol w:w="7649"/>
        <w:gridCol w:w="1401"/>
      </w:tblGrid>
      <w:tr w:rsidR="000C2E91" w:rsidRPr="00583AAB" w14:paraId="5957EF79" w14:textId="77777777" w:rsidTr="009977A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226" w:type="pct"/>
            <w:tcBorders>
              <w:top w:val="single" w:sz="8" w:space="0" w:color="9688BE" w:themeColor="accent4"/>
              <w:left w:val="single" w:sz="8" w:space="0" w:color="9688BE" w:themeColor="accent4"/>
              <w:bottom w:val="single" w:sz="8" w:space="0" w:color="9688BE" w:themeColor="accent4"/>
              <w:right w:val="single" w:sz="8" w:space="0" w:color="FFFFFF" w:themeColor="background1"/>
            </w:tcBorders>
            <w:shd w:val="clear" w:color="auto" w:fill="9A83B5"/>
            <w:hideMark/>
          </w:tcPr>
          <w:p w14:paraId="254E9423" w14:textId="77777777" w:rsidR="000C2E91" w:rsidRPr="00583AAB" w:rsidRDefault="000C2E91" w:rsidP="004A50F7">
            <w:pPr>
              <w:spacing w:after="0" w:line="276" w:lineRule="auto"/>
              <w:rPr>
                <w:rFonts w:ascii="Calibri" w:hAnsi="Calibri" w:cs="Calibri"/>
              </w:rPr>
            </w:pPr>
            <w:r w:rsidRPr="00583AAB">
              <w:rPr>
                <w:rFonts w:ascii="Calibri" w:hAnsi="Calibri" w:cs="Calibri"/>
              </w:rPr>
              <w:t>Type of assessment</w:t>
            </w:r>
          </w:p>
        </w:tc>
        <w:tc>
          <w:tcPr>
            <w:cnfStyle w:val="000010000000" w:firstRow="0" w:lastRow="0" w:firstColumn="0" w:lastColumn="0" w:oddVBand="1" w:evenVBand="0" w:oddHBand="0" w:evenHBand="0" w:firstRowFirstColumn="0" w:firstRowLastColumn="0" w:lastRowFirstColumn="0" w:lastRowLastColumn="0"/>
            <w:tcW w:w="774" w:type="pct"/>
            <w:tcBorders>
              <w:left w:val="single" w:sz="8" w:space="0" w:color="FFFFFF" w:themeColor="background1"/>
              <w:bottom w:val="single" w:sz="8" w:space="0" w:color="9688BE" w:themeColor="accent4"/>
            </w:tcBorders>
            <w:shd w:val="clear" w:color="auto" w:fill="9A83B5"/>
            <w:hideMark/>
          </w:tcPr>
          <w:p w14:paraId="5295D6A2" w14:textId="77777777" w:rsidR="000C2E91" w:rsidRPr="00583AAB" w:rsidRDefault="000C2E91" w:rsidP="004A50F7">
            <w:pPr>
              <w:spacing w:after="0" w:line="276" w:lineRule="auto"/>
              <w:jc w:val="center"/>
              <w:rPr>
                <w:rFonts w:ascii="Calibri" w:hAnsi="Calibri" w:cs="Calibri"/>
              </w:rPr>
            </w:pPr>
            <w:r w:rsidRPr="00583AAB">
              <w:rPr>
                <w:rFonts w:ascii="Calibri" w:hAnsi="Calibri" w:cs="Calibri"/>
              </w:rPr>
              <w:t>Weighting</w:t>
            </w:r>
          </w:p>
        </w:tc>
      </w:tr>
      <w:tr w:rsidR="000C2E91" w:rsidRPr="00583AAB" w14:paraId="3A779A13" w14:textId="77777777" w:rsidTr="0067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6" w:type="pct"/>
            <w:tcBorders>
              <w:right w:val="nil"/>
            </w:tcBorders>
            <w:hideMark/>
          </w:tcPr>
          <w:p w14:paraId="1D8AE102" w14:textId="77777777" w:rsidR="000B5428" w:rsidRPr="00583AAB" w:rsidRDefault="000B5428" w:rsidP="004A50F7">
            <w:pPr>
              <w:spacing w:after="80" w:line="276" w:lineRule="auto"/>
              <w:jc w:val="left"/>
              <w:rPr>
                <w:rFonts w:ascii="Calibri" w:hAnsi="Calibri" w:cs="Calibri"/>
                <w:sz w:val="20"/>
                <w:szCs w:val="20"/>
              </w:rPr>
            </w:pPr>
            <w:r w:rsidRPr="00583AAB">
              <w:rPr>
                <w:rFonts w:ascii="Calibri" w:hAnsi="Calibri" w:cs="Calibri"/>
                <w:sz w:val="20"/>
                <w:szCs w:val="20"/>
              </w:rPr>
              <w:t>Historical inquiry</w:t>
            </w:r>
          </w:p>
          <w:p w14:paraId="150B804D" w14:textId="773B7BF6" w:rsidR="00583AAB" w:rsidRPr="0009031B" w:rsidRDefault="000B5428" w:rsidP="00752A9F">
            <w:pPr>
              <w:spacing w:after="120" w:line="276" w:lineRule="auto"/>
              <w:jc w:val="left"/>
              <w:rPr>
                <w:rFonts w:ascii="Calibri" w:hAnsi="Calibri" w:cs="Calibri"/>
                <w:strike/>
                <w:sz w:val="20"/>
                <w:szCs w:val="20"/>
              </w:rPr>
            </w:pPr>
            <w:r w:rsidRPr="00583AAB">
              <w:rPr>
                <w:rFonts w:ascii="Calibri" w:hAnsi="Calibri" w:cs="Calibri"/>
                <w:b w:val="0"/>
                <w:bCs w:val="0"/>
                <w:sz w:val="20"/>
                <w:szCs w:val="20"/>
              </w:rPr>
              <w:t xml:space="preserve">Students use the </w:t>
            </w:r>
            <w:r w:rsidRPr="0009031B">
              <w:rPr>
                <w:rFonts w:ascii="Calibri" w:hAnsi="Calibri" w:cs="Calibri"/>
                <w:b w:val="0"/>
                <w:bCs w:val="0"/>
                <w:sz w:val="20"/>
                <w:szCs w:val="20"/>
              </w:rPr>
              <w:t xml:space="preserve">relevant historical skills to plan, conduct and communicate an inquiry related to the elective they are studying. </w:t>
            </w:r>
          </w:p>
          <w:p w14:paraId="7FE9DD03" w14:textId="5062FC30" w:rsidR="00583AAB" w:rsidRDefault="00C40C49" w:rsidP="00752A9F">
            <w:pPr>
              <w:spacing w:after="120" w:line="276" w:lineRule="auto"/>
              <w:jc w:val="left"/>
              <w:rPr>
                <w:rFonts w:ascii="Calibri" w:hAnsi="Calibri" w:cs="Calibri"/>
                <w:sz w:val="20"/>
                <w:szCs w:val="20"/>
              </w:rPr>
            </w:pPr>
            <w:r w:rsidRPr="0009031B">
              <w:rPr>
                <w:rFonts w:ascii="Calibri" w:hAnsi="Calibri" w:cs="Calibri"/>
                <w:b w:val="0"/>
                <w:bCs w:val="0"/>
                <w:sz w:val="20"/>
                <w:szCs w:val="20"/>
              </w:rPr>
              <w:t xml:space="preserve">Inquiry formats </w:t>
            </w:r>
            <w:r w:rsidR="000B5428" w:rsidRPr="0009031B">
              <w:rPr>
                <w:rFonts w:ascii="Calibri" w:hAnsi="Calibri" w:cs="Calibri"/>
                <w:b w:val="0"/>
                <w:bCs w:val="0"/>
                <w:sz w:val="20"/>
                <w:szCs w:val="20"/>
              </w:rPr>
              <w:t>c</w:t>
            </w:r>
            <w:r w:rsidR="00A9097E" w:rsidRPr="0009031B">
              <w:rPr>
                <w:rFonts w:ascii="Calibri" w:hAnsi="Calibri" w:cs="Calibri"/>
                <w:b w:val="0"/>
                <w:bCs w:val="0"/>
                <w:sz w:val="20"/>
                <w:szCs w:val="20"/>
              </w:rPr>
              <w:t>an</w:t>
            </w:r>
            <w:r w:rsidR="000B5428" w:rsidRPr="0009031B">
              <w:rPr>
                <w:rFonts w:ascii="Calibri" w:hAnsi="Calibri" w:cs="Calibri"/>
                <w:b w:val="0"/>
                <w:bCs w:val="0"/>
                <w:sz w:val="20"/>
                <w:szCs w:val="20"/>
              </w:rPr>
              <w:t xml:space="preserve"> </w:t>
            </w:r>
            <w:r w:rsidRPr="0009031B">
              <w:rPr>
                <w:rFonts w:ascii="Calibri" w:hAnsi="Calibri" w:cs="Calibri"/>
                <w:b w:val="0"/>
                <w:bCs w:val="0"/>
                <w:sz w:val="20"/>
                <w:szCs w:val="20"/>
              </w:rPr>
              <w:t>include</w:t>
            </w:r>
            <w:r w:rsidR="000B5428" w:rsidRPr="0009031B">
              <w:rPr>
                <w:rFonts w:ascii="Calibri" w:hAnsi="Calibri" w:cs="Calibri"/>
                <w:b w:val="0"/>
                <w:bCs w:val="0"/>
                <w:sz w:val="20"/>
                <w:szCs w:val="20"/>
              </w:rPr>
              <w:t xml:space="preserve"> </w:t>
            </w:r>
            <w:r w:rsidRPr="0009031B">
              <w:rPr>
                <w:rFonts w:ascii="Calibri" w:hAnsi="Calibri" w:cs="Calibri"/>
                <w:b w:val="0"/>
                <w:bCs w:val="0"/>
                <w:sz w:val="20"/>
                <w:szCs w:val="20"/>
              </w:rPr>
              <w:t>research notes; graphic organisers;</w:t>
            </w:r>
            <w:r w:rsidR="000B5428" w:rsidRPr="0009031B">
              <w:rPr>
                <w:rFonts w:ascii="Calibri" w:hAnsi="Calibri" w:cs="Calibri"/>
                <w:b w:val="0"/>
                <w:bCs w:val="0"/>
                <w:sz w:val="20"/>
                <w:szCs w:val="20"/>
              </w:rPr>
              <w:t xml:space="preserve"> written report; short answers; an analysis of the sources used in the inquiry; an or</w:t>
            </w:r>
            <w:r w:rsidR="00DC1E20" w:rsidRPr="0009031B">
              <w:rPr>
                <w:rFonts w:ascii="Calibri" w:hAnsi="Calibri" w:cs="Calibri"/>
                <w:b w:val="0"/>
                <w:bCs w:val="0"/>
                <w:sz w:val="20"/>
                <w:szCs w:val="20"/>
              </w:rPr>
              <w:t xml:space="preserve">al presentation; </w:t>
            </w:r>
            <w:r w:rsidR="00DC1E20" w:rsidRPr="00583AAB">
              <w:rPr>
                <w:rFonts w:ascii="Calibri" w:hAnsi="Calibri" w:cs="Calibri"/>
                <w:b w:val="0"/>
                <w:bCs w:val="0"/>
                <w:sz w:val="20"/>
                <w:szCs w:val="20"/>
              </w:rPr>
              <w:t>and/or a multi</w:t>
            </w:r>
            <w:r w:rsidR="000B5428" w:rsidRPr="00583AAB">
              <w:rPr>
                <w:rFonts w:ascii="Calibri" w:hAnsi="Calibri" w:cs="Calibri"/>
                <w:b w:val="0"/>
                <w:bCs w:val="0"/>
                <w:sz w:val="20"/>
                <w:szCs w:val="20"/>
              </w:rPr>
              <w:t>modal presentation.</w:t>
            </w:r>
          </w:p>
          <w:p w14:paraId="73E6BA5A" w14:textId="6B4C5A94" w:rsidR="00A70D7C" w:rsidRPr="00583AAB" w:rsidRDefault="00CF18B9" w:rsidP="004A50F7">
            <w:pPr>
              <w:spacing w:after="80" w:line="276" w:lineRule="auto"/>
              <w:jc w:val="left"/>
              <w:rPr>
                <w:rFonts w:ascii="Calibri" w:hAnsi="Calibri" w:cs="Calibri"/>
                <w:b w:val="0"/>
                <w:bCs w:val="0"/>
                <w:sz w:val="20"/>
                <w:szCs w:val="20"/>
              </w:rPr>
            </w:pPr>
            <w:r w:rsidRPr="00583AAB">
              <w:rPr>
                <w:rFonts w:ascii="Calibri" w:hAnsi="Calibri" w:cs="Calibri"/>
                <w:b w:val="0"/>
                <w:bCs w:val="0"/>
                <w:sz w:val="20"/>
                <w:szCs w:val="20"/>
              </w:rPr>
              <w:t xml:space="preserve">The </w:t>
            </w:r>
            <w:r w:rsidR="009429E1">
              <w:rPr>
                <w:rFonts w:ascii="Calibri" w:hAnsi="Calibri" w:cs="Calibri"/>
                <w:b w:val="0"/>
                <w:bCs w:val="0"/>
                <w:sz w:val="20"/>
                <w:szCs w:val="20"/>
              </w:rPr>
              <w:t>inquiry</w:t>
            </w:r>
            <w:r w:rsidRPr="00583AAB">
              <w:rPr>
                <w:rFonts w:ascii="Calibri" w:hAnsi="Calibri" w:cs="Calibri"/>
                <w:b w:val="0"/>
                <w:bCs w:val="0"/>
                <w:sz w:val="20"/>
                <w:szCs w:val="20"/>
              </w:rPr>
              <w:t xml:space="preserve"> must</w:t>
            </w:r>
            <w:r w:rsidR="007E5296" w:rsidRPr="00583AAB">
              <w:rPr>
                <w:rFonts w:ascii="Calibri" w:hAnsi="Calibri" w:cs="Calibri"/>
                <w:b w:val="0"/>
                <w:bCs w:val="0"/>
                <w:sz w:val="20"/>
                <w:szCs w:val="20"/>
              </w:rPr>
              <w:t xml:space="preserve"> include a val</w:t>
            </w:r>
            <w:r w:rsidR="00ED01F9" w:rsidRPr="00583AAB">
              <w:rPr>
                <w:rFonts w:ascii="Calibri" w:hAnsi="Calibri" w:cs="Calibri"/>
                <w:b w:val="0"/>
                <w:bCs w:val="0"/>
                <w:sz w:val="20"/>
                <w:szCs w:val="20"/>
              </w:rPr>
              <w:t>idation component that is</w:t>
            </w:r>
            <w:r w:rsidR="007E5296" w:rsidRPr="00583AAB">
              <w:rPr>
                <w:rFonts w:ascii="Calibri" w:hAnsi="Calibri" w:cs="Calibri"/>
                <w:b w:val="0"/>
                <w:bCs w:val="0"/>
                <w:sz w:val="20"/>
                <w:szCs w:val="20"/>
              </w:rPr>
              <w:t xml:space="preserve"> administered under test conditions.</w:t>
            </w:r>
          </w:p>
        </w:tc>
        <w:tc>
          <w:tcPr>
            <w:cnfStyle w:val="000010000000" w:firstRow="0" w:lastRow="0" w:firstColumn="0" w:lastColumn="0" w:oddVBand="1" w:evenVBand="0" w:oddHBand="0" w:evenHBand="0" w:firstRowFirstColumn="0" w:firstRowLastColumn="0" w:lastRowFirstColumn="0" w:lastRowLastColumn="0"/>
            <w:tcW w:w="774" w:type="pct"/>
            <w:vAlign w:val="center"/>
            <w:hideMark/>
          </w:tcPr>
          <w:p w14:paraId="4207A5FC" w14:textId="77777777" w:rsidR="009302BA" w:rsidRPr="001D6BF7" w:rsidRDefault="00873779" w:rsidP="00677FD9">
            <w:pPr>
              <w:spacing w:after="0" w:line="276" w:lineRule="auto"/>
              <w:jc w:val="center"/>
              <w:rPr>
                <w:rFonts w:ascii="Calibri" w:hAnsi="Calibri" w:cs="Calibri"/>
                <w:sz w:val="20"/>
                <w:szCs w:val="20"/>
              </w:rPr>
            </w:pPr>
            <w:r w:rsidRPr="001D6BF7">
              <w:rPr>
                <w:rFonts w:ascii="Calibri" w:hAnsi="Calibri" w:cs="Calibri"/>
                <w:sz w:val="20"/>
                <w:szCs w:val="20"/>
              </w:rPr>
              <w:t>20%</w:t>
            </w:r>
          </w:p>
        </w:tc>
      </w:tr>
      <w:tr w:rsidR="00A2598F" w:rsidRPr="00583AAB" w14:paraId="63447802" w14:textId="77777777" w:rsidTr="00677F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6" w:type="pct"/>
            <w:tcBorders>
              <w:top w:val="nil"/>
              <w:left w:val="single" w:sz="8" w:space="0" w:color="9688BE" w:themeColor="accent4"/>
              <w:bottom w:val="single" w:sz="8" w:space="0" w:color="9688BE" w:themeColor="accent4"/>
              <w:right w:val="nil"/>
            </w:tcBorders>
            <w:hideMark/>
          </w:tcPr>
          <w:p w14:paraId="195EA977" w14:textId="77777777" w:rsidR="000B5428" w:rsidRPr="0009031B" w:rsidRDefault="000B5428" w:rsidP="004A50F7">
            <w:pPr>
              <w:spacing w:line="276" w:lineRule="auto"/>
              <w:jc w:val="left"/>
              <w:rPr>
                <w:rFonts w:ascii="Calibri" w:hAnsi="Calibri" w:cs="Calibri"/>
                <w:sz w:val="20"/>
                <w:szCs w:val="20"/>
              </w:rPr>
            </w:pPr>
            <w:r w:rsidRPr="0009031B">
              <w:rPr>
                <w:rFonts w:ascii="Calibri" w:hAnsi="Calibri" w:cs="Calibri"/>
                <w:sz w:val="20"/>
                <w:szCs w:val="20"/>
              </w:rPr>
              <w:t>Short answer</w:t>
            </w:r>
          </w:p>
          <w:p w14:paraId="55237005" w14:textId="10FB014C" w:rsidR="00C40C49" w:rsidRPr="0009031B" w:rsidRDefault="00F3563C" w:rsidP="00752A9F">
            <w:pPr>
              <w:widowControl w:val="0"/>
              <w:spacing w:before="0" w:after="120"/>
              <w:jc w:val="left"/>
              <w:rPr>
                <w:rFonts w:ascii="Calibri" w:hAnsi="Calibri" w:cs="Calibri"/>
                <w:b w:val="0"/>
                <w:sz w:val="20"/>
                <w:szCs w:val="20"/>
              </w:rPr>
            </w:pPr>
            <w:r w:rsidRPr="0009031B">
              <w:rPr>
                <w:rFonts w:ascii="Calibri" w:hAnsi="Calibri" w:cs="Calibri"/>
                <w:b w:val="0"/>
                <w:bCs w:val="0"/>
                <w:sz w:val="20"/>
                <w:szCs w:val="20"/>
              </w:rPr>
              <w:t>Students respond</w:t>
            </w:r>
            <w:r w:rsidR="000B5428" w:rsidRPr="0009031B">
              <w:rPr>
                <w:rFonts w:ascii="Calibri" w:hAnsi="Calibri" w:cs="Calibri"/>
                <w:b w:val="0"/>
                <w:bCs w:val="0"/>
                <w:sz w:val="20"/>
                <w:szCs w:val="20"/>
              </w:rPr>
              <w:t xml:space="preserve"> to a series of questions</w:t>
            </w:r>
            <w:r w:rsidR="00C40C49" w:rsidRPr="0009031B">
              <w:rPr>
                <w:rFonts w:ascii="Calibri" w:hAnsi="Calibri" w:cs="Calibri"/>
                <w:b w:val="0"/>
                <w:bCs w:val="0"/>
                <w:sz w:val="20"/>
                <w:szCs w:val="20"/>
              </w:rPr>
              <w:t xml:space="preserve"> </w:t>
            </w:r>
            <w:r w:rsidR="00C40C49" w:rsidRPr="0009031B">
              <w:rPr>
                <w:rFonts w:ascii="Calibri" w:hAnsi="Calibri" w:cs="Calibri"/>
                <w:b w:val="0"/>
                <w:sz w:val="20"/>
                <w:szCs w:val="20"/>
              </w:rPr>
              <w:t>that can require students to respond to stimulus and/or source material.</w:t>
            </w:r>
          </w:p>
          <w:p w14:paraId="62D562CF" w14:textId="0071A5AB" w:rsidR="00C40C49" w:rsidRPr="0009031B" w:rsidRDefault="00C40C49" w:rsidP="00752A9F">
            <w:pPr>
              <w:widowControl w:val="0"/>
              <w:spacing w:before="0" w:after="120"/>
              <w:jc w:val="left"/>
              <w:rPr>
                <w:rFonts w:ascii="Calibri" w:hAnsi="Calibri" w:cs="Calibri"/>
                <w:bCs w:val="0"/>
                <w:sz w:val="20"/>
                <w:szCs w:val="20"/>
              </w:rPr>
            </w:pPr>
            <w:r w:rsidRPr="0009031B">
              <w:rPr>
                <w:rFonts w:ascii="Calibri" w:hAnsi="Calibri" w:cs="Calibri"/>
                <w:b w:val="0"/>
                <w:sz w:val="20"/>
                <w:szCs w:val="20"/>
              </w:rPr>
              <w:t>Typically, questions require the students to identify, define, describe, outline, summarise, compare, contrast,</w:t>
            </w:r>
            <w:r w:rsidRPr="0009031B">
              <w:rPr>
                <w:rFonts w:ascii="Calibri" w:eastAsia="Times New Roman" w:hAnsi="Calibri" w:cs="Calibri"/>
                <w:sz w:val="20"/>
                <w:szCs w:val="20"/>
              </w:rPr>
              <w:t xml:space="preserve"> </w:t>
            </w:r>
            <w:r w:rsidRPr="0009031B">
              <w:rPr>
                <w:rFonts w:ascii="Calibri" w:eastAsia="Times New Roman" w:hAnsi="Calibri" w:cs="Calibri"/>
                <w:b w:val="0"/>
                <w:bCs w:val="0"/>
                <w:sz w:val="20"/>
                <w:szCs w:val="20"/>
              </w:rPr>
              <w:t>comment on,</w:t>
            </w:r>
            <w:r w:rsidRPr="0009031B">
              <w:rPr>
                <w:rFonts w:ascii="Calibri" w:hAnsi="Calibri" w:cs="Calibri"/>
                <w:b w:val="0"/>
                <w:sz w:val="20"/>
                <w:szCs w:val="20"/>
              </w:rPr>
              <w:t xml:space="preserve"> explain and/or consider different interpretations.</w:t>
            </w:r>
          </w:p>
          <w:p w14:paraId="1D2D025B" w14:textId="77777777" w:rsidR="00752A9F" w:rsidRPr="0009031B" w:rsidRDefault="00C40C49" w:rsidP="00752A9F">
            <w:pPr>
              <w:widowControl w:val="0"/>
              <w:spacing w:before="0" w:after="120"/>
              <w:jc w:val="left"/>
              <w:rPr>
                <w:rFonts w:ascii="Calibri" w:hAnsi="Calibri" w:cs="Calibri"/>
                <w:b w:val="0"/>
                <w:bCs w:val="0"/>
                <w:sz w:val="20"/>
                <w:szCs w:val="20"/>
              </w:rPr>
            </w:pPr>
            <w:r w:rsidRPr="0009031B">
              <w:rPr>
                <w:rFonts w:ascii="Calibri" w:hAnsi="Calibri" w:cs="Calibri"/>
                <w:b w:val="0"/>
                <w:sz w:val="20"/>
                <w:szCs w:val="20"/>
              </w:rPr>
              <w:t>Responses can require an application of evidence and historical knowledge and understandings of the individuals, groups, events,</w:t>
            </w:r>
            <w:r w:rsidRPr="0009031B">
              <w:rPr>
                <w:rFonts w:ascii="Calibri" w:hAnsi="Calibri" w:cs="Calibri"/>
                <w:b w:val="0"/>
                <w:bCs w:val="0"/>
                <w:sz w:val="20"/>
                <w:szCs w:val="20"/>
              </w:rPr>
              <w:t xml:space="preserve"> structures, institutions</w:t>
            </w:r>
            <w:r w:rsidRPr="0009031B">
              <w:rPr>
                <w:rFonts w:ascii="Calibri" w:hAnsi="Calibri" w:cs="Calibri"/>
                <w:b w:val="0"/>
                <w:sz w:val="20"/>
                <w:szCs w:val="20"/>
              </w:rPr>
              <w:t xml:space="preserve"> and/or concepts relevant to the elective studied.</w:t>
            </w:r>
          </w:p>
          <w:p w14:paraId="6987C1FD" w14:textId="086D88EB" w:rsidR="00A2598F" w:rsidRPr="0009031B" w:rsidRDefault="002D6A3C" w:rsidP="0009031B">
            <w:pPr>
              <w:widowControl w:val="0"/>
              <w:spacing w:before="0" w:after="120"/>
              <w:jc w:val="left"/>
              <w:rPr>
                <w:rFonts w:ascii="Calibri" w:hAnsi="Calibri" w:cs="Calibri"/>
                <w:bCs w:val="0"/>
                <w:sz w:val="20"/>
                <w:szCs w:val="20"/>
              </w:rPr>
            </w:pPr>
            <w:r w:rsidRPr="0009031B">
              <w:rPr>
                <w:rFonts w:ascii="Calibri" w:hAnsi="Calibri" w:cs="Calibri"/>
                <w:b w:val="0"/>
                <w:bCs w:val="0"/>
                <w:sz w:val="20"/>
                <w:szCs w:val="20"/>
              </w:rPr>
              <w:t xml:space="preserve">Short answer </w:t>
            </w:r>
            <w:r w:rsidR="00852E13" w:rsidRPr="0009031B">
              <w:rPr>
                <w:rFonts w:ascii="Calibri" w:hAnsi="Calibri" w:cs="Calibri"/>
                <w:b w:val="0"/>
                <w:bCs w:val="0"/>
                <w:sz w:val="20"/>
                <w:szCs w:val="20"/>
              </w:rPr>
              <w:t xml:space="preserve">tasks are </w:t>
            </w:r>
            <w:r w:rsidR="00A70D7C" w:rsidRPr="0009031B">
              <w:rPr>
                <w:rFonts w:ascii="Calibri" w:hAnsi="Calibri" w:cs="Calibri"/>
                <w:b w:val="0"/>
                <w:bCs w:val="0"/>
                <w:sz w:val="20"/>
                <w:szCs w:val="20"/>
              </w:rPr>
              <w:t>administered under test conditions.</w:t>
            </w:r>
          </w:p>
          <w:p w14:paraId="5F97F68C" w14:textId="1B1E4639" w:rsidR="00C40C49" w:rsidRPr="0009031B" w:rsidRDefault="00C40C49" w:rsidP="00C40C49">
            <w:pPr>
              <w:widowControl w:val="0"/>
              <w:spacing w:before="0"/>
              <w:jc w:val="left"/>
              <w:rPr>
                <w:rFonts w:ascii="Calibri" w:hAnsi="Calibri" w:cs="Calibri"/>
                <w:b w:val="0"/>
                <w:sz w:val="20"/>
                <w:szCs w:val="20"/>
              </w:rPr>
            </w:pPr>
            <w:r w:rsidRPr="0009031B">
              <w:rPr>
                <w:rFonts w:ascii="Calibri" w:hAnsi="Calibri" w:cs="Calibri"/>
                <w:b w:val="0"/>
                <w:sz w:val="20"/>
                <w:szCs w:val="20"/>
              </w:rPr>
              <w:t>For a full list of verbs, see the Glossary of Key Words in the Formulation of Questions on the course page.</w:t>
            </w:r>
          </w:p>
        </w:tc>
        <w:tc>
          <w:tcPr>
            <w:cnfStyle w:val="000010000000" w:firstRow="0" w:lastRow="0" w:firstColumn="0" w:lastColumn="0" w:oddVBand="1" w:evenVBand="0" w:oddHBand="0" w:evenHBand="0" w:firstRowFirstColumn="0" w:firstRowLastColumn="0" w:lastRowFirstColumn="0" w:lastRowLastColumn="0"/>
            <w:tcW w:w="774" w:type="pct"/>
            <w:tcBorders>
              <w:top w:val="nil"/>
              <w:bottom w:val="single" w:sz="8" w:space="0" w:color="9688BE" w:themeColor="accent4"/>
            </w:tcBorders>
            <w:vAlign w:val="center"/>
            <w:hideMark/>
          </w:tcPr>
          <w:p w14:paraId="53364010" w14:textId="2297011A" w:rsidR="009302BA" w:rsidRPr="001D6BF7" w:rsidRDefault="006A6B2C" w:rsidP="00677FD9">
            <w:pPr>
              <w:spacing w:after="0" w:line="276" w:lineRule="auto"/>
              <w:jc w:val="center"/>
              <w:rPr>
                <w:rFonts w:ascii="Calibri" w:hAnsi="Calibri" w:cs="Calibri"/>
                <w:sz w:val="20"/>
                <w:szCs w:val="20"/>
              </w:rPr>
            </w:pPr>
            <w:r w:rsidRPr="001D6BF7">
              <w:rPr>
                <w:rFonts w:ascii="Calibri" w:hAnsi="Calibri" w:cs="Calibri"/>
                <w:sz w:val="20"/>
                <w:szCs w:val="20"/>
              </w:rPr>
              <w:t>20%</w:t>
            </w:r>
          </w:p>
        </w:tc>
      </w:tr>
      <w:tr w:rsidR="00A2598F" w:rsidRPr="00583AAB" w14:paraId="63481E27" w14:textId="77777777" w:rsidTr="00677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6" w:type="pct"/>
            <w:tcBorders>
              <w:right w:val="nil"/>
            </w:tcBorders>
            <w:hideMark/>
          </w:tcPr>
          <w:p w14:paraId="54BCC888" w14:textId="77777777" w:rsidR="00D53CD4" w:rsidRPr="0009031B" w:rsidRDefault="00D53CD4" w:rsidP="004A50F7">
            <w:pPr>
              <w:spacing w:line="276" w:lineRule="auto"/>
              <w:jc w:val="left"/>
              <w:rPr>
                <w:rFonts w:ascii="Calibri" w:hAnsi="Calibri" w:cs="Calibri"/>
                <w:sz w:val="20"/>
                <w:szCs w:val="20"/>
              </w:rPr>
            </w:pPr>
            <w:r w:rsidRPr="0009031B">
              <w:rPr>
                <w:rFonts w:ascii="Calibri" w:hAnsi="Calibri" w:cs="Calibri"/>
                <w:sz w:val="20"/>
                <w:szCs w:val="20"/>
              </w:rPr>
              <w:t>Extended answer</w:t>
            </w:r>
          </w:p>
          <w:p w14:paraId="7EC5F1E3" w14:textId="22ED37A3" w:rsidR="00752A9F" w:rsidRPr="0009031B" w:rsidRDefault="00C20FA1" w:rsidP="00752A9F">
            <w:pPr>
              <w:widowControl w:val="0"/>
              <w:spacing w:before="0" w:after="120"/>
              <w:jc w:val="left"/>
              <w:rPr>
                <w:rFonts w:ascii="Calibri" w:hAnsi="Calibri" w:cs="Calibri"/>
                <w:bCs w:val="0"/>
                <w:sz w:val="20"/>
                <w:szCs w:val="20"/>
              </w:rPr>
            </w:pPr>
            <w:r w:rsidRPr="0009031B">
              <w:rPr>
                <w:rFonts w:ascii="Calibri" w:hAnsi="Calibri" w:cs="Calibri"/>
                <w:b w:val="0"/>
                <w:bCs w:val="0"/>
                <w:sz w:val="20"/>
                <w:szCs w:val="20"/>
              </w:rPr>
              <w:t>S</w:t>
            </w:r>
            <w:r w:rsidR="000B5428" w:rsidRPr="0009031B">
              <w:rPr>
                <w:rFonts w:ascii="Calibri" w:hAnsi="Calibri" w:cs="Calibri"/>
                <w:b w:val="0"/>
                <w:bCs w:val="0"/>
                <w:sz w:val="20"/>
                <w:szCs w:val="20"/>
              </w:rPr>
              <w:t>tudent</w:t>
            </w:r>
            <w:r w:rsidRPr="0009031B">
              <w:rPr>
                <w:rFonts w:ascii="Calibri" w:hAnsi="Calibri" w:cs="Calibri"/>
                <w:b w:val="0"/>
                <w:bCs w:val="0"/>
                <w:sz w:val="20"/>
                <w:szCs w:val="20"/>
              </w:rPr>
              <w:t>s</w:t>
            </w:r>
            <w:r w:rsidR="000B5428" w:rsidRPr="0009031B">
              <w:rPr>
                <w:rFonts w:ascii="Calibri" w:hAnsi="Calibri" w:cs="Calibri"/>
                <w:b w:val="0"/>
                <w:bCs w:val="0"/>
                <w:sz w:val="20"/>
                <w:szCs w:val="20"/>
              </w:rPr>
              <w:t xml:space="preserve"> </w:t>
            </w:r>
            <w:r w:rsidR="00011A0F">
              <w:rPr>
                <w:rFonts w:ascii="Calibri" w:hAnsi="Calibri" w:cs="Calibri"/>
                <w:b w:val="0"/>
                <w:bCs w:val="0"/>
                <w:sz w:val="20"/>
                <w:szCs w:val="20"/>
              </w:rPr>
              <w:t>are</w:t>
            </w:r>
            <w:r w:rsidR="00ED6949" w:rsidRPr="0009031B">
              <w:rPr>
                <w:rFonts w:ascii="Calibri" w:hAnsi="Calibri" w:cs="Calibri"/>
                <w:b w:val="0"/>
                <w:bCs w:val="0"/>
                <w:sz w:val="20"/>
                <w:szCs w:val="20"/>
              </w:rPr>
              <w:t xml:space="preserve"> required </w:t>
            </w:r>
            <w:r w:rsidR="000B5428" w:rsidRPr="0009031B">
              <w:rPr>
                <w:rFonts w:ascii="Calibri" w:hAnsi="Calibri" w:cs="Calibri"/>
                <w:b w:val="0"/>
                <w:bCs w:val="0"/>
                <w:sz w:val="20"/>
                <w:szCs w:val="20"/>
              </w:rPr>
              <w:t>to respond to one or more questions, or to a topic. This c</w:t>
            </w:r>
            <w:r w:rsidR="00A9097E" w:rsidRPr="0009031B">
              <w:rPr>
                <w:rFonts w:ascii="Calibri" w:hAnsi="Calibri" w:cs="Calibri"/>
                <w:b w:val="0"/>
                <w:bCs w:val="0"/>
                <w:sz w:val="20"/>
                <w:szCs w:val="20"/>
              </w:rPr>
              <w:t>an</w:t>
            </w:r>
            <w:r w:rsidR="000B5428" w:rsidRPr="0009031B">
              <w:rPr>
                <w:rFonts w:ascii="Calibri" w:hAnsi="Calibri" w:cs="Calibri"/>
                <w:b w:val="0"/>
                <w:bCs w:val="0"/>
                <w:sz w:val="20"/>
                <w:szCs w:val="20"/>
              </w:rPr>
              <w:t xml:space="preserve"> include responding to a proposition, or points of debate; or an interpretation, explanation and/or evaluation of historical evidence.</w:t>
            </w:r>
            <w:r w:rsidR="00912DBE" w:rsidRPr="0009031B">
              <w:rPr>
                <w:rFonts w:ascii="Calibri" w:hAnsi="Calibri" w:cs="Calibri"/>
                <w:b w:val="0"/>
                <w:bCs w:val="0"/>
                <w:sz w:val="20"/>
                <w:szCs w:val="20"/>
              </w:rPr>
              <w:t xml:space="preserve"> </w:t>
            </w:r>
            <w:r w:rsidR="00A44E2E" w:rsidRPr="0009031B">
              <w:rPr>
                <w:rFonts w:ascii="Calibri" w:hAnsi="Calibri" w:cs="Calibri"/>
                <w:b w:val="0"/>
                <w:sz w:val="20"/>
                <w:szCs w:val="20"/>
              </w:rPr>
              <w:t>The format can be an essay, a scaffolded extended answer, a sectionalised answer or a report.</w:t>
            </w:r>
          </w:p>
          <w:p w14:paraId="449CA047" w14:textId="1597E201" w:rsidR="00A44E2E" w:rsidRPr="0009031B" w:rsidRDefault="00A44E2E" w:rsidP="00752A9F">
            <w:pPr>
              <w:widowControl w:val="0"/>
              <w:spacing w:before="0" w:after="120"/>
              <w:jc w:val="left"/>
              <w:rPr>
                <w:rFonts w:ascii="Calibri" w:hAnsi="Calibri" w:cs="Calibri"/>
                <w:b w:val="0"/>
                <w:sz w:val="20"/>
                <w:szCs w:val="20"/>
              </w:rPr>
            </w:pPr>
            <w:r w:rsidRPr="0009031B">
              <w:rPr>
                <w:rFonts w:ascii="Calibri" w:hAnsi="Calibri" w:cs="Calibri"/>
                <w:b w:val="0"/>
                <w:sz w:val="20"/>
                <w:szCs w:val="20"/>
              </w:rPr>
              <w:t>Questions can require students to respond to stimulus and/or source material.</w:t>
            </w:r>
          </w:p>
          <w:p w14:paraId="47BDA606" w14:textId="1355DA6C" w:rsidR="00A44E2E" w:rsidRPr="0009031B" w:rsidRDefault="00A44E2E" w:rsidP="00752A9F">
            <w:pPr>
              <w:widowControl w:val="0"/>
              <w:spacing w:before="0" w:after="120"/>
              <w:jc w:val="left"/>
              <w:rPr>
                <w:rFonts w:ascii="Calibri" w:hAnsi="Calibri" w:cs="Calibri"/>
                <w:bCs w:val="0"/>
                <w:sz w:val="20"/>
                <w:szCs w:val="20"/>
              </w:rPr>
            </w:pPr>
            <w:r w:rsidRPr="0009031B">
              <w:rPr>
                <w:rFonts w:ascii="Calibri" w:hAnsi="Calibri" w:cs="Calibri"/>
                <w:b w:val="0"/>
                <w:sz w:val="20"/>
                <w:szCs w:val="20"/>
              </w:rPr>
              <w:t>Typically, questions require the students to explain, discuss, account for, assess, examine, analyse and/or evaluate.</w:t>
            </w:r>
          </w:p>
          <w:p w14:paraId="5197130A" w14:textId="5FA923A8" w:rsidR="00A44E2E" w:rsidRPr="0009031B" w:rsidRDefault="00A44E2E" w:rsidP="00752A9F">
            <w:pPr>
              <w:widowControl w:val="0"/>
              <w:spacing w:before="0" w:after="120"/>
              <w:jc w:val="left"/>
              <w:rPr>
                <w:rFonts w:ascii="Calibri" w:hAnsi="Calibri" w:cs="Calibri"/>
                <w:bCs w:val="0"/>
                <w:sz w:val="20"/>
                <w:szCs w:val="20"/>
              </w:rPr>
            </w:pPr>
            <w:r w:rsidRPr="0009031B">
              <w:rPr>
                <w:rFonts w:ascii="Calibri" w:hAnsi="Calibri" w:cs="Calibri"/>
                <w:b w:val="0"/>
                <w:sz w:val="20"/>
                <w:szCs w:val="20"/>
              </w:rPr>
              <w:t>Responses can require an application of evidence and historical knowledge and understandings</w:t>
            </w:r>
            <w:r w:rsidR="00011A0F">
              <w:rPr>
                <w:rFonts w:ascii="Calibri" w:hAnsi="Calibri" w:cs="Calibri"/>
                <w:b w:val="0"/>
                <w:sz w:val="20"/>
                <w:szCs w:val="20"/>
              </w:rPr>
              <w:t>;</w:t>
            </w:r>
            <w:r w:rsidRPr="0009031B">
              <w:rPr>
                <w:rFonts w:ascii="Calibri" w:hAnsi="Calibri" w:cs="Calibri"/>
                <w:b w:val="0"/>
                <w:sz w:val="20"/>
                <w:szCs w:val="20"/>
              </w:rPr>
              <w:t xml:space="preserve"> and/or consideration of different interpretations of the individuals, groups, events,</w:t>
            </w:r>
            <w:r w:rsidRPr="0009031B">
              <w:rPr>
                <w:rFonts w:ascii="Calibri" w:hAnsi="Calibri" w:cs="Calibri"/>
                <w:b w:val="0"/>
                <w:bCs w:val="0"/>
                <w:sz w:val="20"/>
                <w:szCs w:val="20"/>
              </w:rPr>
              <w:t xml:space="preserve"> structures, institutions</w:t>
            </w:r>
            <w:r w:rsidR="00011A0F">
              <w:rPr>
                <w:rFonts w:ascii="Calibri" w:hAnsi="Calibri" w:cs="Calibri"/>
                <w:b w:val="0"/>
                <w:bCs w:val="0"/>
                <w:sz w:val="20"/>
                <w:szCs w:val="20"/>
              </w:rPr>
              <w:t>;</w:t>
            </w:r>
            <w:r w:rsidRPr="0009031B">
              <w:rPr>
                <w:rFonts w:ascii="Calibri" w:hAnsi="Calibri" w:cs="Calibri"/>
                <w:b w:val="0"/>
                <w:sz w:val="20"/>
                <w:szCs w:val="20"/>
              </w:rPr>
              <w:t xml:space="preserve"> and/or concepts relevant to the elective studied.</w:t>
            </w:r>
          </w:p>
          <w:p w14:paraId="18F033CD" w14:textId="555BF34A" w:rsidR="00A70D7C" w:rsidRPr="0009031B" w:rsidRDefault="00726075" w:rsidP="00912DBE">
            <w:pPr>
              <w:spacing w:line="276" w:lineRule="auto"/>
              <w:jc w:val="left"/>
              <w:rPr>
                <w:rFonts w:ascii="Calibri" w:hAnsi="Calibri" w:cs="Calibri"/>
                <w:sz w:val="20"/>
                <w:szCs w:val="20"/>
              </w:rPr>
            </w:pPr>
            <w:r w:rsidRPr="0009031B">
              <w:rPr>
                <w:rFonts w:ascii="Calibri" w:hAnsi="Calibri" w:cs="Calibri"/>
                <w:b w:val="0"/>
                <w:bCs w:val="0"/>
                <w:sz w:val="20"/>
                <w:szCs w:val="20"/>
              </w:rPr>
              <w:t xml:space="preserve">Extended </w:t>
            </w:r>
            <w:r w:rsidR="002D6A3C" w:rsidRPr="0009031B">
              <w:rPr>
                <w:rFonts w:ascii="Calibri" w:hAnsi="Calibri" w:cs="Calibri"/>
                <w:b w:val="0"/>
                <w:bCs w:val="0"/>
                <w:sz w:val="20"/>
                <w:szCs w:val="20"/>
              </w:rPr>
              <w:t xml:space="preserve">answer </w:t>
            </w:r>
            <w:r w:rsidR="00E266D8" w:rsidRPr="0009031B">
              <w:rPr>
                <w:rFonts w:ascii="Calibri" w:hAnsi="Calibri" w:cs="Calibri"/>
                <w:b w:val="0"/>
                <w:bCs w:val="0"/>
                <w:sz w:val="20"/>
                <w:szCs w:val="20"/>
              </w:rPr>
              <w:t>tasks are administered under test conditions.</w:t>
            </w:r>
          </w:p>
          <w:p w14:paraId="6965E125" w14:textId="623DAFC7" w:rsidR="00A44E2E" w:rsidRPr="0009031B" w:rsidRDefault="00A44E2E" w:rsidP="00912DBE">
            <w:pPr>
              <w:spacing w:line="276" w:lineRule="auto"/>
              <w:jc w:val="left"/>
              <w:rPr>
                <w:rFonts w:ascii="Calibri" w:hAnsi="Calibri" w:cs="Calibri"/>
                <w:b w:val="0"/>
                <w:bCs w:val="0"/>
                <w:sz w:val="20"/>
                <w:szCs w:val="20"/>
              </w:rPr>
            </w:pPr>
            <w:r w:rsidRPr="0009031B">
              <w:rPr>
                <w:rFonts w:ascii="Calibri" w:hAnsi="Calibri" w:cs="Calibri"/>
                <w:b w:val="0"/>
                <w:bCs w:val="0"/>
                <w:sz w:val="20"/>
                <w:szCs w:val="20"/>
              </w:rPr>
              <w:t>For a full list of verbs, see the Glossary of Key Words in the Formulation of Questions on the course page.</w:t>
            </w:r>
          </w:p>
        </w:tc>
        <w:tc>
          <w:tcPr>
            <w:cnfStyle w:val="000010000000" w:firstRow="0" w:lastRow="0" w:firstColumn="0" w:lastColumn="0" w:oddVBand="1" w:evenVBand="0" w:oddHBand="0" w:evenHBand="0" w:firstRowFirstColumn="0" w:firstRowLastColumn="0" w:lastRowFirstColumn="0" w:lastRowLastColumn="0"/>
            <w:tcW w:w="774" w:type="pct"/>
            <w:vAlign w:val="center"/>
            <w:hideMark/>
          </w:tcPr>
          <w:p w14:paraId="06E6E767" w14:textId="2C2DF0A8" w:rsidR="009302BA" w:rsidRPr="001D6BF7" w:rsidRDefault="009302BA" w:rsidP="00677FD9">
            <w:pPr>
              <w:spacing w:after="0" w:line="276" w:lineRule="auto"/>
              <w:jc w:val="center"/>
              <w:rPr>
                <w:rFonts w:ascii="Calibri" w:hAnsi="Calibri" w:cs="Calibri"/>
                <w:sz w:val="20"/>
                <w:szCs w:val="20"/>
              </w:rPr>
            </w:pPr>
            <w:r w:rsidRPr="001D6BF7">
              <w:rPr>
                <w:rFonts w:ascii="Calibri" w:hAnsi="Calibri" w:cs="Calibri"/>
                <w:sz w:val="20"/>
                <w:szCs w:val="20"/>
              </w:rPr>
              <w:t>20%</w:t>
            </w:r>
          </w:p>
        </w:tc>
      </w:tr>
      <w:tr w:rsidR="00A2598F" w:rsidRPr="00583AAB" w14:paraId="713558B9" w14:textId="77777777" w:rsidTr="00677F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26" w:type="pct"/>
            <w:tcBorders>
              <w:right w:val="nil"/>
            </w:tcBorders>
          </w:tcPr>
          <w:p w14:paraId="60B99FCC" w14:textId="77777777" w:rsidR="000B5428" w:rsidRPr="00583AAB" w:rsidRDefault="000B5428" w:rsidP="004A50F7">
            <w:pPr>
              <w:spacing w:line="276" w:lineRule="auto"/>
              <w:jc w:val="left"/>
              <w:rPr>
                <w:rFonts w:ascii="Calibri" w:hAnsi="Calibri" w:cs="Calibri"/>
                <w:sz w:val="20"/>
                <w:szCs w:val="20"/>
              </w:rPr>
            </w:pPr>
            <w:r w:rsidRPr="00583AAB">
              <w:rPr>
                <w:rFonts w:ascii="Calibri" w:hAnsi="Calibri" w:cs="Calibri"/>
                <w:sz w:val="20"/>
                <w:szCs w:val="20"/>
              </w:rPr>
              <w:t>Examination</w:t>
            </w:r>
          </w:p>
          <w:p w14:paraId="4C3448F3" w14:textId="77777777" w:rsidR="00A2598F" w:rsidRPr="00583AAB" w:rsidRDefault="000B5428" w:rsidP="004A50F7">
            <w:pPr>
              <w:spacing w:line="276" w:lineRule="auto"/>
              <w:jc w:val="left"/>
              <w:rPr>
                <w:rFonts w:ascii="Calibri" w:hAnsi="Calibri" w:cs="Calibri"/>
                <w:b w:val="0"/>
                <w:bCs w:val="0"/>
                <w:sz w:val="20"/>
                <w:szCs w:val="20"/>
              </w:rPr>
            </w:pPr>
            <w:r w:rsidRPr="00583AAB">
              <w:rPr>
                <w:rFonts w:ascii="Calibri" w:hAnsi="Calibri" w:cs="Calibri"/>
                <w:b w:val="0"/>
                <w:bCs w:val="0"/>
                <w:sz w:val="20"/>
                <w:szCs w:val="20"/>
              </w:rPr>
              <w:t xml:space="preserve">Typically conducted at the end of the semester and/or unit and reflecting the examination design brief for this </w:t>
            </w:r>
            <w:r w:rsidR="006339D6" w:rsidRPr="00583AAB">
              <w:rPr>
                <w:rFonts w:ascii="Calibri" w:hAnsi="Calibri" w:cs="Calibri"/>
                <w:b w:val="0"/>
                <w:bCs w:val="0"/>
                <w:sz w:val="20"/>
                <w:szCs w:val="20"/>
              </w:rPr>
              <w:t>syllabus</w:t>
            </w:r>
            <w:r w:rsidRPr="00583AAB">
              <w:rPr>
                <w:rFonts w:ascii="Calibri" w:hAnsi="Calibri" w:cs="Calibri"/>
                <w:b w:val="0"/>
                <w:bCs w:val="0"/>
                <w:sz w:val="20"/>
                <w:szCs w:val="20"/>
              </w:rPr>
              <w:t>.</w:t>
            </w:r>
          </w:p>
        </w:tc>
        <w:tc>
          <w:tcPr>
            <w:cnfStyle w:val="000010000000" w:firstRow="0" w:lastRow="0" w:firstColumn="0" w:lastColumn="0" w:oddVBand="1" w:evenVBand="0" w:oddHBand="0" w:evenHBand="0" w:firstRowFirstColumn="0" w:firstRowLastColumn="0" w:lastRowFirstColumn="0" w:lastRowLastColumn="0"/>
            <w:tcW w:w="774" w:type="pct"/>
            <w:vAlign w:val="center"/>
          </w:tcPr>
          <w:p w14:paraId="0CDF6514" w14:textId="5AC6410E" w:rsidR="00A2598F" w:rsidRPr="001D6BF7" w:rsidRDefault="000B5428" w:rsidP="00677FD9">
            <w:pPr>
              <w:spacing w:after="0" w:line="276" w:lineRule="auto"/>
              <w:jc w:val="center"/>
              <w:rPr>
                <w:rFonts w:ascii="Calibri" w:hAnsi="Calibri" w:cs="Calibri"/>
                <w:sz w:val="20"/>
                <w:szCs w:val="20"/>
              </w:rPr>
            </w:pPr>
            <w:r w:rsidRPr="001D6BF7">
              <w:rPr>
                <w:rFonts w:ascii="Calibri" w:hAnsi="Calibri" w:cs="Calibri"/>
                <w:sz w:val="20"/>
                <w:szCs w:val="20"/>
              </w:rPr>
              <w:t>40%</w:t>
            </w:r>
          </w:p>
        </w:tc>
      </w:tr>
    </w:tbl>
    <w:p w14:paraId="79C6F287" w14:textId="77777777" w:rsidR="00132E99" w:rsidRDefault="00132E99">
      <w:pPr>
        <w:rPr>
          <w:color w:val="000000"/>
        </w:rPr>
      </w:pPr>
      <w:bookmarkStart w:id="48" w:name="_Toc347908211"/>
      <w:r>
        <w:rPr>
          <w:color w:val="000000"/>
        </w:rPr>
        <w:br w:type="page"/>
      </w:r>
    </w:p>
    <w:p w14:paraId="71B65533" w14:textId="5C385FFA" w:rsidR="00EF49EF" w:rsidRPr="009977AD" w:rsidRDefault="00EF49EF" w:rsidP="009977AD">
      <w:pPr>
        <w:widowControl w:val="0"/>
        <w:spacing w:before="120" w:line="264" w:lineRule="auto"/>
        <w:rPr>
          <w:color w:val="000000"/>
        </w:rPr>
      </w:pPr>
      <w:r w:rsidRPr="009977AD">
        <w:rPr>
          <w:color w:val="000000"/>
        </w:rPr>
        <w:lastRenderedPageBreak/>
        <w:t>Teachers must use the assessment table to develop an assessment outline for the pair of units.</w:t>
      </w:r>
    </w:p>
    <w:p w14:paraId="7AEF705F" w14:textId="77777777" w:rsidR="0011661A" w:rsidRPr="00EF49EF" w:rsidRDefault="0011661A" w:rsidP="009977AD">
      <w:pPr>
        <w:rPr>
          <w:rFonts w:eastAsia="Times New Roman"/>
        </w:rPr>
      </w:pPr>
      <w:r w:rsidRPr="00EF49EF">
        <w:rPr>
          <w:rFonts w:eastAsia="Times New Roman"/>
        </w:rPr>
        <w:t>The assessment outline must:</w:t>
      </w:r>
    </w:p>
    <w:p w14:paraId="4EB6ED9D" w14:textId="77777777" w:rsidR="0011661A" w:rsidRPr="00EF49EF" w:rsidRDefault="0011661A" w:rsidP="008F7B45">
      <w:pPr>
        <w:pStyle w:val="SyllabusListParagraph"/>
        <w:numPr>
          <w:ilvl w:val="0"/>
          <w:numId w:val="71"/>
        </w:numPr>
      </w:pPr>
      <w:r w:rsidRPr="00EF49EF">
        <w:t>include a set of assessment tasks</w:t>
      </w:r>
    </w:p>
    <w:p w14:paraId="5AC678AD" w14:textId="77777777" w:rsidR="0011661A" w:rsidRPr="00EF49EF" w:rsidRDefault="0011661A" w:rsidP="008F7B45">
      <w:pPr>
        <w:pStyle w:val="SyllabusListParagraph"/>
        <w:numPr>
          <w:ilvl w:val="0"/>
          <w:numId w:val="71"/>
        </w:numPr>
      </w:pPr>
      <w:r w:rsidRPr="00EF49EF">
        <w:t>include a general description of each task</w:t>
      </w:r>
    </w:p>
    <w:p w14:paraId="0B105A1F" w14:textId="77777777" w:rsidR="0011661A" w:rsidRPr="00EF49EF" w:rsidRDefault="0011661A" w:rsidP="008F7B45">
      <w:pPr>
        <w:pStyle w:val="SyllabusListParagraph"/>
        <w:numPr>
          <w:ilvl w:val="0"/>
          <w:numId w:val="71"/>
        </w:numPr>
      </w:pPr>
      <w:r w:rsidRPr="00EF49EF">
        <w:t>indicate the unit content to be assessed</w:t>
      </w:r>
    </w:p>
    <w:p w14:paraId="0D5DFF80" w14:textId="77777777" w:rsidR="0011661A" w:rsidRPr="00EF49EF" w:rsidRDefault="0011661A" w:rsidP="008F7B45">
      <w:pPr>
        <w:pStyle w:val="SyllabusListParagraph"/>
        <w:numPr>
          <w:ilvl w:val="0"/>
          <w:numId w:val="71"/>
        </w:numPr>
      </w:pPr>
      <w:r w:rsidRPr="00EF49EF">
        <w:t>indicate a weighting for each task and each assessment type</w:t>
      </w:r>
    </w:p>
    <w:p w14:paraId="6A1F99BB" w14:textId="77777777" w:rsidR="0011661A" w:rsidRPr="00EF49EF" w:rsidRDefault="0011661A" w:rsidP="008F7B45">
      <w:pPr>
        <w:pStyle w:val="SyllabusListParagraph"/>
        <w:numPr>
          <w:ilvl w:val="0"/>
          <w:numId w:val="71"/>
        </w:numPr>
      </w:pPr>
      <w:r w:rsidRPr="00EF49EF">
        <w:t>include the approximate timing of each task (for example, the week the task is conducted, or the issue and submission dates for an extended task).</w:t>
      </w:r>
    </w:p>
    <w:p w14:paraId="078557C4" w14:textId="33B0E460" w:rsidR="001C0355" w:rsidRPr="005B323A" w:rsidRDefault="001C0355" w:rsidP="00120451">
      <w:pPr>
        <w:pStyle w:val="SyllabusHeading2"/>
      </w:pPr>
      <w:bookmarkStart w:id="49" w:name="_Toc32578511"/>
      <w:bookmarkStart w:id="50" w:name="_Toc80088663"/>
      <w:bookmarkStart w:id="51" w:name="_Toc140666023"/>
      <w:bookmarkEnd w:id="48"/>
      <w:r w:rsidRPr="005B323A">
        <w:t>Reporting</w:t>
      </w:r>
      <w:bookmarkEnd w:id="49"/>
      <w:bookmarkEnd w:id="50"/>
      <w:bookmarkEnd w:id="51"/>
    </w:p>
    <w:p w14:paraId="2184BB65" w14:textId="77777777" w:rsidR="001C0355" w:rsidRPr="005B323A" w:rsidRDefault="001C0355" w:rsidP="001C0355">
      <w:pPr>
        <w:spacing w:before="120" w:after="240"/>
      </w:pPr>
      <w:r w:rsidRPr="005B323A">
        <w:t>Schools report student achievement, underpinned by a set of pre-determined standards, using the following grades:</w:t>
      </w:r>
    </w:p>
    <w:tbl>
      <w:tblPr>
        <w:tblStyle w:val="LightList-Accent4"/>
        <w:tblW w:w="0" w:type="auto"/>
        <w:tblCellMar>
          <w:top w:w="85" w:type="dxa"/>
          <w:bottom w:w="85" w:type="dxa"/>
        </w:tblCellMar>
        <w:tblLook w:val="00A0" w:firstRow="1" w:lastRow="0" w:firstColumn="1" w:lastColumn="0" w:noHBand="0" w:noVBand="0"/>
      </w:tblPr>
      <w:tblGrid>
        <w:gridCol w:w="722"/>
        <w:gridCol w:w="2267"/>
      </w:tblGrid>
      <w:tr w:rsidR="000C2E91" w:rsidRPr="004A50F7" w14:paraId="4F6BE51B" w14:textId="77777777" w:rsidTr="00C519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A83B5"/>
          </w:tcPr>
          <w:p w14:paraId="7C15C636" w14:textId="77777777" w:rsidR="000C2E91" w:rsidRPr="004A50F7" w:rsidRDefault="000C2E91" w:rsidP="009977AD">
            <w:pPr>
              <w:spacing w:after="0"/>
              <w:rPr>
                <w:rFonts w:ascii="Calibri" w:hAnsi="Calibri" w:cs="Calibri"/>
                <w:szCs w:val="20"/>
              </w:rPr>
            </w:pPr>
            <w:r w:rsidRPr="004A50F7">
              <w:rPr>
                <w:rFonts w:ascii="Calibri" w:hAnsi="Calibri" w:cs="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A83B5"/>
          </w:tcPr>
          <w:p w14:paraId="6A62127B" w14:textId="77777777" w:rsidR="000C2E91" w:rsidRPr="004A50F7" w:rsidRDefault="000C2E91" w:rsidP="009977AD">
            <w:pPr>
              <w:spacing w:after="0"/>
              <w:rPr>
                <w:rFonts w:ascii="Calibri" w:hAnsi="Calibri" w:cs="Calibri"/>
                <w:szCs w:val="20"/>
              </w:rPr>
            </w:pPr>
            <w:r w:rsidRPr="004A50F7">
              <w:rPr>
                <w:rFonts w:ascii="Calibri" w:hAnsi="Calibri" w:cs="Calibri"/>
                <w:szCs w:val="20"/>
              </w:rPr>
              <w:t>Interpretation</w:t>
            </w:r>
          </w:p>
        </w:tc>
      </w:tr>
      <w:tr w:rsidR="000C2E91" w:rsidRPr="004A50F7" w14:paraId="1E20BA95" w14:textId="77777777" w:rsidTr="00C51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411047"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Pr>
          <w:p w14:paraId="501A5AF8"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Excellent achievement</w:t>
            </w:r>
          </w:p>
        </w:tc>
      </w:tr>
      <w:tr w:rsidR="000C2E91" w:rsidRPr="004A50F7" w14:paraId="6F6BEDD6" w14:textId="77777777" w:rsidTr="00C51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8A29B7A"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Pr>
          <w:p w14:paraId="41337DBF"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High achievement</w:t>
            </w:r>
          </w:p>
        </w:tc>
      </w:tr>
      <w:tr w:rsidR="000C2E91" w:rsidRPr="004A50F7" w14:paraId="790B6607" w14:textId="77777777" w:rsidTr="00C51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9028B3"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Pr>
          <w:p w14:paraId="27761B8B"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Satisfactory achievement</w:t>
            </w:r>
          </w:p>
        </w:tc>
      </w:tr>
      <w:tr w:rsidR="000C2E91" w:rsidRPr="004A50F7" w14:paraId="01814F18" w14:textId="77777777" w:rsidTr="00C5192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562622"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Pr>
          <w:p w14:paraId="1501CF7B"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Limited achievement</w:t>
            </w:r>
          </w:p>
        </w:tc>
      </w:tr>
      <w:tr w:rsidR="000C2E91" w:rsidRPr="004A50F7" w14:paraId="79E19870" w14:textId="77777777" w:rsidTr="00C519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8C4020A"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Pr>
          <w:p w14:paraId="728F2DEC" w14:textId="77777777" w:rsidR="000C2E91" w:rsidRPr="004A50F7" w:rsidRDefault="000C2E91" w:rsidP="009977AD">
            <w:pPr>
              <w:spacing w:after="0"/>
              <w:rPr>
                <w:rFonts w:ascii="Calibri" w:hAnsi="Calibri" w:cs="Calibri"/>
                <w:sz w:val="20"/>
                <w:szCs w:val="20"/>
              </w:rPr>
            </w:pPr>
            <w:r w:rsidRPr="004A50F7">
              <w:rPr>
                <w:rFonts w:ascii="Calibri" w:hAnsi="Calibri" w:cs="Calibri"/>
                <w:sz w:val="20"/>
                <w:szCs w:val="20"/>
              </w:rPr>
              <w:t>Very low achievement</w:t>
            </w:r>
          </w:p>
        </w:tc>
      </w:tr>
    </w:tbl>
    <w:p w14:paraId="5EA1FB7E" w14:textId="76C9DD7D" w:rsidR="001C0355" w:rsidRPr="008D7571" w:rsidRDefault="007558A9" w:rsidP="001C0355">
      <w:pPr>
        <w:spacing w:before="240"/>
        <w:rPr>
          <w:rFonts w:eastAsia="Times New Roman" w:cs="Times New Roman"/>
        </w:rPr>
      </w:pPr>
      <w:r w:rsidRPr="00293088">
        <w:t xml:space="preserve">The grade descriptions for </w:t>
      </w:r>
      <w:r w:rsidR="006339D6">
        <w:t xml:space="preserve">the </w:t>
      </w:r>
      <w:r w:rsidR="000B5428" w:rsidRPr="000B5428">
        <w:rPr>
          <w:rFonts w:eastAsia="PMingLiU" w:cs="Calibri"/>
          <w:lang w:eastAsia="zh-TW"/>
        </w:rPr>
        <w:t>Ancient History</w:t>
      </w:r>
      <w:r w:rsidR="00575BE0">
        <w:rPr>
          <w:rFonts w:asciiTheme="minorHAnsi" w:eastAsia="PMingLiU" w:hAnsiTheme="minorHAnsi" w:cstheme="minorHAnsi"/>
          <w:lang w:eastAsia="zh-TW"/>
        </w:rPr>
        <w:t xml:space="preserve"> </w:t>
      </w:r>
      <w:r w:rsidR="007A3F00" w:rsidRPr="000B5428">
        <w:rPr>
          <w:rFonts w:cs="Calibri"/>
        </w:rPr>
        <w:t xml:space="preserve">ATAR </w:t>
      </w:r>
      <w:r w:rsidR="007A3F00" w:rsidRPr="00293088">
        <w:t xml:space="preserve">Year 12 </w:t>
      </w:r>
      <w:r w:rsidR="006339D6" w:rsidRPr="006339D6">
        <w:rPr>
          <w:rFonts w:cs="Times New Roman"/>
        </w:rPr>
        <w:t>syllabus</w:t>
      </w:r>
      <w:r w:rsidR="006339D6">
        <w:rPr>
          <w:rFonts w:asciiTheme="minorHAnsi" w:eastAsia="PMingLiU" w:hAnsiTheme="minorHAnsi" w:cstheme="minorHAnsi"/>
          <w:lang w:eastAsia="zh-TW"/>
        </w:rPr>
        <w:t xml:space="preserve"> </w:t>
      </w:r>
      <w:r w:rsidR="00575BE0">
        <w:rPr>
          <w:rFonts w:cs="Times New Roman"/>
        </w:rPr>
        <w:t>are provided in Appendix 1</w:t>
      </w:r>
      <w:r w:rsidRPr="00293088">
        <w:t xml:space="preserve">. </w:t>
      </w:r>
      <w:r w:rsidR="001C0355" w:rsidRPr="005B323A">
        <w:t>Th</w:t>
      </w:r>
      <w:r w:rsidR="00011A0F">
        <w:t>ey</w:t>
      </w:r>
      <w:r w:rsidR="001C0355" w:rsidRPr="005B323A">
        <w:t xml:space="preserve"> are used to support the allocation of a grade. </w:t>
      </w:r>
      <w:r w:rsidR="00C5192E" w:rsidRPr="00D24D5A">
        <w:t xml:space="preserve">They can also be accessed, together with annotated work samples, on the </w:t>
      </w:r>
      <w:r w:rsidR="00C5192E" w:rsidRPr="00D24D5A">
        <w:rPr>
          <w:rFonts w:eastAsia="Times New Roman" w:cs="Calibri"/>
          <w:szCs w:val="26"/>
        </w:rPr>
        <w:t>course page of the</w:t>
      </w:r>
      <w:r w:rsidR="00C5192E">
        <w:rPr>
          <w:rFonts w:eastAsia="Times New Roman" w:cs="Calibri"/>
          <w:szCs w:val="26"/>
        </w:rPr>
        <w:t xml:space="preserve"> </w:t>
      </w:r>
      <w:r w:rsidR="00C5192E" w:rsidRPr="00C2132B">
        <w:rPr>
          <w:rFonts w:eastAsia="Times New Roman" w:cs="Calibri"/>
          <w:szCs w:val="26"/>
        </w:rPr>
        <w:t>Authority website</w:t>
      </w:r>
      <w:r w:rsidR="00C5192E" w:rsidRPr="00F25678">
        <w:rPr>
          <w:rFonts w:eastAsia="Times New Roman" w:cs="Calibri"/>
          <w:szCs w:val="26"/>
        </w:rPr>
        <w:t xml:space="preserve"> </w:t>
      </w:r>
      <w:r w:rsidR="0007421D">
        <w:rPr>
          <w:rFonts w:eastAsia="Times New Roman" w:cs="Calibri"/>
          <w:szCs w:val="26"/>
        </w:rPr>
        <w:t xml:space="preserve">at </w:t>
      </w:r>
      <w:r w:rsidR="0007421D" w:rsidRPr="0007421D">
        <w:rPr>
          <w:rStyle w:val="Hyperlink"/>
        </w:rPr>
        <w:t>www.scsa.wa.edu.au</w:t>
      </w:r>
      <w:r w:rsidR="001C0355" w:rsidRPr="008C4125">
        <w:rPr>
          <w:rFonts w:eastAsia="Times New Roman" w:cs="Calibri"/>
          <w:szCs w:val="26"/>
        </w:rPr>
        <w:t>.</w:t>
      </w:r>
    </w:p>
    <w:p w14:paraId="073A05E4" w14:textId="55851970" w:rsidR="000C2E91" w:rsidRPr="00293088" w:rsidRDefault="009B12C9" w:rsidP="00C5192E">
      <w:r w:rsidRPr="00293088">
        <w:t xml:space="preserve">To be assigned a grade, </w:t>
      </w:r>
      <w:r w:rsidR="000C2E91" w:rsidRPr="00293088">
        <w:t>a student must have had the opportunity to complete the education program</w:t>
      </w:r>
      <w:r w:rsidR="007A3F00">
        <w:t>,</w:t>
      </w:r>
      <w:r w:rsidR="000C2E91" w:rsidRPr="00293088">
        <w:t xml:space="preserve"> </w:t>
      </w:r>
      <w:r w:rsidRPr="00293088">
        <w:t>including</w:t>
      </w:r>
      <w:r w:rsidR="000C2E91" w:rsidRPr="00293088">
        <w:t xml:space="preserve"> the </w:t>
      </w:r>
      <w:r w:rsidR="003C6DE1" w:rsidRPr="00293088">
        <w:t>assessmen</w:t>
      </w:r>
      <w:r w:rsidR="003C6DE1">
        <w:t>t</w:t>
      </w:r>
      <w:r w:rsidR="000C2E91" w:rsidRPr="00293088">
        <w:t xml:space="preserve"> program (unless the school accepts that there are exceptional and justifiable circumstances).</w:t>
      </w:r>
    </w:p>
    <w:p w14:paraId="5800ABA2" w14:textId="77777777" w:rsidR="001E21B7" w:rsidRDefault="000C2E91" w:rsidP="00C5192E">
      <w:r w:rsidRPr="00293088">
        <w:t xml:space="preserve">Refer to the </w:t>
      </w:r>
      <w:r w:rsidRPr="001C0355">
        <w:rPr>
          <w:i/>
        </w:rPr>
        <w:t>WACE Manual</w:t>
      </w:r>
      <w:r w:rsidRPr="00293088">
        <w:t xml:space="preserve"> for further information</w:t>
      </w:r>
      <w:r w:rsidR="001E21B7" w:rsidRPr="001E21B7">
        <w:t xml:space="preserve"> </w:t>
      </w:r>
      <w:r w:rsidR="001E21B7">
        <w:t>about the use of a ranked list in the process of assigning grades</w:t>
      </w:r>
      <w:r w:rsidR="001E21B7" w:rsidRPr="001638D0">
        <w:t>.</w:t>
      </w:r>
    </w:p>
    <w:p w14:paraId="2CC53B59" w14:textId="77777777" w:rsidR="001C0355" w:rsidRPr="005B323A" w:rsidRDefault="001C0355" w:rsidP="00C5192E">
      <w:r w:rsidRPr="005B323A">
        <w:t>The grade is determined by reference to the standard, not allocated on the basis of a pre</w:t>
      </w:r>
      <w:r w:rsidRPr="005B323A">
        <w:noBreakHyphen/>
        <w:t>determined range of marks (cut-offs).</w:t>
      </w:r>
    </w:p>
    <w:p w14:paraId="2582827A" w14:textId="77777777" w:rsidR="0011737C" w:rsidRDefault="0011737C" w:rsidP="0011737C">
      <w:r>
        <w:br w:type="page"/>
      </w:r>
    </w:p>
    <w:p w14:paraId="1AD43E31" w14:textId="77777777" w:rsidR="006C498A" w:rsidRPr="00293088" w:rsidRDefault="00D945B6" w:rsidP="00120451">
      <w:pPr>
        <w:pStyle w:val="SyllabusHeading1"/>
      </w:pPr>
      <w:bookmarkStart w:id="52" w:name="_Toc140666024"/>
      <w:bookmarkStart w:id="53" w:name="_Toc359506610"/>
      <w:bookmarkStart w:id="54" w:name="_Toc359503794"/>
      <w:r>
        <w:lastRenderedPageBreak/>
        <w:t>ATAR course</w:t>
      </w:r>
      <w:r w:rsidR="006C498A" w:rsidRPr="00293088">
        <w:t xml:space="preserve"> examination</w:t>
      </w:r>
      <w:bookmarkEnd w:id="52"/>
    </w:p>
    <w:p w14:paraId="562DE228" w14:textId="77777777" w:rsidR="00F3709B" w:rsidRDefault="006C498A" w:rsidP="00B51C50">
      <w:r w:rsidRPr="00293088">
        <w:t xml:space="preserve">All students enrolled in </w:t>
      </w:r>
      <w:r w:rsidR="006339D6">
        <w:t xml:space="preserve">the </w:t>
      </w:r>
      <w:r w:rsidR="000B5428" w:rsidRPr="000B5428">
        <w:rPr>
          <w:rFonts w:cs="Calibri"/>
        </w:rPr>
        <w:t xml:space="preserve">Ancient History </w:t>
      </w:r>
      <w:r w:rsidR="007A3F00" w:rsidRPr="00293088">
        <w:t xml:space="preserve">ATAR Year 12 </w:t>
      </w:r>
      <w:r w:rsidR="006339D6">
        <w:rPr>
          <w:rFonts w:cs="Calibri"/>
        </w:rPr>
        <w:t xml:space="preserve">course </w:t>
      </w:r>
      <w:r w:rsidRPr="000B5428">
        <w:rPr>
          <w:rFonts w:cs="Calibri"/>
        </w:rPr>
        <w:t>are</w:t>
      </w:r>
      <w:r w:rsidRPr="00293088">
        <w:t xml:space="preserve"> required to sit the </w:t>
      </w:r>
      <w:r w:rsidR="00D945B6">
        <w:t>ATAR course</w:t>
      </w:r>
      <w:r w:rsidRPr="00293088">
        <w:t xml:space="preserve"> examination. The examination is based on a representative sampling of th</w:t>
      </w:r>
      <w:r w:rsidR="00E13D76">
        <w:t xml:space="preserve">e content for Unit 3 and Unit 4. </w:t>
      </w:r>
      <w:r w:rsidRPr="00293088">
        <w:t xml:space="preserve">Details of the </w:t>
      </w:r>
      <w:r w:rsidR="00D945B6">
        <w:t>ATAR course</w:t>
      </w:r>
      <w:r w:rsidRPr="00293088">
        <w:t xml:space="preserve"> examination are prescribed in the examination design brief on the following page.</w:t>
      </w:r>
      <w:r w:rsidR="00A045BF">
        <w:t xml:space="preserve"> </w:t>
      </w:r>
    </w:p>
    <w:p w14:paraId="702CB9CC" w14:textId="06BE862B" w:rsidR="006C498A" w:rsidRPr="00293088" w:rsidRDefault="006C498A" w:rsidP="00C5192E">
      <w:r w:rsidRPr="00293088">
        <w:t xml:space="preserve">Refer to the </w:t>
      </w:r>
      <w:r w:rsidRPr="00E13D76">
        <w:rPr>
          <w:i/>
        </w:rPr>
        <w:t>WACE Manual</w:t>
      </w:r>
      <w:r w:rsidRPr="00293088">
        <w:t xml:space="preserve"> for further information.</w:t>
      </w:r>
    </w:p>
    <w:p w14:paraId="0F178793" w14:textId="77777777" w:rsidR="00F039E5" w:rsidRPr="00293088" w:rsidRDefault="00E82D41" w:rsidP="00120451">
      <w:pPr>
        <w:pStyle w:val="SyllabusHeading2"/>
      </w:pPr>
      <w:bookmarkStart w:id="55" w:name="_Toc140666025"/>
      <w:r w:rsidRPr="00293088">
        <w:t>E</w:t>
      </w:r>
      <w:r w:rsidR="006C498A" w:rsidRPr="00293088">
        <w:t>xamination design brief</w:t>
      </w:r>
      <w:r w:rsidR="008C4A51" w:rsidRPr="00293088">
        <w:t xml:space="preserve"> </w:t>
      </w:r>
      <w:r w:rsidR="002C54CE" w:rsidRPr="00293088">
        <w:t>–</w:t>
      </w:r>
      <w:r w:rsidR="008C4A51" w:rsidRPr="00293088">
        <w:t xml:space="preserve"> </w:t>
      </w:r>
      <w:r w:rsidR="006C498A" w:rsidRPr="00293088">
        <w:t>Year 12</w:t>
      </w:r>
      <w:bookmarkEnd w:id="55"/>
    </w:p>
    <w:p w14:paraId="14B8D877" w14:textId="77777777" w:rsidR="006C498A" w:rsidRPr="00B51C50" w:rsidRDefault="006C498A" w:rsidP="00B51C50">
      <w:pPr>
        <w:autoSpaceDE w:val="0"/>
        <w:autoSpaceDN w:val="0"/>
        <w:adjustRightInd w:val="0"/>
        <w:spacing w:after="0"/>
        <w:rPr>
          <w:rFonts w:eastAsia="Times New Roman" w:cs="Arial"/>
          <w:b/>
          <w:bCs/>
        </w:rPr>
      </w:pPr>
      <w:r w:rsidRPr="00B51C50">
        <w:rPr>
          <w:rFonts w:eastAsia="Times New Roman" w:cs="Arial"/>
          <w:b/>
          <w:bCs/>
        </w:rPr>
        <w:t>Time allowed</w:t>
      </w:r>
    </w:p>
    <w:p w14:paraId="1254FA57" w14:textId="77777777" w:rsidR="006C498A" w:rsidRPr="00B51C50" w:rsidRDefault="006C498A" w:rsidP="00B51C50">
      <w:pPr>
        <w:tabs>
          <w:tab w:val="left" w:pos="3827"/>
        </w:tabs>
        <w:autoSpaceDE w:val="0"/>
        <w:autoSpaceDN w:val="0"/>
        <w:adjustRightInd w:val="0"/>
        <w:spacing w:after="0"/>
        <w:rPr>
          <w:rFonts w:eastAsia="Times New Roman" w:cs="Arial"/>
        </w:rPr>
      </w:pPr>
      <w:r w:rsidRPr="00B51C50">
        <w:rPr>
          <w:rFonts w:eastAsia="Times New Roman" w:cs="Arial"/>
        </w:rPr>
        <w:t>Reading time before commencing work:</w:t>
      </w:r>
      <w:r w:rsidRPr="00B51C50">
        <w:rPr>
          <w:rFonts w:eastAsia="Times New Roman" w:cs="Arial"/>
        </w:rPr>
        <w:tab/>
      </w:r>
      <w:r w:rsidR="000B5428" w:rsidRPr="00B51C50">
        <w:rPr>
          <w:rFonts w:eastAsia="Times New Roman" w:cs="Arial"/>
        </w:rPr>
        <w:t>ten</w:t>
      </w:r>
      <w:r w:rsidRPr="00B51C50">
        <w:rPr>
          <w:rFonts w:eastAsia="Times New Roman" w:cs="Arial"/>
        </w:rPr>
        <w:t xml:space="preserve"> minutes</w:t>
      </w:r>
    </w:p>
    <w:p w14:paraId="61149C6B" w14:textId="77777777" w:rsidR="006C498A" w:rsidRPr="00B51C50" w:rsidRDefault="006C498A" w:rsidP="00B51C50">
      <w:pPr>
        <w:tabs>
          <w:tab w:val="left" w:pos="3827"/>
        </w:tabs>
        <w:autoSpaceDE w:val="0"/>
        <w:autoSpaceDN w:val="0"/>
        <w:adjustRightInd w:val="0"/>
        <w:rPr>
          <w:rFonts w:eastAsia="Times New Roman" w:cs="Arial"/>
        </w:rPr>
      </w:pPr>
      <w:r w:rsidRPr="00B51C50">
        <w:rPr>
          <w:rFonts w:eastAsia="Times New Roman" w:cs="Arial"/>
        </w:rPr>
        <w:t>Working time for pape</w:t>
      </w:r>
      <w:r w:rsidR="00A045BF" w:rsidRPr="00B51C50">
        <w:rPr>
          <w:rFonts w:eastAsia="Times New Roman" w:cs="Arial"/>
        </w:rPr>
        <w:t>r:</w:t>
      </w:r>
      <w:r w:rsidRPr="00B51C50">
        <w:rPr>
          <w:rFonts w:eastAsia="Times New Roman" w:cs="Arial"/>
        </w:rPr>
        <w:tab/>
      </w:r>
      <w:r w:rsidR="000B5428" w:rsidRPr="00B51C50">
        <w:rPr>
          <w:rFonts w:eastAsia="Times New Roman" w:cs="Arial"/>
        </w:rPr>
        <w:t>three</w:t>
      </w:r>
      <w:r w:rsidRPr="00B51C50">
        <w:rPr>
          <w:rFonts w:eastAsia="Times New Roman" w:cs="Arial"/>
        </w:rPr>
        <w:t xml:space="preserve"> hours</w:t>
      </w:r>
    </w:p>
    <w:p w14:paraId="6EC19347" w14:textId="77777777" w:rsidR="006C498A" w:rsidRPr="00B51C50" w:rsidRDefault="002275E3" w:rsidP="00B51C50">
      <w:pPr>
        <w:autoSpaceDE w:val="0"/>
        <w:autoSpaceDN w:val="0"/>
        <w:adjustRightInd w:val="0"/>
        <w:spacing w:after="0"/>
        <w:rPr>
          <w:rFonts w:eastAsia="Times New Roman" w:cs="Arial"/>
          <w:b/>
          <w:bCs/>
        </w:rPr>
      </w:pPr>
      <w:r w:rsidRPr="00B51C50">
        <w:rPr>
          <w:rFonts w:eastAsia="Times New Roman" w:cs="Arial"/>
          <w:b/>
          <w:bCs/>
        </w:rPr>
        <w:t>Permissible items</w:t>
      </w:r>
    </w:p>
    <w:p w14:paraId="133C05E7" w14:textId="52B7DFBB" w:rsidR="006C498A" w:rsidRPr="00B51C50" w:rsidRDefault="00A045BF" w:rsidP="00583AAB">
      <w:pPr>
        <w:tabs>
          <w:tab w:val="left" w:pos="1560"/>
        </w:tabs>
        <w:autoSpaceDE w:val="0"/>
        <w:autoSpaceDN w:val="0"/>
        <w:adjustRightInd w:val="0"/>
        <w:spacing w:after="0"/>
        <w:ind w:left="1560" w:hanging="1560"/>
        <w:rPr>
          <w:rFonts w:eastAsia="Times New Roman" w:cs="Arial"/>
        </w:rPr>
      </w:pPr>
      <w:r w:rsidRPr="00B51C50">
        <w:rPr>
          <w:rFonts w:eastAsia="Times New Roman" w:cs="Arial"/>
        </w:rPr>
        <w:t>Standard items:</w:t>
      </w:r>
      <w:r w:rsidR="00583AAB">
        <w:rPr>
          <w:rFonts w:eastAsia="Times New Roman" w:cs="Arial"/>
        </w:rPr>
        <w:t xml:space="preserve"> </w:t>
      </w:r>
      <w:r w:rsidR="006C498A" w:rsidRPr="00B51C50">
        <w:rPr>
          <w:rFonts w:eastAsia="Times New Roman" w:cs="Arial"/>
        </w:rPr>
        <w:tab/>
        <w:t>pens (blue/black preferred), pencils (including coloured), sharpener, correction fluid/tape, eraser, ruler, highlighters</w:t>
      </w:r>
    </w:p>
    <w:p w14:paraId="00BB332F" w14:textId="0DE444B5" w:rsidR="006C498A" w:rsidRPr="00B51C50" w:rsidRDefault="006C498A" w:rsidP="00583AAB">
      <w:pPr>
        <w:tabs>
          <w:tab w:val="left" w:pos="1560"/>
        </w:tabs>
        <w:autoSpaceDE w:val="0"/>
        <w:autoSpaceDN w:val="0"/>
        <w:adjustRightInd w:val="0"/>
        <w:ind w:left="1560" w:hanging="1560"/>
        <w:rPr>
          <w:rFonts w:eastAsia="Times New Roman" w:cs="Arial"/>
        </w:rPr>
      </w:pPr>
      <w:r w:rsidRPr="00B51C50">
        <w:rPr>
          <w:rFonts w:eastAsia="Times New Roman" w:cs="Arial"/>
        </w:rPr>
        <w:t>Special items:</w:t>
      </w:r>
      <w:r w:rsidR="00583AAB">
        <w:rPr>
          <w:rFonts w:eastAsia="Times New Roman" w:cs="Arial"/>
        </w:rPr>
        <w:tab/>
      </w:r>
      <w:r w:rsidR="000B5428" w:rsidRPr="00B51C50">
        <w:rPr>
          <w:rFonts w:eastAsia="Times New Roman" w:cs="Arial"/>
        </w:rPr>
        <w:t>nil</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left w:w="85" w:type="dxa"/>
          <w:bottom w:w="57" w:type="dxa"/>
          <w:right w:w="85" w:type="dxa"/>
        </w:tblCellMar>
        <w:tblLook w:val="0000" w:firstRow="0" w:lastRow="0" w:firstColumn="0" w:lastColumn="0" w:noHBand="0" w:noVBand="0"/>
      </w:tblPr>
      <w:tblGrid>
        <w:gridCol w:w="3292"/>
        <w:gridCol w:w="5758"/>
      </w:tblGrid>
      <w:tr w:rsidR="00C5192E" w:rsidRPr="00B51C50" w14:paraId="04B9087F" w14:textId="77777777" w:rsidTr="00B51C50">
        <w:trPr>
          <w:cantSplit/>
          <w:trHeight w:val="345"/>
          <w:tblHeader/>
        </w:trPr>
        <w:tc>
          <w:tcPr>
            <w:tcW w:w="1819" w:type="pct"/>
            <w:tcBorders>
              <w:bottom w:val="single" w:sz="8" w:space="0" w:color="9688BE" w:themeColor="accent4"/>
              <w:right w:val="single" w:sz="8" w:space="0" w:color="FFFFFF" w:themeColor="background1"/>
            </w:tcBorders>
            <w:shd w:val="clear" w:color="auto" w:fill="9A83B5"/>
            <w:vAlign w:val="center"/>
          </w:tcPr>
          <w:p w14:paraId="28A73165" w14:textId="3E905321" w:rsidR="006C498A" w:rsidRPr="00B51C50" w:rsidRDefault="00C5192E" w:rsidP="004A50F7">
            <w:pPr>
              <w:spacing w:after="0"/>
              <w:rPr>
                <w:rFonts w:eastAsia="Times New Roman"/>
                <w:b/>
                <w:bCs/>
                <w:color w:val="FFFFFF" w:themeColor="background1"/>
                <w:sz w:val="20"/>
                <w:szCs w:val="20"/>
              </w:rPr>
            </w:pPr>
            <w:r w:rsidRPr="00B51C50">
              <w:rPr>
                <w:rFonts w:eastAsia="Times New Roman"/>
                <w:b/>
                <w:bCs/>
                <w:color w:val="FFFFFF" w:themeColor="background1"/>
                <w:sz w:val="20"/>
                <w:szCs w:val="20"/>
              </w:rPr>
              <w:t>Section</w:t>
            </w:r>
          </w:p>
        </w:tc>
        <w:tc>
          <w:tcPr>
            <w:tcW w:w="3181" w:type="pct"/>
            <w:tcBorders>
              <w:left w:val="single" w:sz="8" w:space="0" w:color="FFFFFF" w:themeColor="background1"/>
              <w:bottom w:val="single" w:sz="8" w:space="0" w:color="9688BE" w:themeColor="accent4"/>
            </w:tcBorders>
            <w:shd w:val="clear" w:color="auto" w:fill="9A83B5"/>
            <w:vAlign w:val="center"/>
          </w:tcPr>
          <w:p w14:paraId="311EC6B0" w14:textId="2F043930" w:rsidR="006C498A" w:rsidRPr="00B51C50" w:rsidRDefault="00C5192E" w:rsidP="004A50F7">
            <w:pPr>
              <w:spacing w:after="0"/>
              <w:rPr>
                <w:rFonts w:eastAsia="Times New Roman"/>
                <w:b/>
                <w:bCs/>
                <w:color w:val="FFFFFF" w:themeColor="background1"/>
                <w:sz w:val="20"/>
                <w:szCs w:val="20"/>
              </w:rPr>
            </w:pPr>
            <w:r w:rsidRPr="00B51C50">
              <w:rPr>
                <w:rFonts w:eastAsia="Times New Roman"/>
                <w:b/>
                <w:bCs/>
                <w:color w:val="FFFFFF" w:themeColor="background1"/>
                <w:sz w:val="20"/>
                <w:szCs w:val="20"/>
              </w:rPr>
              <w:t>Supporting information</w:t>
            </w:r>
          </w:p>
        </w:tc>
      </w:tr>
      <w:tr w:rsidR="006F7BDA" w:rsidRPr="00B51C50" w14:paraId="4D3EE782" w14:textId="77777777" w:rsidTr="00B51C50">
        <w:trPr>
          <w:cantSplit/>
          <w:trHeight w:val="2221"/>
        </w:trPr>
        <w:tc>
          <w:tcPr>
            <w:tcW w:w="1819" w:type="pct"/>
          </w:tcPr>
          <w:p w14:paraId="4987B4F5" w14:textId="77777777" w:rsidR="006F7BDA" w:rsidRPr="0009031B" w:rsidRDefault="006F7BDA" w:rsidP="004A50F7">
            <w:pPr>
              <w:autoSpaceDE w:val="0"/>
              <w:autoSpaceDN w:val="0"/>
              <w:adjustRightInd w:val="0"/>
              <w:spacing w:after="80"/>
              <w:rPr>
                <w:rFonts w:eastAsia="Times New Roman" w:cs="Arial"/>
                <w:b/>
                <w:sz w:val="20"/>
                <w:szCs w:val="20"/>
              </w:rPr>
            </w:pPr>
            <w:r w:rsidRPr="0009031B">
              <w:rPr>
                <w:rFonts w:eastAsia="Times New Roman" w:cs="Arial"/>
                <w:b/>
                <w:sz w:val="20"/>
                <w:szCs w:val="20"/>
              </w:rPr>
              <w:t>Section One</w:t>
            </w:r>
          </w:p>
          <w:p w14:paraId="763601C4" w14:textId="5C845C3D" w:rsidR="006F7BDA" w:rsidRPr="0009031B" w:rsidRDefault="006F7BDA" w:rsidP="004A50F7">
            <w:pPr>
              <w:autoSpaceDE w:val="0"/>
              <w:autoSpaceDN w:val="0"/>
              <w:adjustRightInd w:val="0"/>
              <w:spacing w:after="60"/>
              <w:rPr>
                <w:rFonts w:eastAsia="Times New Roman" w:cs="Arial"/>
                <w:b/>
                <w:sz w:val="20"/>
                <w:szCs w:val="20"/>
              </w:rPr>
            </w:pPr>
            <w:r w:rsidRPr="0009031B">
              <w:rPr>
                <w:rFonts w:eastAsia="Times New Roman" w:cs="Arial"/>
                <w:b/>
                <w:sz w:val="20"/>
                <w:szCs w:val="20"/>
              </w:rPr>
              <w:t xml:space="preserve">Short </w:t>
            </w:r>
            <w:r w:rsidR="00853D31" w:rsidRPr="0009031B">
              <w:rPr>
                <w:rFonts w:eastAsia="Times New Roman" w:cs="Arial"/>
                <w:b/>
                <w:sz w:val="20"/>
                <w:szCs w:val="20"/>
              </w:rPr>
              <w:t>answer</w:t>
            </w:r>
            <w:r w:rsidR="0047262F" w:rsidRPr="0009031B">
              <w:rPr>
                <w:rFonts w:eastAsia="Times New Roman" w:cs="Arial"/>
                <w:b/>
                <w:sz w:val="20"/>
                <w:szCs w:val="20"/>
              </w:rPr>
              <w:t xml:space="preserve"> </w:t>
            </w:r>
            <w:r w:rsidRPr="0009031B">
              <w:rPr>
                <w:rFonts w:eastAsia="Times New Roman" w:cs="Arial"/>
                <w:b/>
                <w:sz w:val="20"/>
                <w:szCs w:val="20"/>
              </w:rPr>
              <w:t>–</w:t>
            </w:r>
            <w:r w:rsidR="00FE50AC" w:rsidRPr="0009031B">
              <w:rPr>
                <w:rFonts w:eastAsia="Times New Roman" w:cs="Arial"/>
                <w:b/>
                <w:sz w:val="20"/>
                <w:szCs w:val="20"/>
              </w:rPr>
              <w:t xml:space="preserve"> </w:t>
            </w:r>
            <w:r w:rsidRPr="0009031B">
              <w:rPr>
                <w:rFonts w:eastAsia="Times New Roman" w:cs="Arial"/>
                <w:b/>
                <w:sz w:val="20"/>
                <w:szCs w:val="20"/>
              </w:rPr>
              <w:t>Unit</w:t>
            </w:r>
            <w:r w:rsidR="00FE50AC" w:rsidRPr="0009031B">
              <w:rPr>
                <w:rFonts w:eastAsia="Times New Roman" w:cs="Arial"/>
                <w:b/>
                <w:sz w:val="20"/>
                <w:szCs w:val="20"/>
              </w:rPr>
              <w:t>s</w:t>
            </w:r>
            <w:r w:rsidRPr="0009031B">
              <w:rPr>
                <w:rFonts w:eastAsia="Times New Roman" w:cs="Arial"/>
                <w:b/>
                <w:sz w:val="20"/>
                <w:szCs w:val="20"/>
              </w:rPr>
              <w:t xml:space="preserve"> 3</w:t>
            </w:r>
            <w:r w:rsidR="00FE50AC" w:rsidRPr="0009031B">
              <w:rPr>
                <w:rFonts w:eastAsia="Times New Roman" w:cs="Arial"/>
                <w:b/>
                <w:sz w:val="20"/>
                <w:szCs w:val="20"/>
              </w:rPr>
              <w:t xml:space="preserve"> and 4</w:t>
            </w:r>
          </w:p>
          <w:p w14:paraId="083AA23C" w14:textId="7CDBBD06" w:rsidR="00FE50AC" w:rsidRPr="0009031B" w:rsidRDefault="00FE50AC" w:rsidP="004A50F7">
            <w:pPr>
              <w:autoSpaceDE w:val="0"/>
              <w:autoSpaceDN w:val="0"/>
              <w:adjustRightInd w:val="0"/>
              <w:spacing w:after="60"/>
              <w:rPr>
                <w:rFonts w:eastAsia="Times New Roman" w:cs="Arial"/>
                <w:b/>
                <w:sz w:val="20"/>
                <w:szCs w:val="20"/>
              </w:rPr>
            </w:pPr>
            <w:r w:rsidRPr="0009031B">
              <w:rPr>
                <w:rFonts w:eastAsia="Times New Roman" w:cs="Arial"/>
                <w:b/>
                <w:sz w:val="20"/>
                <w:szCs w:val="20"/>
              </w:rPr>
              <w:t>Part A: Unit 3</w:t>
            </w:r>
          </w:p>
          <w:p w14:paraId="10EEADCC" w14:textId="77777777" w:rsidR="006F7BDA" w:rsidRPr="0009031B" w:rsidRDefault="006F7BDA" w:rsidP="004A50F7">
            <w:pPr>
              <w:autoSpaceDE w:val="0"/>
              <w:autoSpaceDN w:val="0"/>
              <w:adjustRightInd w:val="0"/>
              <w:spacing w:after="60"/>
              <w:rPr>
                <w:rFonts w:eastAsia="Times New Roman" w:cs="Arial"/>
                <w:sz w:val="20"/>
                <w:szCs w:val="20"/>
              </w:rPr>
            </w:pPr>
            <w:r w:rsidRPr="0009031B">
              <w:rPr>
                <w:rFonts w:eastAsia="Times New Roman" w:cs="Arial"/>
                <w:sz w:val="20"/>
                <w:szCs w:val="20"/>
              </w:rPr>
              <w:t>25% of the total examination</w:t>
            </w:r>
          </w:p>
          <w:p w14:paraId="2F8E2CAC" w14:textId="6CC52367" w:rsidR="006F7BDA" w:rsidRPr="0009031B" w:rsidRDefault="00A733A7" w:rsidP="004A50F7">
            <w:pPr>
              <w:autoSpaceDE w:val="0"/>
              <w:autoSpaceDN w:val="0"/>
              <w:adjustRightInd w:val="0"/>
              <w:spacing w:after="60"/>
              <w:rPr>
                <w:rFonts w:eastAsia="Times New Roman" w:cs="Arial"/>
                <w:sz w:val="20"/>
                <w:szCs w:val="20"/>
              </w:rPr>
            </w:pPr>
            <w:r w:rsidRPr="0009031B">
              <w:rPr>
                <w:rFonts w:eastAsia="Times New Roman" w:cs="Arial"/>
                <w:sz w:val="20"/>
                <w:szCs w:val="20"/>
              </w:rPr>
              <w:t xml:space="preserve">Four </w:t>
            </w:r>
            <w:r w:rsidR="005B323A" w:rsidRPr="0009031B">
              <w:rPr>
                <w:rFonts w:eastAsia="Times New Roman" w:cs="Arial"/>
                <w:sz w:val="20"/>
                <w:szCs w:val="20"/>
              </w:rPr>
              <w:t>questions from a choice of</w:t>
            </w:r>
            <w:r w:rsidR="00C709E9">
              <w:rPr>
                <w:rFonts w:eastAsia="Times New Roman" w:cs="Arial"/>
                <w:sz w:val="20"/>
                <w:szCs w:val="20"/>
              </w:rPr>
              <w:t xml:space="preserve"> </w:t>
            </w:r>
            <w:r w:rsidRPr="0009031B">
              <w:rPr>
                <w:rFonts w:eastAsia="Times New Roman" w:cs="Arial"/>
                <w:sz w:val="20"/>
                <w:szCs w:val="20"/>
              </w:rPr>
              <w:t>five</w:t>
            </w:r>
          </w:p>
          <w:p w14:paraId="461FEB8E" w14:textId="5FE44704" w:rsidR="00FE50AC" w:rsidRPr="0009031B" w:rsidRDefault="00FE50AC" w:rsidP="004A50F7">
            <w:pPr>
              <w:autoSpaceDE w:val="0"/>
              <w:autoSpaceDN w:val="0"/>
              <w:adjustRightInd w:val="0"/>
              <w:spacing w:after="60"/>
              <w:rPr>
                <w:rFonts w:eastAsia="Times New Roman" w:cs="Arial"/>
                <w:b/>
                <w:sz w:val="20"/>
                <w:szCs w:val="20"/>
              </w:rPr>
            </w:pPr>
            <w:r w:rsidRPr="0009031B">
              <w:rPr>
                <w:rFonts w:eastAsia="Times New Roman" w:cs="Arial"/>
                <w:b/>
                <w:sz w:val="20"/>
                <w:szCs w:val="20"/>
              </w:rPr>
              <w:t>Part B: Unit 4</w:t>
            </w:r>
          </w:p>
          <w:p w14:paraId="7585EAB9" w14:textId="14EF947B" w:rsidR="004D560D" w:rsidRPr="0009031B" w:rsidRDefault="004D560D" w:rsidP="004A50F7">
            <w:pPr>
              <w:autoSpaceDE w:val="0"/>
              <w:autoSpaceDN w:val="0"/>
              <w:adjustRightInd w:val="0"/>
              <w:spacing w:after="60"/>
              <w:rPr>
                <w:rFonts w:eastAsia="Times New Roman" w:cs="Arial"/>
                <w:sz w:val="20"/>
                <w:szCs w:val="20"/>
              </w:rPr>
            </w:pPr>
            <w:r w:rsidRPr="0009031B">
              <w:rPr>
                <w:rFonts w:eastAsia="Times New Roman" w:cs="Arial"/>
                <w:sz w:val="20"/>
                <w:szCs w:val="20"/>
              </w:rPr>
              <w:t>25% of the total examination</w:t>
            </w:r>
          </w:p>
          <w:p w14:paraId="2D8AAA67" w14:textId="4567B06F" w:rsidR="004D560D" w:rsidRPr="0009031B" w:rsidRDefault="00A733A7" w:rsidP="004A50F7">
            <w:pPr>
              <w:autoSpaceDE w:val="0"/>
              <w:autoSpaceDN w:val="0"/>
              <w:adjustRightInd w:val="0"/>
              <w:spacing w:after="60"/>
              <w:rPr>
                <w:rFonts w:eastAsia="Times New Roman" w:cs="Arial"/>
                <w:sz w:val="20"/>
                <w:szCs w:val="20"/>
              </w:rPr>
            </w:pPr>
            <w:r w:rsidRPr="0009031B">
              <w:rPr>
                <w:rFonts w:eastAsia="Times New Roman" w:cs="Arial"/>
                <w:sz w:val="20"/>
                <w:szCs w:val="20"/>
              </w:rPr>
              <w:t xml:space="preserve">Four </w:t>
            </w:r>
            <w:r w:rsidR="004D560D" w:rsidRPr="0009031B">
              <w:rPr>
                <w:rFonts w:eastAsia="Times New Roman" w:cs="Arial"/>
                <w:sz w:val="20"/>
                <w:szCs w:val="20"/>
              </w:rPr>
              <w:t xml:space="preserve">questions from a choice of </w:t>
            </w:r>
            <w:r w:rsidRPr="0009031B">
              <w:rPr>
                <w:rFonts w:eastAsia="Times New Roman" w:cs="Arial"/>
                <w:sz w:val="20"/>
                <w:szCs w:val="20"/>
              </w:rPr>
              <w:t>five</w:t>
            </w:r>
          </w:p>
          <w:p w14:paraId="3BB7FA2D" w14:textId="1D06CE21" w:rsidR="006F7BDA" w:rsidRPr="0009031B" w:rsidRDefault="006F7BDA" w:rsidP="004A50F7">
            <w:pPr>
              <w:autoSpaceDE w:val="0"/>
              <w:autoSpaceDN w:val="0"/>
              <w:adjustRightInd w:val="0"/>
              <w:spacing w:after="80"/>
              <w:rPr>
                <w:rFonts w:eastAsia="Times New Roman" w:cs="Arial"/>
                <w:sz w:val="20"/>
                <w:szCs w:val="20"/>
              </w:rPr>
            </w:pPr>
            <w:r w:rsidRPr="0009031B">
              <w:rPr>
                <w:rFonts w:eastAsia="Times New Roman" w:cs="Arial"/>
                <w:sz w:val="20"/>
                <w:szCs w:val="20"/>
              </w:rPr>
              <w:t xml:space="preserve">Suggested working time: </w:t>
            </w:r>
            <w:r w:rsidR="004D560D" w:rsidRPr="0009031B">
              <w:rPr>
                <w:rFonts w:eastAsia="Times New Roman" w:cs="Arial"/>
                <w:sz w:val="20"/>
                <w:szCs w:val="20"/>
              </w:rPr>
              <w:t xml:space="preserve">80 </w:t>
            </w:r>
            <w:r w:rsidRPr="0009031B">
              <w:rPr>
                <w:rFonts w:eastAsia="Times New Roman" w:cs="Arial"/>
                <w:sz w:val="20"/>
                <w:szCs w:val="20"/>
              </w:rPr>
              <w:t>minutes</w:t>
            </w:r>
          </w:p>
        </w:tc>
        <w:tc>
          <w:tcPr>
            <w:tcW w:w="3181" w:type="pct"/>
          </w:tcPr>
          <w:p w14:paraId="1D331442" w14:textId="2A0E57C6" w:rsidR="00A44E2E" w:rsidRPr="0009031B" w:rsidRDefault="00696719" w:rsidP="00A44E2E">
            <w:pPr>
              <w:autoSpaceDE w:val="0"/>
              <w:autoSpaceDN w:val="0"/>
              <w:adjustRightInd w:val="0"/>
              <w:rPr>
                <w:rFonts w:eastAsia="Times New Roman" w:cs="Arial"/>
                <w:sz w:val="20"/>
                <w:szCs w:val="20"/>
              </w:rPr>
            </w:pPr>
            <w:r w:rsidRPr="0009031B">
              <w:rPr>
                <w:rFonts w:eastAsia="Times New Roman" w:cs="Arial"/>
                <w:sz w:val="20"/>
                <w:szCs w:val="20"/>
              </w:rPr>
              <w:t xml:space="preserve">The candidate answers </w:t>
            </w:r>
            <w:r w:rsidR="00A44E2E" w:rsidRPr="0009031B">
              <w:rPr>
                <w:rFonts w:eastAsia="Times New Roman" w:cs="Arial"/>
                <w:sz w:val="20"/>
                <w:szCs w:val="20"/>
              </w:rPr>
              <w:t xml:space="preserve">eight </w:t>
            </w:r>
            <w:r w:rsidR="006F7BDA" w:rsidRPr="0009031B">
              <w:rPr>
                <w:rFonts w:eastAsia="Times New Roman" w:cs="Arial"/>
                <w:sz w:val="20"/>
                <w:szCs w:val="20"/>
              </w:rPr>
              <w:t>questions</w:t>
            </w:r>
          </w:p>
          <w:p w14:paraId="132CCEA0" w14:textId="15ADAB28" w:rsidR="00696719" w:rsidRPr="0009031B" w:rsidRDefault="006C35B3" w:rsidP="00A44E2E">
            <w:pPr>
              <w:pStyle w:val="ListParagraph"/>
              <w:numPr>
                <w:ilvl w:val="0"/>
                <w:numId w:val="76"/>
              </w:numPr>
              <w:autoSpaceDE w:val="0"/>
              <w:autoSpaceDN w:val="0"/>
              <w:adjustRightInd w:val="0"/>
              <w:rPr>
                <w:sz w:val="20"/>
                <w:szCs w:val="20"/>
              </w:rPr>
            </w:pPr>
            <w:r w:rsidRPr="0009031B">
              <w:rPr>
                <w:sz w:val="20"/>
                <w:szCs w:val="20"/>
              </w:rPr>
              <w:t xml:space="preserve">four </w:t>
            </w:r>
            <w:r w:rsidR="00917BF1" w:rsidRPr="0009031B">
              <w:rPr>
                <w:sz w:val="20"/>
                <w:szCs w:val="20"/>
              </w:rPr>
              <w:t xml:space="preserve">questions from a choice of </w:t>
            </w:r>
            <w:r w:rsidRPr="0009031B">
              <w:rPr>
                <w:sz w:val="20"/>
                <w:szCs w:val="20"/>
              </w:rPr>
              <w:t xml:space="preserve">five </w:t>
            </w:r>
            <w:r w:rsidR="00917BF1" w:rsidRPr="0009031B">
              <w:rPr>
                <w:sz w:val="20"/>
                <w:szCs w:val="20"/>
              </w:rPr>
              <w:t>from Part A which are specific to the Unit 3 elective they have studied</w:t>
            </w:r>
          </w:p>
          <w:p w14:paraId="401D3D73" w14:textId="0264E0F9" w:rsidR="00696719" w:rsidRPr="0009031B" w:rsidRDefault="006C35B3" w:rsidP="008F7B45">
            <w:pPr>
              <w:pStyle w:val="SyllabusListParagraph"/>
              <w:numPr>
                <w:ilvl w:val="0"/>
                <w:numId w:val="72"/>
              </w:numPr>
              <w:rPr>
                <w:sz w:val="20"/>
              </w:rPr>
            </w:pPr>
            <w:r w:rsidRPr="0009031B">
              <w:rPr>
                <w:sz w:val="20"/>
              </w:rPr>
              <w:t xml:space="preserve">four </w:t>
            </w:r>
            <w:r w:rsidR="00917BF1" w:rsidRPr="0009031B">
              <w:rPr>
                <w:sz w:val="20"/>
              </w:rPr>
              <w:t xml:space="preserve">questions from a choice of </w:t>
            </w:r>
            <w:r w:rsidRPr="0009031B">
              <w:rPr>
                <w:sz w:val="20"/>
              </w:rPr>
              <w:t xml:space="preserve">five </w:t>
            </w:r>
            <w:r w:rsidR="00917BF1" w:rsidRPr="0009031B">
              <w:rPr>
                <w:sz w:val="20"/>
              </w:rPr>
              <w:t>from P</w:t>
            </w:r>
            <w:r w:rsidR="00CC2985" w:rsidRPr="0009031B">
              <w:rPr>
                <w:sz w:val="20"/>
              </w:rPr>
              <w:t>art B</w:t>
            </w:r>
            <w:r w:rsidR="00917BF1" w:rsidRPr="0009031B">
              <w:rPr>
                <w:sz w:val="20"/>
              </w:rPr>
              <w:t xml:space="preserve"> which are specific to the Uni</w:t>
            </w:r>
            <w:r w:rsidR="00CC2985" w:rsidRPr="0009031B">
              <w:rPr>
                <w:sz w:val="20"/>
              </w:rPr>
              <w:t>t 4</w:t>
            </w:r>
            <w:r w:rsidR="00917BF1" w:rsidRPr="0009031B">
              <w:rPr>
                <w:sz w:val="20"/>
              </w:rPr>
              <w:t xml:space="preserve"> elective they have studied</w:t>
            </w:r>
            <w:r w:rsidR="00CC2985" w:rsidRPr="0009031B">
              <w:rPr>
                <w:sz w:val="20"/>
              </w:rPr>
              <w:t>.</w:t>
            </w:r>
          </w:p>
          <w:p w14:paraId="5CC09E79" w14:textId="1EF26191" w:rsidR="00696719" w:rsidRPr="0009031B" w:rsidRDefault="006F7BDA" w:rsidP="004A50F7">
            <w:pPr>
              <w:autoSpaceDE w:val="0"/>
              <w:autoSpaceDN w:val="0"/>
              <w:adjustRightInd w:val="0"/>
              <w:rPr>
                <w:rFonts w:eastAsia="Times New Roman" w:cs="Arial"/>
                <w:sz w:val="20"/>
                <w:szCs w:val="20"/>
              </w:rPr>
            </w:pPr>
            <w:r w:rsidRPr="0009031B">
              <w:rPr>
                <w:rFonts w:eastAsia="Times New Roman" w:cs="Arial"/>
                <w:sz w:val="20"/>
                <w:szCs w:val="20"/>
              </w:rPr>
              <w:t>Questions can</w:t>
            </w:r>
            <w:r w:rsidR="00917BF1" w:rsidRPr="0009031B">
              <w:rPr>
                <w:rFonts w:eastAsia="Times New Roman" w:cs="Arial"/>
                <w:sz w:val="20"/>
                <w:szCs w:val="20"/>
              </w:rPr>
              <w:t xml:space="preserve"> be in parts and can</w:t>
            </w:r>
            <w:r w:rsidR="00D63451" w:rsidRPr="0009031B">
              <w:rPr>
                <w:rFonts w:eastAsia="Times New Roman" w:cs="Arial"/>
                <w:sz w:val="20"/>
                <w:szCs w:val="20"/>
              </w:rPr>
              <w:t xml:space="preserve"> </w:t>
            </w:r>
            <w:r w:rsidR="00917BF1" w:rsidRPr="0009031B">
              <w:rPr>
                <w:rFonts w:eastAsia="Times New Roman" w:cs="Arial"/>
                <w:sz w:val="20"/>
                <w:szCs w:val="20"/>
              </w:rPr>
              <w:t>require the candidate to respond to stimulus and/or source material.</w:t>
            </w:r>
          </w:p>
          <w:p w14:paraId="7B7EDF06" w14:textId="57DBD1D3" w:rsidR="00CC2985" w:rsidRPr="0009031B" w:rsidRDefault="00CC2985" w:rsidP="0009031B">
            <w:pPr>
              <w:autoSpaceDE w:val="0"/>
              <w:autoSpaceDN w:val="0"/>
              <w:adjustRightInd w:val="0"/>
              <w:spacing w:after="0"/>
              <w:rPr>
                <w:rFonts w:eastAsia="Times New Roman" w:cs="Arial"/>
                <w:sz w:val="20"/>
                <w:szCs w:val="20"/>
              </w:rPr>
            </w:pPr>
            <w:r w:rsidRPr="0009031B">
              <w:rPr>
                <w:rFonts w:eastAsia="Times New Roman" w:cs="Arial"/>
                <w:sz w:val="20"/>
                <w:szCs w:val="20"/>
              </w:rPr>
              <w:t xml:space="preserve">Questions </w:t>
            </w:r>
            <w:r w:rsidR="00A44E2E" w:rsidRPr="0009031B">
              <w:rPr>
                <w:rFonts w:eastAsia="Times New Roman" w:cs="Arial"/>
                <w:sz w:val="20"/>
                <w:szCs w:val="20"/>
              </w:rPr>
              <w:t xml:space="preserve">can </w:t>
            </w:r>
            <w:r w:rsidR="006F7BDA" w:rsidRPr="0009031B">
              <w:rPr>
                <w:rFonts w:eastAsia="Times New Roman" w:cs="Arial"/>
                <w:sz w:val="20"/>
                <w:szCs w:val="20"/>
              </w:rPr>
              <w:t xml:space="preserve">require the candidate to </w:t>
            </w:r>
            <w:r w:rsidR="00A44E2E" w:rsidRPr="0009031B">
              <w:rPr>
                <w:rFonts w:eastAsia="Times New Roman" w:cs="Arial"/>
                <w:sz w:val="20"/>
                <w:szCs w:val="20"/>
              </w:rPr>
              <w:t>identify</w:t>
            </w:r>
            <w:r w:rsidR="00011A0F">
              <w:rPr>
                <w:rFonts w:eastAsia="Times New Roman" w:cs="Arial"/>
                <w:sz w:val="20"/>
                <w:szCs w:val="20"/>
              </w:rPr>
              <w:t>,</w:t>
            </w:r>
            <w:r w:rsidR="00A44E2E" w:rsidRPr="0009031B">
              <w:rPr>
                <w:rFonts w:eastAsia="Times New Roman" w:cs="Arial"/>
                <w:sz w:val="20"/>
                <w:szCs w:val="20"/>
              </w:rPr>
              <w:t xml:space="preserve"> </w:t>
            </w:r>
            <w:r w:rsidRPr="0009031B">
              <w:rPr>
                <w:rFonts w:eastAsia="Times New Roman" w:cs="Arial"/>
                <w:sz w:val="20"/>
                <w:szCs w:val="20"/>
              </w:rPr>
              <w:t>define</w:t>
            </w:r>
            <w:r w:rsidR="006F7BDA" w:rsidRPr="0009031B">
              <w:rPr>
                <w:rFonts w:eastAsia="Times New Roman" w:cs="Arial"/>
                <w:sz w:val="20"/>
                <w:szCs w:val="20"/>
              </w:rPr>
              <w:t xml:space="preserve">, </w:t>
            </w:r>
            <w:r w:rsidRPr="0009031B">
              <w:rPr>
                <w:rFonts w:eastAsia="Times New Roman" w:cs="Arial"/>
                <w:sz w:val="20"/>
                <w:szCs w:val="20"/>
              </w:rPr>
              <w:t>describe, outline, summarise</w:t>
            </w:r>
            <w:r w:rsidR="005005C5" w:rsidRPr="0009031B">
              <w:rPr>
                <w:rFonts w:eastAsia="Times New Roman" w:cs="Arial"/>
                <w:sz w:val="20"/>
                <w:szCs w:val="20"/>
              </w:rPr>
              <w:t>,</w:t>
            </w:r>
            <w:r w:rsidRPr="0009031B">
              <w:rPr>
                <w:rFonts w:eastAsia="Times New Roman" w:cs="Arial"/>
                <w:sz w:val="20"/>
                <w:szCs w:val="20"/>
              </w:rPr>
              <w:t xml:space="preserve"> compare,</w:t>
            </w:r>
            <w:r w:rsidR="00A44E2E" w:rsidRPr="0009031B">
              <w:rPr>
                <w:rFonts w:eastAsia="Times New Roman" w:cs="Arial"/>
                <w:sz w:val="20"/>
                <w:szCs w:val="20"/>
              </w:rPr>
              <w:t xml:space="preserve"> contrast, comment on</w:t>
            </w:r>
            <w:r w:rsidRPr="0009031B">
              <w:rPr>
                <w:rFonts w:eastAsia="Times New Roman" w:cs="Arial"/>
                <w:sz w:val="20"/>
                <w:szCs w:val="20"/>
              </w:rPr>
              <w:t xml:space="preserve"> </w:t>
            </w:r>
            <w:r w:rsidR="00A44E2E" w:rsidRPr="0009031B">
              <w:rPr>
                <w:rFonts w:eastAsia="Times New Roman" w:cs="Arial"/>
                <w:sz w:val="20"/>
                <w:szCs w:val="20"/>
              </w:rPr>
              <w:t xml:space="preserve">and/or </w:t>
            </w:r>
            <w:r w:rsidRPr="0009031B">
              <w:rPr>
                <w:rFonts w:eastAsia="Times New Roman" w:cs="Arial"/>
                <w:sz w:val="20"/>
                <w:szCs w:val="20"/>
              </w:rPr>
              <w:t>explain</w:t>
            </w:r>
            <w:r w:rsidR="0009031B" w:rsidRPr="0009031B">
              <w:rPr>
                <w:rFonts w:eastAsia="Times New Roman" w:cs="Arial"/>
                <w:sz w:val="20"/>
                <w:szCs w:val="20"/>
              </w:rPr>
              <w:t>.</w:t>
            </w:r>
          </w:p>
        </w:tc>
      </w:tr>
      <w:tr w:rsidR="005E1CCC" w:rsidRPr="00B51C50" w14:paraId="42E0D441" w14:textId="77777777" w:rsidTr="00B51C50">
        <w:trPr>
          <w:cantSplit/>
          <w:trHeight w:val="801"/>
        </w:trPr>
        <w:tc>
          <w:tcPr>
            <w:tcW w:w="1819" w:type="pct"/>
          </w:tcPr>
          <w:p w14:paraId="014449A9" w14:textId="77777777" w:rsidR="005E1CCC" w:rsidRPr="00523D6C" w:rsidRDefault="002275E3" w:rsidP="004A50F7">
            <w:pPr>
              <w:autoSpaceDE w:val="0"/>
              <w:autoSpaceDN w:val="0"/>
              <w:adjustRightInd w:val="0"/>
              <w:spacing w:after="60"/>
              <w:rPr>
                <w:rFonts w:eastAsia="Times New Roman" w:cs="Arial"/>
                <w:b/>
                <w:bCs/>
                <w:sz w:val="20"/>
                <w:szCs w:val="20"/>
              </w:rPr>
            </w:pPr>
            <w:r w:rsidRPr="00523D6C">
              <w:rPr>
                <w:rFonts w:eastAsia="Times New Roman" w:cs="Arial"/>
                <w:b/>
                <w:bCs/>
                <w:sz w:val="20"/>
                <w:szCs w:val="20"/>
              </w:rPr>
              <w:lastRenderedPageBreak/>
              <w:t xml:space="preserve">Section </w:t>
            </w:r>
            <w:r w:rsidR="00960A5E" w:rsidRPr="00523D6C">
              <w:rPr>
                <w:rFonts w:eastAsia="Times New Roman" w:cs="Arial"/>
                <w:b/>
                <w:bCs/>
                <w:sz w:val="20"/>
                <w:szCs w:val="20"/>
              </w:rPr>
              <w:t>Two</w:t>
            </w:r>
          </w:p>
          <w:p w14:paraId="33CA8D4C" w14:textId="5CB28D8E" w:rsidR="005E1CCC" w:rsidRPr="00523D6C" w:rsidRDefault="00960A5E" w:rsidP="004A50F7">
            <w:pPr>
              <w:autoSpaceDE w:val="0"/>
              <w:autoSpaceDN w:val="0"/>
              <w:adjustRightInd w:val="0"/>
              <w:spacing w:after="60"/>
              <w:rPr>
                <w:rFonts w:eastAsia="Times New Roman" w:cs="Arial"/>
                <w:b/>
                <w:bCs/>
                <w:sz w:val="20"/>
                <w:szCs w:val="20"/>
              </w:rPr>
            </w:pPr>
            <w:r w:rsidRPr="00523D6C">
              <w:rPr>
                <w:rFonts w:eastAsia="Times New Roman" w:cs="Arial"/>
                <w:b/>
                <w:bCs/>
                <w:sz w:val="20"/>
                <w:szCs w:val="20"/>
              </w:rPr>
              <w:t xml:space="preserve">Extended </w:t>
            </w:r>
            <w:r w:rsidR="00853D31" w:rsidRPr="00523D6C">
              <w:rPr>
                <w:rFonts w:eastAsia="Times New Roman" w:cs="Arial"/>
                <w:b/>
                <w:bCs/>
                <w:sz w:val="20"/>
                <w:szCs w:val="20"/>
              </w:rPr>
              <w:t>answer</w:t>
            </w:r>
            <w:r w:rsidR="00011A0F">
              <w:rPr>
                <w:rFonts w:eastAsia="Times New Roman" w:cs="Arial"/>
                <w:b/>
                <w:bCs/>
                <w:sz w:val="20"/>
                <w:szCs w:val="20"/>
              </w:rPr>
              <w:t xml:space="preserve"> </w:t>
            </w:r>
            <w:r w:rsidR="005E1CCC" w:rsidRPr="00523D6C">
              <w:rPr>
                <w:rFonts w:eastAsia="Times New Roman" w:cs="Arial"/>
                <w:b/>
                <w:bCs/>
                <w:sz w:val="20"/>
                <w:szCs w:val="20"/>
              </w:rPr>
              <w:t>– Units 3 and 4</w:t>
            </w:r>
          </w:p>
          <w:p w14:paraId="7C9B5939" w14:textId="77777777" w:rsidR="005E1CCC" w:rsidRPr="00523D6C" w:rsidRDefault="005E1CCC" w:rsidP="004A50F7">
            <w:pPr>
              <w:autoSpaceDE w:val="0"/>
              <w:autoSpaceDN w:val="0"/>
              <w:adjustRightInd w:val="0"/>
              <w:spacing w:after="60"/>
              <w:rPr>
                <w:rFonts w:eastAsia="Times New Roman" w:cs="Arial"/>
                <w:b/>
                <w:bCs/>
                <w:sz w:val="20"/>
                <w:szCs w:val="20"/>
              </w:rPr>
            </w:pPr>
            <w:r w:rsidRPr="00523D6C">
              <w:rPr>
                <w:rFonts w:eastAsia="Times New Roman" w:cs="Arial"/>
                <w:b/>
                <w:bCs/>
                <w:sz w:val="20"/>
                <w:szCs w:val="20"/>
              </w:rPr>
              <w:t>Part A: Unit 3</w:t>
            </w:r>
          </w:p>
          <w:p w14:paraId="6EBAE963" w14:textId="77777777" w:rsidR="005E1CCC" w:rsidRPr="00523D6C" w:rsidRDefault="005E1CCC" w:rsidP="004A50F7">
            <w:pPr>
              <w:autoSpaceDE w:val="0"/>
              <w:autoSpaceDN w:val="0"/>
              <w:adjustRightInd w:val="0"/>
              <w:spacing w:after="60"/>
              <w:rPr>
                <w:rFonts w:eastAsia="Times New Roman" w:cs="Arial"/>
                <w:bCs/>
                <w:sz w:val="20"/>
                <w:szCs w:val="20"/>
              </w:rPr>
            </w:pPr>
            <w:r w:rsidRPr="00523D6C">
              <w:rPr>
                <w:rFonts w:eastAsia="Times New Roman" w:cs="Arial"/>
                <w:bCs/>
                <w:sz w:val="20"/>
                <w:szCs w:val="20"/>
              </w:rPr>
              <w:t>25% of the total examination</w:t>
            </w:r>
          </w:p>
          <w:p w14:paraId="13985EFF" w14:textId="77777777" w:rsidR="005E1CCC" w:rsidRPr="00523D6C" w:rsidRDefault="005E1CCC" w:rsidP="004A50F7">
            <w:pPr>
              <w:autoSpaceDE w:val="0"/>
              <w:autoSpaceDN w:val="0"/>
              <w:adjustRightInd w:val="0"/>
              <w:spacing w:after="60"/>
              <w:rPr>
                <w:rFonts w:eastAsia="Times New Roman" w:cs="Arial"/>
                <w:bCs/>
                <w:sz w:val="20"/>
                <w:szCs w:val="20"/>
              </w:rPr>
            </w:pPr>
            <w:r w:rsidRPr="00523D6C">
              <w:rPr>
                <w:rFonts w:eastAsia="Times New Roman" w:cs="Arial"/>
                <w:bCs/>
                <w:sz w:val="20"/>
                <w:szCs w:val="20"/>
              </w:rPr>
              <w:t xml:space="preserve">One </w:t>
            </w:r>
            <w:r w:rsidR="002275E3" w:rsidRPr="00523D6C">
              <w:rPr>
                <w:rFonts w:eastAsia="Times New Roman" w:cs="Arial"/>
                <w:bCs/>
                <w:sz w:val="20"/>
                <w:szCs w:val="20"/>
              </w:rPr>
              <w:t>question from a choice of three</w:t>
            </w:r>
          </w:p>
          <w:p w14:paraId="1028599F" w14:textId="77777777" w:rsidR="005E1CCC" w:rsidRPr="00523D6C" w:rsidRDefault="005E1CCC" w:rsidP="004A50F7">
            <w:pPr>
              <w:autoSpaceDE w:val="0"/>
              <w:autoSpaceDN w:val="0"/>
              <w:adjustRightInd w:val="0"/>
              <w:spacing w:after="80"/>
              <w:rPr>
                <w:rFonts w:eastAsia="Times New Roman" w:cs="Arial"/>
                <w:b/>
                <w:bCs/>
                <w:sz w:val="20"/>
                <w:szCs w:val="20"/>
              </w:rPr>
            </w:pPr>
            <w:r w:rsidRPr="00523D6C">
              <w:rPr>
                <w:rFonts w:eastAsia="Times New Roman" w:cs="Arial"/>
                <w:b/>
                <w:bCs/>
                <w:sz w:val="20"/>
                <w:szCs w:val="20"/>
              </w:rPr>
              <w:t>Part B: Unit 4</w:t>
            </w:r>
          </w:p>
          <w:p w14:paraId="7702D916" w14:textId="77777777" w:rsidR="005E1CCC" w:rsidRPr="00523D6C" w:rsidRDefault="005E1CCC" w:rsidP="004A50F7">
            <w:pPr>
              <w:autoSpaceDE w:val="0"/>
              <w:autoSpaceDN w:val="0"/>
              <w:adjustRightInd w:val="0"/>
              <w:spacing w:after="60"/>
              <w:rPr>
                <w:rFonts w:eastAsia="Times New Roman" w:cs="Arial"/>
                <w:bCs/>
                <w:sz w:val="20"/>
                <w:szCs w:val="20"/>
              </w:rPr>
            </w:pPr>
            <w:r w:rsidRPr="00523D6C">
              <w:rPr>
                <w:rFonts w:eastAsia="Times New Roman" w:cs="Arial"/>
                <w:bCs/>
                <w:sz w:val="20"/>
                <w:szCs w:val="20"/>
              </w:rPr>
              <w:t>25% of the total examination</w:t>
            </w:r>
          </w:p>
          <w:p w14:paraId="434F2744" w14:textId="77777777" w:rsidR="005E1CCC" w:rsidRPr="00523D6C" w:rsidRDefault="005E1CCC" w:rsidP="004A50F7">
            <w:pPr>
              <w:autoSpaceDE w:val="0"/>
              <w:autoSpaceDN w:val="0"/>
              <w:adjustRightInd w:val="0"/>
              <w:spacing w:after="60"/>
              <w:rPr>
                <w:rFonts w:eastAsia="Times New Roman" w:cs="Arial"/>
                <w:bCs/>
                <w:sz w:val="20"/>
                <w:szCs w:val="20"/>
              </w:rPr>
            </w:pPr>
            <w:r w:rsidRPr="00523D6C">
              <w:rPr>
                <w:rFonts w:eastAsia="Times New Roman" w:cs="Arial"/>
                <w:bCs/>
                <w:sz w:val="20"/>
                <w:szCs w:val="20"/>
              </w:rPr>
              <w:t xml:space="preserve">One </w:t>
            </w:r>
            <w:r w:rsidR="002275E3" w:rsidRPr="00523D6C">
              <w:rPr>
                <w:rFonts w:eastAsia="Times New Roman" w:cs="Arial"/>
                <w:bCs/>
                <w:sz w:val="20"/>
                <w:szCs w:val="20"/>
              </w:rPr>
              <w:t>question from a choice of three</w:t>
            </w:r>
          </w:p>
          <w:p w14:paraId="4EA2225C" w14:textId="311F91EC" w:rsidR="005E1CCC" w:rsidRPr="00523D6C" w:rsidRDefault="005E1CCC" w:rsidP="004A50F7">
            <w:pPr>
              <w:autoSpaceDE w:val="0"/>
              <w:autoSpaceDN w:val="0"/>
              <w:adjustRightInd w:val="0"/>
              <w:spacing w:after="60"/>
              <w:rPr>
                <w:rFonts w:eastAsia="Times New Roman" w:cs="Arial"/>
                <w:bCs/>
                <w:sz w:val="20"/>
                <w:szCs w:val="20"/>
              </w:rPr>
            </w:pPr>
            <w:r w:rsidRPr="00523D6C">
              <w:rPr>
                <w:rFonts w:eastAsia="Times New Roman" w:cs="Arial"/>
                <w:bCs/>
                <w:sz w:val="20"/>
                <w:szCs w:val="20"/>
              </w:rPr>
              <w:t xml:space="preserve">Suggested working time: </w:t>
            </w:r>
            <w:r w:rsidR="00831393" w:rsidRPr="00523D6C">
              <w:rPr>
                <w:rFonts w:eastAsia="Times New Roman" w:cs="Arial"/>
                <w:bCs/>
                <w:sz w:val="20"/>
                <w:szCs w:val="20"/>
              </w:rPr>
              <w:t>10</w:t>
            </w:r>
            <w:r w:rsidR="006F7BDA" w:rsidRPr="00523D6C">
              <w:rPr>
                <w:rFonts w:eastAsia="Times New Roman" w:cs="Arial"/>
                <w:bCs/>
                <w:sz w:val="20"/>
                <w:szCs w:val="20"/>
              </w:rPr>
              <w:t>0</w:t>
            </w:r>
            <w:r w:rsidRPr="00523D6C">
              <w:rPr>
                <w:rFonts w:eastAsia="Times New Roman" w:cs="Arial"/>
                <w:bCs/>
                <w:sz w:val="20"/>
                <w:szCs w:val="20"/>
              </w:rPr>
              <w:t xml:space="preserve"> minutes</w:t>
            </w:r>
          </w:p>
        </w:tc>
        <w:tc>
          <w:tcPr>
            <w:tcW w:w="3181" w:type="pct"/>
            <w:shd w:val="clear" w:color="auto" w:fill="auto"/>
          </w:tcPr>
          <w:p w14:paraId="3D0D0847" w14:textId="77777777" w:rsidR="001A76E7" w:rsidRPr="00523D6C" w:rsidRDefault="001A76E7" w:rsidP="004A50F7">
            <w:pPr>
              <w:autoSpaceDE w:val="0"/>
              <w:autoSpaceDN w:val="0"/>
              <w:adjustRightInd w:val="0"/>
              <w:rPr>
                <w:rFonts w:eastAsia="Times New Roman" w:cs="Arial"/>
                <w:sz w:val="20"/>
                <w:szCs w:val="20"/>
              </w:rPr>
            </w:pPr>
            <w:r w:rsidRPr="00523D6C">
              <w:rPr>
                <w:rFonts w:eastAsia="Times New Roman" w:cs="Arial"/>
                <w:sz w:val="20"/>
                <w:szCs w:val="20"/>
              </w:rPr>
              <w:t>The candidate answers two questions:</w:t>
            </w:r>
          </w:p>
          <w:p w14:paraId="38035200" w14:textId="2614B238" w:rsidR="001A76E7" w:rsidRPr="00523D6C" w:rsidRDefault="001A76E7" w:rsidP="00930D44">
            <w:pPr>
              <w:pStyle w:val="SyllabusListParagraph"/>
              <w:numPr>
                <w:ilvl w:val="0"/>
                <w:numId w:val="73"/>
              </w:numPr>
              <w:rPr>
                <w:rFonts w:eastAsia="Century Gothic" w:cstheme="minorHAnsi"/>
                <w:sz w:val="20"/>
              </w:rPr>
            </w:pPr>
            <w:r w:rsidRPr="00523D6C">
              <w:rPr>
                <w:sz w:val="20"/>
              </w:rPr>
              <w:t>one question from Part A where the questions are specific to each elective from Unit 3</w:t>
            </w:r>
            <w:r w:rsidR="00930D44" w:rsidRPr="00523D6C">
              <w:rPr>
                <w:sz w:val="20"/>
              </w:rPr>
              <w:t>.</w:t>
            </w:r>
            <w:r w:rsidRPr="00523D6C">
              <w:rPr>
                <w:sz w:val="20"/>
              </w:rPr>
              <w:t xml:space="preserve"> </w:t>
            </w:r>
            <w:r w:rsidR="00930D44" w:rsidRPr="00523D6C">
              <w:rPr>
                <w:sz w:val="20"/>
              </w:rPr>
              <w:t>If appropriate, candidates can draw on Unit 4 content of the elective they have studied to respond to the question</w:t>
            </w:r>
            <w:r w:rsidR="00930D44" w:rsidRPr="00523D6C">
              <w:rPr>
                <w:rFonts w:eastAsia="Century Gothic" w:cstheme="minorHAnsi"/>
                <w:sz w:val="20"/>
              </w:rPr>
              <w:t>.</w:t>
            </w:r>
          </w:p>
          <w:p w14:paraId="11256443" w14:textId="4EA10515" w:rsidR="00930D44" w:rsidRPr="00523D6C" w:rsidRDefault="00930D44" w:rsidP="00011A0F">
            <w:pPr>
              <w:pStyle w:val="SyllabusListParagraph"/>
              <w:numPr>
                <w:ilvl w:val="0"/>
                <w:numId w:val="0"/>
              </w:numPr>
              <w:rPr>
                <w:rFonts w:eastAsia="Century Gothic" w:cstheme="minorHAnsi"/>
                <w:sz w:val="20"/>
              </w:rPr>
            </w:pPr>
            <w:r w:rsidRPr="00523D6C">
              <w:rPr>
                <w:rFonts w:eastAsia="Century Gothic" w:cstheme="minorHAnsi"/>
                <w:sz w:val="20"/>
              </w:rPr>
              <w:t>and</w:t>
            </w:r>
          </w:p>
          <w:p w14:paraId="726DAB67" w14:textId="77777777" w:rsidR="001A76E7" w:rsidRPr="00523D6C" w:rsidRDefault="001A76E7" w:rsidP="008F7B45">
            <w:pPr>
              <w:pStyle w:val="SyllabusListParagraph"/>
              <w:numPr>
                <w:ilvl w:val="0"/>
                <w:numId w:val="73"/>
              </w:numPr>
              <w:rPr>
                <w:rFonts w:eastAsia="Century Gothic" w:cstheme="minorHAnsi"/>
                <w:sz w:val="20"/>
              </w:rPr>
            </w:pPr>
            <w:r w:rsidRPr="00523D6C">
              <w:rPr>
                <w:sz w:val="20"/>
              </w:rPr>
              <w:t>one question from Part B where the questions are specific to each elective from Unit 4. If appropriate, candidates can draw on Unit 3 content of the elective they have studied to respond to the question</w:t>
            </w:r>
            <w:r w:rsidRPr="00523D6C">
              <w:rPr>
                <w:rFonts w:eastAsia="Century Gothic" w:cstheme="minorHAnsi"/>
                <w:sz w:val="20"/>
              </w:rPr>
              <w:t>.</w:t>
            </w:r>
          </w:p>
          <w:p w14:paraId="42CCB252" w14:textId="41E1D86B" w:rsidR="0047262F" w:rsidRPr="00523D6C" w:rsidRDefault="001A76E7" w:rsidP="004A50F7">
            <w:pPr>
              <w:autoSpaceDE w:val="0"/>
              <w:autoSpaceDN w:val="0"/>
              <w:adjustRightInd w:val="0"/>
              <w:rPr>
                <w:rFonts w:eastAsia="Times New Roman" w:cs="Arial"/>
                <w:sz w:val="20"/>
                <w:szCs w:val="20"/>
              </w:rPr>
            </w:pPr>
            <w:r w:rsidRPr="00523D6C">
              <w:rPr>
                <w:rFonts w:eastAsia="Times New Roman" w:cs="Arial"/>
                <w:sz w:val="20"/>
                <w:szCs w:val="20"/>
              </w:rPr>
              <w:t>The questions can be scaffolded</w:t>
            </w:r>
            <w:r w:rsidR="0047262F" w:rsidRPr="00523D6C">
              <w:rPr>
                <w:rFonts w:eastAsia="Times New Roman" w:cs="Arial"/>
                <w:sz w:val="20"/>
                <w:szCs w:val="20"/>
              </w:rPr>
              <w:t xml:space="preserve"> </w:t>
            </w:r>
            <w:r w:rsidR="000120CF" w:rsidRPr="00523D6C">
              <w:rPr>
                <w:rFonts w:eastAsia="Times New Roman" w:cs="Arial"/>
                <w:sz w:val="20"/>
                <w:szCs w:val="20"/>
              </w:rPr>
              <w:t>and can require the candidate to respond to stimulus and/or source material</w:t>
            </w:r>
            <w:r w:rsidR="0047262F" w:rsidRPr="00523D6C">
              <w:rPr>
                <w:rFonts w:eastAsia="Times New Roman" w:cs="Arial"/>
                <w:sz w:val="20"/>
                <w:szCs w:val="20"/>
              </w:rPr>
              <w:t>.</w:t>
            </w:r>
            <w:r w:rsidR="000120CF" w:rsidRPr="00523D6C">
              <w:rPr>
                <w:rFonts w:eastAsia="Times New Roman" w:cs="Arial"/>
                <w:sz w:val="20"/>
                <w:szCs w:val="20"/>
              </w:rPr>
              <w:t xml:space="preserve"> </w:t>
            </w:r>
          </w:p>
          <w:p w14:paraId="1210B2B8" w14:textId="0E0A78E5" w:rsidR="001A76E7" w:rsidRPr="00523D6C" w:rsidRDefault="001A76E7" w:rsidP="004A50F7">
            <w:pPr>
              <w:autoSpaceDE w:val="0"/>
              <w:autoSpaceDN w:val="0"/>
              <w:adjustRightInd w:val="0"/>
              <w:rPr>
                <w:rFonts w:eastAsia="Times New Roman" w:cs="Arial"/>
                <w:sz w:val="20"/>
                <w:szCs w:val="20"/>
              </w:rPr>
            </w:pPr>
            <w:r w:rsidRPr="00523D6C">
              <w:rPr>
                <w:rFonts w:eastAsia="Times New Roman" w:cs="Arial"/>
                <w:sz w:val="20"/>
                <w:szCs w:val="20"/>
              </w:rPr>
              <w:t>Questions common to two or more electives are not precluded.</w:t>
            </w:r>
          </w:p>
          <w:p w14:paraId="4687989E" w14:textId="1F58E3E3" w:rsidR="005E1CCC" w:rsidRPr="00523D6C" w:rsidRDefault="001A76E7" w:rsidP="0009031B">
            <w:pPr>
              <w:autoSpaceDE w:val="0"/>
              <w:autoSpaceDN w:val="0"/>
              <w:adjustRightInd w:val="0"/>
              <w:rPr>
                <w:rFonts w:eastAsia="Times New Roman" w:cs="Arial"/>
                <w:sz w:val="20"/>
                <w:szCs w:val="20"/>
              </w:rPr>
            </w:pPr>
            <w:r w:rsidRPr="00523D6C">
              <w:rPr>
                <w:rFonts w:eastAsia="Times New Roman" w:cs="Arial"/>
                <w:sz w:val="20"/>
                <w:szCs w:val="20"/>
              </w:rPr>
              <w:t>The questions can require the candidate to outline, explain, discuss, assess, examine, analyse</w:t>
            </w:r>
            <w:r w:rsidR="0009031B" w:rsidRPr="00523D6C">
              <w:rPr>
                <w:rFonts w:eastAsia="Times New Roman" w:cs="Arial"/>
                <w:sz w:val="20"/>
                <w:szCs w:val="20"/>
              </w:rPr>
              <w:t xml:space="preserve"> </w:t>
            </w:r>
            <w:r w:rsidRPr="00523D6C">
              <w:rPr>
                <w:rFonts w:eastAsia="Times New Roman" w:cs="Arial"/>
                <w:sz w:val="20"/>
                <w:szCs w:val="20"/>
              </w:rPr>
              <w:t>and/or evaluate.</w:t>
            </w:r>
          </w:p>
          <w:p w14:paraId="25A4EB3A" w14:textId="270D5E86" w:rsidR="00B9244A" w:rsidRPr="00523D6C" w:rsidRDefault="00B9244A" w:rsidP="00397DC0">
            <w:pPr>
              <w:pStyle w:val="SyllabusListParagraph"/>
              <w:numPr>
                <w:ilvl w:val="0"/>
                <w:numId w:val="0"/>
              </w:numPr>
              <w:ind w:left="12" w:hanging="12"/>
              <w:rPr>
                <w:rFonts w:eastAsia="Century Gothic" w:cstheme="minorHAnsi"/>
                <w:sz w:val="20"/>
              </w:rPr>
            </w:pPr>
            <w:r w:rsidRPr="00523D6C">
              <w:rPr>
                <w:rFonts w:cs="Calibri"/>
                <w:sz w:val="20"/>
              </w:rPr>
              <w:t>The format can be an essay, a scaffolded extended answer, or a</w:t>
            </w:r>
            <w:r w:rsidR="00E729C4">
              <w:rPr>
                <w:rFonts w:cs="Calibri"/>
                <w:sz w:val="20"/>
              </w:rPr>
              <w:t xml:space="preserve"> </w:t>
            </w:r>
            <w:r w:rsidRPr="00523D6C">
              <w:rPr>
                <w:rFonts w:cs="Calibri"/>
                <w:sz w:val="20"/>
              </w:rPr>
              <w:t>sectionalised answer.</w:t>
            </w:r>
          </w:p>
        </w:tc>
      </w:tr>
    </w:tbl>
    <w:p w14:paraId="7694D516" w14:textId="77777777" w:rsidR="00B54423" w:rsidRPr="0044139D" w:rsidRDefault="00B54423" w:rsidP="0044139D">
      <w:bookmarkStart w:id="56" w:name="_Toc358372267"/>
      <w:bookmarkStart w:id="57" w:name="_Toc358373584"/>
      <w:bookmarkStart w:id="58" w:name="_Toc384202978"/>
      <w:r w:rsidRPr="0044139D">
        <w:br w:type="page"/>
      </w:r>
    </w:p>
    <w:p w14:paraId="7976AF69" w14:textId="47572E37" w:rsidR="002275E3" w:rsidRPr="006E4EC7" w:rsidRDefault="002275E3" w:rsidP="00120451">
      <w:pPr>
        <w:pStyle w:val="SyllabusAppendixHeading1"/>
      </w:pPr>
      <w:bookmarkStart w:id="59" w:name="_Toc140666026"/>
      <w:r w:rsidRPr="006E4EC7">
        <w:lastRenderedPageBreak/>
        <w:t>Appendix 1 – Grade descriptions</w:t>
      </w:r>
      <w:bookmarkEnd w:id="56"/>
      <w:bookmarkEnd w:id="57"/>
      <w:r w:rsidRPr="006E4EC7">
        <w:t xml:space="preserve"> Year 1</w:t>
      </w:r>
      <w:bookmarkEnd w:id="58"/>
      <w:r w:rsidRPr="006E4EC7">
        <w:t>2</w:t>
      </w:r>
      <w:bookmarkEnd w:id="59"/>
      <w:r w:rsidR="00FE34A3" w:rsidRPr="006E4EC7">
        <w:t xml:space="preserve"> </w:t>
      </w: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9"/>
        <w:gridCol w:w="8091"/>
      </w:tblGrid>
      <w:tr w:rsidR="00360960" w:rsidRPr="00360960" w14:paraId="77757B4B" w14:textId="77777777" w:rsidTr="008F7B45">
        <w:trPr>
          <w:trHeight w:val="2278"/>
        </w:trPr>
        <w:tc>
          <w:tcPr>
            <w:tcW w:w="993" w:type="dxa"/>
            <w:shd w:val="clear" w:color="auto" w:fill="9A83B5"/>
            <w:vAlign w:val="center"/>
          </w:tcPr>
          <w:p w14:paraId="59344A8D" w14:textId="77777777" w:rsidR="00730225" w:rsidRPr="00415F45" w:rsidRDefault="00730225" w:rsidP="006F7BDA">
            <w:pPr>
              <w:spacing w:after="0"/>
              <w:jc w:val="center"/>
              <w:rPr>
                <w:rFonts w:eastAsia="Times New Roman" w:cs="Calibri"/>
                <w:b/>
                <w:color w:val="FFFFFF" w:themeColor="background1"/>
                <w:sz w:val="40"/>
                <w:szCs w:val="40"/>
              </w:rPr>
            </w:pPr>
            <w:r w:rsidRPr="00415F45">
              <w:rPr>
                <w:rFonts w:eastAsia="Times New Roman" w:cs="Calibri"/>
                <w:b/>
                <w:color w:val="FFFFFF" w:themeColor="background1"/>
                <w:sz w:val="40"/>
                <w:szCs w:val="40"/>
              </w:rPr>
              <w:t>A</w:t>
            </w:r>
          </w:p>
        </w:tc>
        <w:tc>
          <w:tcPr>
            <w:tcW w:w="8505" w:type="dxa"/>
          </w:tcPr>
          <w:p w14:paraId="461CE35B" w14:textId="77777777" w:rsidR="0090116C" w:rsidRPr="00B51C50" w:rsidRDefault="0090116C" w:rsidP="006E4EC7">
            <w:pPr>
              <w:rPr>
                <w:rFonts w:cs="Arial"/>
                <w:sz w:val="20"/>
                <w:szCs w:val="20"/>
              </w:rPr>
            </w:pPr>
            <w:r w:rsidRPr="00B51C50">
              <w:rPr>
                <w:rFonts w:cs="Arial"/>
                <w:sz w:val="20"/>
                <w:szCs w:val="20"/>
              </w:rPr>
              <w:t>Analyses, interprets and evaluates ancient and modern sources for evidence.</w:t>
            </w:r>
          </w:p>
          <w:p w14:paraId="1FBDAD41" w14:textId="2C37B1B7" w:rsidR="0090116C" w:rsidRPr="00523D6C" w:rsidRDefault="0090116C" w:rsidP="006E4EC7">
            <w:pPr>
              <w:rPr>
                <w:rFonts w:cs="Arial"/>
                <w:sz w:val="20"/>
                <w:szCs w:val="20"/>
              </w:rPr>
            </w:pPr>
            <w:r w:rsidRPr="00360960">
              <w:rPr>
                <w:rFonts w:cs="Arial"/>
                <w:sz w:val="20"/>
                <w:szCs w:val="20"/>
              </w:rPr>
              <w:t xml:space="preserve">Responds to key words in </w:t>
            </w:r>
            <w:r w:rsidRPr="00523D6C">
              <w:rPr>
                <w:rFonts w:cs="Arial"/>
                <w:sz w:val="20"/>
                <w:szCs w:val="20"/>
              </w:rPr>
              <w:t xml:space="preserve">research </w:t>
            </w:r>
            <w:r w:rsidR="000D2314" w:rsidRPr="00523D6C">
              <w:rPr>
                <w:rFonts w:cs="Arial"/>
                <w:sz w:val="20"/>
                <w:szCs w:val="20"/>
              </w:rPr>
              <w:t xml:space="preserve">or </w:t>
            </w:r>
            <w:r w:rsidR="0030131D" w:rsidRPr="00523D6C">
              <w:rPr>
                <w:rFonts w:cs="Arial"/>
                <w:sz w:val="20"/>
                <w:szCs w:val="20"/>
              </w:rPr>
              <w:t>short/</w:t>
            </w:r>
            <w:r w:rsidR="000D2314" w:rsidRPr="00523D6C">
              <w:rPr>
                <w:rFonts w:cs="Arial"/>
                <w:sz w:val="20"/>
                <w:szCs w:val="20"/>
              </w:rPr>
              <w:t>extended answer</w:t>
            </w:r>
            <w:r w:rsidRPr="00523D6C">
              <w:rPr>
                <w:rFonts w:cs="Arial"/>
                <w:sz w:val="20"/>
                <w:szCs w:val="20"/>
              </w:rPr>
              <w:t xml:space="preserve"> tasks, effectively applying analytical skills, accurate evidence and historical understandings from appropriately acknowledged sources.</w:t>
            </w:r>
          </w:p>
          <w:p w14:paraId="519CE3C1" w14:textId="77777777" w:rsidR="0090116C" w:rsidRPr="00360960" w:rsidRDefault="0090116C" w:rsidP="006E4EC7">
            <w:pPr>
              <w:rPr>
                <w:rFonts w:cs="Arial"/>
                <w:sz w:val="20"/>
                <w:szCs w:val="20"/>
              </w:rPr>
            </w:pPr>
            <w:r w:rsidRPr="00360960">
              <w:rPr>
                <w:rFonts w:cs="Arial"/>
                <w:sz w:val="20"/>
                <w:szCs w:val="20"/>
              </w:rPr>
              <w:t>Explains in detail the major features of the historical narrative and provides a coherent and logical structure for the argument/discussion.</w:t>
            </w:r>
          </w:p>
          <w:p w14:paraId="7460ABC8" w14:textId="77777777" w:rsidR="00E87AF5" w:rsidRPr="00360960" w:rsidRDefault="0090116C" w:rsidP="006E4EC7">
            <w:pPr>
              <w:rPr>
                <w:rFonts w:cs="Arial"/>
                <w:sz w:val="20"/>
                <w:szCs w:val="20"/>
              </w:rPr>
            </w:pPr>
            <w:r w:rsidRPr="00360960">
              <w:rPr>
                <w:rFonts w:cs="Arial"/>
                <w:sz w:val="20"/>
                <w:szCs w:val="20"/>
              </w:rPr>
              <w:t xml:space="preserve">Demonstrates a comprehensive understanding of different perspectives and interpretations of ancient history. </w:t>
            </w:r>
          </w:p>
          <w:p w14:paraId="1E993AE7" w14:textId="55BDCFC8" w:rsidR="00E87AF5" w:rsidRPr="00360960" w:rsidRDefault="0090116C" w:rsidP="008F7B45">
            <w:pPr>
              <w:spacing w:after="0"/>
              <w:rPr>
                <w:rFonts w:cs="Arial"/>
                <w:strike/>
                <w:sz w:val="20"/>
                <w:szCs w:val="20"/>
              </w:rPr>
            </w:pPr>
            <w:r w:rsidRPr="00360960">
              <w:rPr>
                <w:rFonts w:cs="Arial"/>
                <w:sz w:val="20"/>
                <w:szCs w:val="20"/>
              </w:rPr>
              <w:t xml:space="preserve">Uses appropriate historical terms and concepts to develop cohesive, sustained arguments. </w:t>
            </w:r>
          </w:p>
        </w:tc>
      </w:tr>
    </w:tbl>
    <w:p w14:paraId="663355DA" w14:textId="77777777" w:rsidR="00132E99" w:rsidRPr="00583AAB" w:rsidRDefault="00132E99" w:rsidP="00583AAB">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8"/>
        <w:gridCol w:w="8092"/>
      </w:tblGrid>
      <w:tr w:rsidR="00C7483D" w:rsidRPr="009B4BE6" w14:paraId="17F8EDB3" w14:textId="77777777" w:rsidTr="00F754FB">
        <w:trPr>
          <w:trHeight w:val="2271"/>
        </w:trPr>
        <w:tc>
          <w:tcPr>
            <w:tcW w:w="993" w:type="dxa"/>
            <w:shd w:val="clear" w:color="auto" w:fill="9A83B5"/>
            <w:vAlign w:val="center"/>
          </w:tcPr>
          <w:p w14:paraId="7107E21B" w14:textId="77777777" w:rsidR="00C7483D" w:rsidRPr="009B4BE6" w:rsidRDefault="00C7483D" w:rsidP="00C7483D">
            <w:pPr>
              <w:spacing w:after="0"/>
              <w:jc w:val="center"/>
              <w:rPr>
                <w:rFonts w:eastAsia="Times New Roman" w:cs="Calibri"/>
                <w:b/>
                <w:color w:val="FFFFFF"/>
                <w:sz w:val="40"/>
                <w:szCs w:val="40"/>
              </w:rPr>
            </w:pPr>
            <w:r w:rsidRPr="009B4BE6">
              <w:rPr>
                <w:rFonts w:eastAsia="Times New Roman" w:cs="Calibri"/>
                <w:b/>
                <w:color w:val="FFFFFF"/>
                <w:sz w:val="40"/>
                <w:szCs w:val="40"/>
              </w:rPr>
              <w:t>B</w:t>
            </w:r>
          </w:p>
        </w:tc>
        <w:tc>
          <w:tcPr>
            <w:tcW w:w="8505" w:type="dxa"/>
          </w:tcPr>
          <w:p w14:paraId="567A1B5F" w14:textId="77777777" w:rsidR="00C7483D" w:rsidRPr="00B51C50" w:rsidRDefault="00C7483D" w:rsidP="006E4EC7">
            <w:pPr>
              <w:rPr>
                <w:rFonts w:cs="Arial"/>
                <w:sz w:val="20"/>
                <w:szCs w:val="20"/>
              </w:rPr>
            </w:pPr>
            <w:r w:rsidRPr="00B51C50">
              <w:rPr>
                <w:rFonts w:cs="Arial"/>
                <w:sz w:val="20"/>
                <w:szCs w:val="20"/>
              </w:rPr>
              <w:t>Analyses and interprets ancient and modern sources for evidence.</w:t>
            </w:r>
          </w:p>
          <w:p w14:paraId="29FDBFA1" w14:textId="583174F2" w:rsidR="00C7483D" w:rsidRPr="00523D6C" w:rsidRDefault="00C7483D" w:rsidP="006E4EC7">
            <w:pPr>
              <w:rPr>
                <w:rFonts w:cs="Arial"/>
                <w:sz w:val="20"/>
                <w:szCs w:val="20"/>
              </w:rPr>
            </w:pPr>
            <w:r w:rsidRPr="00C7483D">
              <w:rPr>
                <w:rFonts w:cs="Arial"/>
                <w:sz w:val="20"/>
                <w:szCs w:val="20"/>
              </w:rPr>
              <w:t xml:space="preserve">Responds to key words in </w:t>
            </w:r>
            <w:r w:rsidRPr="00523D6C">
              <w:rPr>
                <w:rFonts w:cs="Arial"/>
                <w:sz w:val="20"/>
                <w:szCs w:val="20"/>
              </w:rPr>
              <w:t xml:space="preserve">research or </w:t>
            </w:r>
            <w:r w:rsidR="0030131D" w:rsidRPr="00523D6C">
              <w:rPr>
                <w:rFonts w:cs="Arial"/>
                <w:sz w:val="20"/>
                <w:szCs w:val="20"/>
              </w:rPr>
              <w:t>short/extended</w:t>
            </w:r>
            <w:r w:rsidR="000D2314" w:rsidRPr="00523D6C">
              <w:rPr>
                <w:rFonts w:cs="Arial"/>
                <w:sz w:val="20"/>
                <w:szCs w:val="20"/>
              </w:rPr>
              <w:t xml:space="preserve"> answer</w:t>
            </w:r>
            <w:r w:rsidRPr="00523D6C">
              <w:rPr>
                <w:rFonts w:cs="Arial"/>
                <w:sz w:val="20"/>
                <w:szCs w:val="20"/>
              </w:rPr>
              <w:t xml:space="preserve"> tasks, applying detailed evidence and historical understandings from appropriately acknowledged sources.</w:t>
            </w:r>
          </w:p>
          <w:p w14:paraId="3F4D65F4" w14:textId="77777777" w:rsidR="00C7483D" w:rsidRPr="00C7483D" w:rsidRDefault="00C7483D" w:rsidP="006E4EC7">
            <w:pPr>
              <w:rPr>
                <w:rFonts w:cs="Arial"/>
                <w:sz w:val="20"/>
                <w:szCs w:val="20"/>
              </w:rPr>
            </w:pPr>
            <w:r w:rsidRPr="00C7483D">
              <w:rPr>
                <w:rFonts w:cs="Arial"/>
                <w:sz w:val="20"/>
                <w:szCs w:val="20"/>
              </w:rPr>
              <w:t>Explains the major features of the historical narrative and provides a coherent and logical structure for the argument/discussion.</w:t>
            </w:r>
          </w:p>
          <w:p w14:paraId="0315DB84" w14:textId="77777777" w:rsidR="00C7483D" w:rsidRPr="00C7483D" w:rsidRDefault="00C7483D" w:rsidP="006E4EC7">
            <w:pPr>
              <w:rPr>
                <w:rFonts w:cs="Arial"/>
                <w:strike/>
                <w:sz w:val="20"/>
                <w:szCs w:val="20"/>
              </w:rPr>
            </w:pPr>
            <w:r w:rsidRPr="00C7483D">
              <w:rPr>
                <w:rFonts w:cs="Arial"/>
                <w:sz w:val="20"/>
                <w:szCs w:val="20"/>
              </w:rPr>
              <w:t xml:space="preserve">Demonstrates a well-developed understanding of different perspectives and interpretations of ancient history. </w:t>
            </w:r>
          </w:p>
          <w:p w14:paraId="0A7DD249" w14:textId="5733E209" w:rsidR="000B56B7" w:rsidRPr="007B0520" w:rsidRDefault="00C7483D" w:rsidP="007B0520">
            <w:pPr>
              <w:spacing w:after="0"/>
              <w:rPr>
                <w:rFonts w:cs="Arial"/>
                <w:sz w:val="20"/>
                <w:szCs w:val="20"/>
              </w:rPr>
            </w:pPr>
            <w:r w:rsidRPr="00C7483D">
              <w:rPr>
                <w:rFonts w:cs="Arial"/>
                <w:sz w:val="20"/>
                <w:szCs w:val="20"/>
              </w:rPr>
              <w:t>Uses appropriate historical terms and concepts to develop responses which incorporate some analysis and are logical and co</w:t>
            </w:r>
            <w:r w:rsidR="00F87D98">
              <w:rPr>
                <w:rFonts w:cs="Arial"/>
                <w:sz w:val="20"/>
                <w:szCs w:val="20"/>
              </w:rPr>
              <w:t>herent but</w:t>
            </w:r>
            <w:r w:rsidRPr="00C7483D">
              <w:rPr>
                <w:rFonts w:cs="Arial"/>
                <w:sz w:val="20"/>
                <w:szCs w:val="20"/>
              </w:rPr>
              <w:t xml:space="preserve"> largely narrative.</w:t>
            </w:r>
          </w:p>
        </w:tc>
      </w:tr>
    </w:tbl>
    <w:p w14:paraId="5A716D73" w14:textId="77777777" w:rsidR="00132E99" w:rsidRPr="00583AAB" w:rsidRDefault="00132E99" w:rsidP="00583AAB">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7"/>
        <w:gridCol w:w="8093"/>
      </w:tblGrid>
      <w:tr w:rsidR="00C7483D" w:rsidRPr="009B4BE6" w14:paraId="73A07973" w14:textId="77777777" w:rsidTr="00F754FB">
        <w:trPr>
          <w:trHeight w:val="2074"/>
        </w:trPr>
        <w:tc>
          <w:tcPr>
            <w:tcW w:w="993" w:type="dxa"/>
            <w:shd w:val="clear" w:color="auto" w:fill="9A83B5"/>
            <w:vAlign w:val="center"/>
          </w:tcPr>
          <w:p w14:paraId="43C3A1D3" w14:textId="77777777" w:rsidR="00C7483D" w:rsidRPr="009B4BE6" w:rsidRDefault="00C7483D" w:rsidP="00C7483D">
            <w:pPr>
              <w:spacing w:after="0"/>
              <w:jc w:val="center"/>
              <w:rPr>
                <w:rFonts w:eastAsia="Times New Roman" w:cs="Calibri"/>
                <w:b/>
                <w:color w:val="FFFFFF"/>
                <w:sz w:val="40"/>
                <w:szCs w:val="40"/>
              </w:rPr>
            </w:pPr>
            <w:r>
              <w:rPr>
                <w:rFonts w:eastAsia="Times New Roman" w:cs="Times New Roman"/>
              </w:rPr>
              <w:br w:type="page"/>
            </w:r>
            <w:r w:rsidRPr="009B4BE6">
              <w:rPr>
                <w:rFonts w:eastAsia="Times New Roman" w:cs="Calibri"/>
                <w:b/>
                <w:color w:val="FFFFFF"/>
                <w:sz w:val="40"/>
                <w:szCs w:val="40"/>
              </w:rPr>
              <w:t>C</w:t>
            </w:r>
          </w:p>
        </w:tc>
        <w:tc>
          <w:tcPr>
            <w:tcW w:w="8505" w:type="dxa"/>
          </w:tcPr>
          <w:p w14:paraId="43240587" w14:textId="77777777" w:rsidR="00C7483D" w:rsidRPr="00B51C50" w:rsidRDefault="00C7483D" w:rsidP="006E4EC7">
            <w:pPr>
              <w:rPr>
                <w:rFonts w:cs="Arial"/>
                <w:sz w:val="20"/>
                <w:szCs w:val="20"/>
              </w:rPr>
            </w:pPr>
            <w:r w:rsidRPr="00B51C50">
              <w:rPr>
                <w:rFonts w:cs="Arial"/>
                <w:sz w:val="20"/>
                <w:szCs w:val="20"/>
              </w:rPr>
              <w:t>Begins to analyse and interpret ancient and modern sources for evidence.</w:t>
            </w:r>
          </w:p>
          <w:p w14:paraId="672CD767" w14:textId="156DE7C7" w:rsidR="00C7483D" w:rsidRPr="000B56B7" w:rsidRDefault="00C7483D" w:rsidP="006E4EC7">
            <w:pPr>
              <w:rPr>
                <w:noProof/>
                <w:sz w:val="20"/>
                <w:szCs w:val="20"/>
              </w:rPr>
            </w:pPr>
            <w:r w:rsidRPr="000B56B7">
              <w:rPr>
                <w:rFonts w:cs="Arial"/>
                <w:sz w:val="20"/>
                <w:szCs w:val="20"/>
              </w:rPr>
              <w:t xml:space="preserve">Responds to some aspects of </w:t>
            </w:r>
            <w:r w:rsidRPr="00523D6C">
              <w:rPr>
                <w:rFonts w:cs="Arial"/>
                <w:sz w:val="20"/>
                <w:szCs w:val="20"/>
              </w:rPr>
              <w:t xml:space="preserve">research or </w:t>
            </w:r>
            <w:r w:rsidR="0030131D" w:rsidRPr="00523D6C">
              <w:rPr>
                <w:rFonts w:cs="Arial"/>
                <w:sz w:val="20"/>
                <w:szCs w:val="20"/>
              </w:rPr>
              <w:t>short/extended</w:t>
            </w:r>
            <w:r w:rsidR="000D2314" w:rsidRPr="00523D6C">
              <w:rPr>
                <w:rFonts w:cs="Arial"/>
                <w:sz w:val="20"/>
                <w:szCs w:val="20"/>
              </w:rPr>
              <w:t xml:space="preserve"> answer</w:t>
            </w:r>
            <w:r w:rsidRPr="00523D6C">
              <w:rPr>
                <w:rFonts w:cs="Arial"/>
                <w:sz w:val="20"/>
                <w:szCs w:val="20"/>
              </w:rPr>
              <w:t xml:space="preserve"> tasks and uses </w:t>
            </w:r>
            <w:r w:rsidRPr="00523D6C">
              <w:rPr>
                <w:noProof/>
                <w:sz w:val="20"/>
                <w:szCs w:val="20"/>
              </w:rPr>
              <w:t xml:space="preserve">mainly </w:t>
            </w:r>
            <w:r w:rsidRPr="000B56B7">
              <w:rPr>
                <w:noProof/>
                <w:sz w:val="20"/>
                <w:szCs w:val="20"/>
              </w:rPr>
              <w:t>accurate</w:t>
            </w:r>
            <w:r w:rsidRPr="000B56B7">
              <w:rPr>
                <w:rFonts w:cs="Arial"/>
                <w:sz w:val="20"/>
                <w:szCs w:val="20"/>
              </w:rPr>
              <w:t xml:space="preserve"> evidence to support </w:t>
            </w:r>
            <w:r w:rsidRPr="000B56B7">
              <w:rPr>
                <w:noProof/>
                <w:sz w:val="20"/>
                <w:szCs w:val="20"/>
              </w:rPr>
              <w:t>statements or broad generalisations through well-structured texts.</w:t>
            </w:r>
          </w:p>
          <w:p w14:paraId="31A97588" w14:textId="77777777" w:rsidR="00C7483D" w:rsidRPr="000B56B7" w:rsidRDefault="00C7483D" w:rsidP="006E4EC7">
            <w:pPr>
              <w:rPr>
                <w:noProof/>
                <w:sz w:val="20"/>
                <w:szCs w:val="20"/>
              </w:rPr>
            </w:pPr>
            <w:r w:rsidRPr="000B56B7">
              <w:rPr>
                <w:rFonts w:cs="Arial"/>
                <w:sz w:val="20"/>
                <w:szCs w:val="20"/>
              </w:rPr>
              <w:t>Uses mostly relevant historical terms and concepts to develop a</w:t>
            </w:r>
            <w:r w:rsidR="00810BD1">
              <w:rPr>
                <w:rFonts w:cs="Arial"/>
                <w:sz w:val="20"/>
                <w:szCs w:val="20"/>
              </w:rPr>
              <w:t xml:space="preserve"> response</w:t>
            </w:r>
            <w:r w:rsidRPr="000B56B7">
              <w:rPr>
                <w:rFonts w:cs="Arial"/>
                <w:sz w:val="20"/>
                <w:szCs w:val="20"/>
              </w:rPr>
              <w:t>.</w:t>
            </w:r>
          </w:p>
          <w:p w14:paraId="479B029B" w14:textId="77777777" w:rsidR="00C7483D" w:rsidRPr="000B56B7" w:rsidRDefault="00C7483D" w:rsidP="006E4EC7">
            <w:pPr>
              <w:rPr>
                <w:rFonts w:cs="Arial"/>
                <w:sz w:val="20"/>
                <w:szCs w:val="20"/>
              </w:rPr>
            </w:pPr>
            <w:r w:rsidRPr="000B56B7">
              <w:rPr>
                <w:rFonts w:cs="Arial"/>
                <w:sz w:val="20"/>
                <w:szCs w:val="20"/>
              </w:rPr>
              <w:t>Demonstrates a general understanding of different perspectives and interpretations of ancient history.</w:t>
            </w:r>
          </w:p>
          <w:p w14:paraId="7B3677D7" w14:textId="7C54882C" w:rsidR="000B56B7" w:rsidRPr="006E4EC7" w:rsidRDefault="00C7483D" w:rsidP="007B0520">
            <w:pPr>
              <w:spacing w:after="0"/>
              <w:rPr>
                <w:rFonts w:cs="Arial"/>
                <w:sz w:val="20"/>
                <w:szCs w:val="20"/>
              </w:rPr>
            </w:pPr>
            <w:r w:rsidRPr="000B56B7">
              <w:rPr>
                <w:rFonts w:cs="Arial"/>
                <w:sz w:val="20"/>
                <w:szCs w:val="20"/>
              </w:rPr>
              <w:t>Describes the major features of the historical narrative, providing a structure for the argument/discussion.</w:t>
            </w:r>
          </w:p>
        </w:tc>
      </w:tr>
    </w:tbl>
    <w:p w14:paraId="6E6024D7" w14:textId="77777777" w:rsidR="002275E3" w:rsidRDefault="002275E3" w:rsidP="00583AAB">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62"/>
        <w:gridCol w:w="8088"/>
      </w:tblGrid>
      <w:tr w:rsidR="004A68BA" w:rsidRPr="009B4BE6" w14:paraId="1470FF63" w14:textId="77777777" w:rsidTr="00F754FB">
        <w:trPr>
          <w:trHeight w:val="842"/>
        </w:trPr>
        <w:tc>
          <w:tcPr>
            <w:tcW w:w="993" w:type="dxa"/>
            <w:shd w:val="clear" w:color="auto" w:fill="9A83B5"/>
            <w:vAlign w:val="center"/>
          </w:tcPr>
          <w:p w14:paraId="2D3D2E9C" w14:textId="77777777" w:rsidR="004A68BA" w:rsidRPr="009B4BE6" w:rsidRDefault="004A68BA" w:rsidP="006F7BDA">
            <w:pPr>
              <w:spacing w:after="0"/>
              <w:jc w:val="center"/>
              <w:rPr>
                <w:rFonts w:eastAsia="Times New Roman" w:cs="Calibri"/>
                <w:b/>
                <w:color w:val="FFFFFF"/>
                <w:sz w:val="40"/>
                <w:szCs w:val="40"/>
              </w:rPr>
            </w:pPr>
            <w:r w:rsidRPr="009B4BE6">
              <w:rPr>
                <w:rFonts w:eastAsia="Times New Roman" w:cs="Calibri"/>
                <w:b/>
                <w:color w:val="FFFFFF"/>
                <w:sz w:val="40"/>
                <w:szCs w:val="40"/>
              </w:rPr>
              <w:t>D</w:t>
            </w:r>
          </w:p>
        </w:tc>
        <w:tc>
          <w:tcPr>
            <w:tcW w:w="8505" w:type="dxa"/>
          </w:tcPr>
          <w:p w14:paraId="1F31D17E" w14:textId="77777777" w:rsidR="00F603F2" w:rsidRPr="00B51C50" w:rsidRDefault="00F603F2" w:rsidP="006E4EC7">
            <w:pPr>
              <w:rPr>
                <w:rFonts w:cs="Arial"/>
                <w:sz w:val="20"/>
                <w:szCs w:val="20"/>
              </w:rPr>
            </w:pPr>
            <w:r w:rsidRPr="00B51C50">
              <w:rPr>
                <w:rFonts w:cs="Arial"/>
                <w:sz w:val="20"/>
                <w:szCs w:val="20"/>
              </w:rPr>
              <w:t>Makes an attempt to analyse ancient and/or modern sources for evidence.</w:t>
            </w:r>
          </w:p>
          <w:p w14:paraId="5D78DBFE" w14:textId="1A553A0D" w:rsidR="00F603F2" w:rsidRPr="00F603F2" w:rsidRDefault="00F603F2" w:rsidP="006E4EC7">
            <w:pPr>
              <w:rPr>
                <w:rFonts w:cs="Arial"/>
                <w:sz w:val="20"/>
                <w:szCs w:val="20"/>
              </w:rPr>
            </w:pPr>
            <w:r w:rsidRPr="00F603F2">
              <w:rPr>
                <w:rFonts w:cs="Arial"/>
                <w:sz w:val="20"/>
                <w:szCs w:val="20"/>
              </w:rPr>
              <w:t xml:space="preserve">Attempts to respond to aspects of </w:t>
            </w:r>
            <w:r w:rsidRPr="00523D6C">
              <w:rPr>
                <w:rFonts w:cs="Arial"/>
                <w:sz w:val="20"/>
                <w:szCs w:val="20"/>
              </w:rPr>
              <w:t xml:space="preserve">research or </w:t>
            </w:r>
            <w:r w:rsidR="0030131D" w:rsidRPr="00523D6C">
              <w:rPr>
                <w:rFonts w:cs="Arial"/>
                <w:sz w:val="20"/>
                <w:szCs w:val="20"/>
              </w:rPr>
              <w:t>short/extended</w:t>
            </w:r>
            <w:r w:rsidR="000D2314" w:rsidRPr="00523D6C">
              <w:rPr>
                <w:rFonts w:cs="Arial"/>
                <w:sz w:val="20"/>
                <w:szCs w:val="20"/>
              </w:rPr>
              <w:t xml:space="preserve"> answer</w:t>
            </w:r>
            <w:r w:rsidRPr="00523D6C">
              <w:rPr>
                <w:rFonts w:cs="Arial"/>
                <w:sz w:val="20"/>
                <w:szCs w:val="20"/>
              </w:rPr>
              <w:t xml:space="preserve"> tasks; displays </w:t>
            </w:r>
            <w:r w:rsidRPr="00F603F2">
              <w:rPr>
                <w:rFonts w:cs="Arial"/>
                <w:sz w:val="20"/>
                <w:szCs w:val="20"/>
              </w:rPr>
              <w:t>limited use of evidence.</w:t>
            </w:r>
          </w:p>
          <w:p w14:paraId="11A213E3" w14:textId="77777777" w:rsidR="00F603F2" w:rsidRPr="00F603F2" w:rsidRDefault="00F603F2" w:rsidP="006E4EC7">
            <w:pPr>
              <w:rPr>
                <w:rFonts w:cs="Arial"/>
                <w:sz w:val="20"/>
                <w:szCs w:val="20"/>
              </w:rPr>
            </w:pPr>
            <w:r w:rsidRPr="00F603F2">
              <w:rPr>
                <w:rFonts w:cs="Arial"/>
                <w:sz w:val="20"/>
                <w:szCs w:val="20"/>
              </w:rPr>
              <w:t xml:space="preserve">Demonstrates minimal understanding of perspectives and interpretations of ancient history. </w:t>
            </w:r>
          </w:p>
          <w:p w14:paraId="63DC45DC" w14:textId="2F2AF21D" w:rsidR="004A68BA" w:rsidRPr="004A68BA" w:rsidRDefault="00F603F2" w:rsidP="00F603F2">
            <w:pPr>
              <w:spacing w:after="0"/>
              <w:rPr>
                <w:rFonts w:cs="Arial"/>
                <w:sz w:val="20"/>
                <w:szCs w:val="20"/>
              </w:rPr>
            </w:pPr>
            <w:r w:rsidRPr="00F603F2">
              <w:rPr>
                <w:rFonts w:cs="Arial"/>
                <w:sz w:val="20"/>
                <w:szCs w:val="20"/>
              </w:rPr>
              <w:t>Identifies some features of the historical narrative.</w:t>
            </w:r>
          </w:p>
        </w:tc>
      </w:tr>
    </w:tbl>
    <w:p w14:paraId="4E02331C" w14:textId="77777777" w:rsidR="002275E3" w:rsidRPr="00583AAB" w:rsidRDefault="002275E3" w:rsidP="00583AAB">
      <w:pPr>
        <w:spacing w:after="0"/>
      </w:pPr>
    </w:p>
    <w:tbl>
      <w:tblPr>
        <w:tblW w:w="5000" w:type="pct"/>
        <w:tblBorders>
          <w:top w:val="single" w:sz="8" w:space="0" w:color="9688BE"/>
          <w:left w:val="single" w:sz="8" w:space="0" w:color="9688BE"/>
          <w:bottom w:val="single" w:sz="8" w:space="0" w:color="9688BE"/>
          <w:right w:val="single" w:sz="8" w:space="0" w:color="9688BE"/>
          <w:insideH w:val="single" w:sz="8" w:space="0" w:color="9688BE"/>
          <w:insideV w:val="single" w:sz="8" w:space="0" w:color="9688BE"/>
        </w:tblBorders>
        <w:tblLook w:val="00A0" w:firstRow="1" w:lastRow="0" w:firstColumn="1" w:lastColumn="0" w:noHBand="0" w:noVBand="0"/>
      </w:tblPr>
      <w:tblGrid>
        <w:gridCol w:w="959"/>
        <w:gridCol w:w="8091"/>
      </w:tblGrid>
      <w:tr w:rsidR="002275E3" w:rsidRPr="009B4BE6" w14:paraId="219B43DB" w14:textId="77777777" w:rsidTr="00F754FB">
        <w:trPr>
          <w:trHeight w:val="445"/>
        </w:trPr>
        <w:tc>
          <w:tcPr>
            <w:tcW w:w="993" w:type="dxa"/>
            <w:shd w:val="clear" w:color="auto" w:fill="9A83B5"/>
            <w:vAlign w:val="center"/>
          </w:tcPr>
          <w:p w14:paraId="456F9136" w14:textId="77777777" w:rsidR="002275E3" w:rsidRPr="009B4BE6" w:rsidRDefault="002275E3" w:rsidP="006F7BDA">
            <w:pPr>
              <w:spacing w:after="0"/>
              <w:jc w:val="center"/>
              <w:rPr>
                <w:rFonts w:eastAsia="Times New Roman" w:cs="Calibri"/>
                <w:b/>
                <w:color w:val="FFFFFF"/>
                <w:sz w:val="40"/>
                <w:szCs w:val="40"/>
              </w:rPr>
            </w:pPr>
            <w:r w:rsidRPr="009B4BE6">
              <w:rPr>
                <w:rFonts w:eastAsia="Times New Roman" w:cs="Calibri"/>
                <w:b/>
                <w:color w:val="FFFFFF"/>
                <w:sz w:val="40"/>
                <w:szCs w:val="40"/>
              </w:rPr>
              <w:t>E</w:t>
            </w:r>
          </w:p>
        </w:tc>
        <w:tc>
          <w:tcPr>
            <w:tcW w:w="8505" w:type="dxa"/>
            <w:vAlign w:val="center"/>
          </w:tcPr>
          <w:p w14:paraId="6422AEDD" w14:textId="77777777" w:rsidR="002275E3" w:rsidRPr="009B4BE6" w:rsidRDefault="002275E3" w:rsidP="006F7BDA">
            <w:pPr>
              <w:spacing w:after="0"/>
              <w:rPr>
                <w:rFonts w:eastAsia="Times New Roman" w:cs="Calibri"/>
                <w:sz w:val="20"/>
              </w:rPr>
            </w:pPr>
            <w:r>
              <w:rPr>
                <w:rFonts w:eastAsia="Times New Roman" w:cs="Calibri"/>
                <w:sz w:val="20"/>
              </w:rPr>
              <w:t>Does not meet the requirements of a D grade and/or has completed insufficient assessment tasks to be assigned a higher grade.</w:t>
            </w:r>
          </w:p>
        </w:tc>
      </w:tr>
    </w:tbl>
    <w:p w14:paraId="7817CC38" w14:textId="77777777" w:rsidR="006E4EC7" w:rsidRPr="00B51C50" w:rsidRDefault="00997CDA" w:rsidP="00B51C50">
      <w:pPr>
        <w:spacing w:before="120"/>
        <w:rPr>
          <w:b/>
          <w:bCs/>
        </w:rPr>
      </w:pPr>
      <w:r w:rsidRPr="00B51C50">
        <w:rPr>
          <w:b/>
          <w:bCs/>
        </w:rPr>
        <w:t>These grade descriptions will be reviewed at the end of the second year of implementation of this syllabus.</w:t>
      </w:r>
    </w:p>
    <w:p w14:paraId="5C86EDCA" w14:textId="395474F6" w:rsidR="00540FA8" w:rsidRPr="006E4EC7" w:rsidRDefault="006C498A" w:rsidP="00120451">
      <w:pPr>
        <w:pStyle w:val="SyllabusAppendixHeading1"/>
        <w:rPr>
          <w:rStyle w:val="Heading1Char"/>
          <w:rFonts w:asciiTheme="majorHAnsi" w:hAnsiTheme="majorHAnsi"/>
          <w:b/>
          <w:szCs w:val="40"/>
        </w:rPr>
      </w:pPr>
      <w:r w:rsidRPr="006E4EC7">
        <w:br w:type="page"/>
      </w:r>
      <w:bookmarkStart w:id="60" w:name="_Toc140666027"/>
      <w:bookmarkEnd w:id="37"/>
      <w:bookmarkEnd w:id="38"/>
      <w:bookmarkEnd w:id="53"/>
      <w:bookmarkEnd w:id="54"/>
      <w:r w:rsidR="00D64161" w:rsidRPr="006E4EC7">
        <w:lastRenderedPageBreak/>
        <w:t>Appendix</w:t>
      </w:r>
      <w:r w:rsidR="0011737C" w:rsidRPr="006E4EC7">
        <w:t xml:space="preserve"> 2</w:t>
      </w:r>
      <w:r w:rsidR="00725927" w:rsidRPr="006E4EC7">
        <w:t xml:space="preserve"> </w:t>
      </w:r>
      <w:r w:rsidR="002C54CE" w:rsidRPr="006E4EC7">
        <w:t>–</w:t>
      </w:r>
      <w:r w:rsidR="00725927" w:rsidRPr="006E4EC7">
        <w:t xml:space="preserve"> </w:t>
      </w:r>
      <w:r w:rsidR="00D64161" w:rsidRPr="006E4EC7">
        <w:t>Glossary</w:t>
      </w:r>
      <w:bookmarkEnd w:id="60"/>
    </w:p>
    <w:p w14:paraId="3F5D584B" w14:textId="77777777" w:rsidR="00E82D41" w:rsidRPr="00583AAB" w:rsidRDefault="00E82D41" w:rsidP="00583AAB">
      <w:r w:rsidRPr="00583AAB">
        <w:t>This glossary is provided to enable a common understanding of the key terms in this syllabus.</w:t>
      </w:r>
    </w:p>
    <w:p w14:paraId="6F72EBB0" w14:textId="1D9707AD" w:rsidR="00132E99" w:rsidRPr="00583AAB" w:rsidRDefault="00132E99" w:rsidP="00583AAB">
      <w:pPr>
        <w:spacing w:after="0"/>
        <w:rPr>
          <w:b/>
          <w:bCs/>
        </w:rPr>
      </w:pPr>
      <w:r w:rsidRPr="00583AAB">
        <w:rPr>
          <w:b/>
          <w:bCs/>
        </w:rPr>
        <w:t>Ancient</w:t>
      </w:r>
    </w:p>
    <w:p w14:paraId="44D86560" w14:textId="28B2C0D5" w:rsidR="00132E99" w:rsidRPr="00293088" w:rsidRDefault="00132E99" w:rsidP="00132E99">
      <w:pPr>
        <w:rPr>
          <w:noProof/>
          <w:lang w:val="en-US"/>
        </w:rPr>
      </w:pPr>
      <w:r w:rsidRPr="003F149D">
        <w:rPr>
          <w:noProof/>
          <w:lang w:val="en-US"/>
        </w:rPr>
        <w:t>As defined in this syllabus, the Ancient period covers history from the development of early human communities to the end of late antiquity (around 650</w:t>
      </w:r>
      <w:r>
        <w:rPr>
          <w:noProof/>
          <w:lang w:val="en-US"/>
        </w:rPr>
        <w:t xml:space="preserve"> </w:t>
      </w:r>
      <w:r w:rsidRPr="007B0520">
        <w:rPr>
          <w:noProof/>
          <w:lang w:val="en-US"/>
        </w:rPr>
        <w:t>CE</w:t>
      </w:r>
      <w:r w:rsidRPr="003F149D">
        <w:rPr>
          <w:noProof/>
          <w:lang w:val="en-US"/>
        </w:rPr>
        <w:t>).</w:t>
      </w:r>
      <w:r w:rsidRPr="003F149D">
        <w:rPr>
          <w:noProof/>
          <w:color w:val="FFFFFF"/>
          <w:lang w:val="en-US"/>
        </w:rPr>
        <w:t xml:space="preserve"> </w:t>
      </w:r>
    </w:p>
    <w:p w14:paraId="7B6B5BA7" w14:textId="77777777" w:rsidR="00132E99" w:rsidRPr="00583AAB" w:rsidRDefault="00132E99" w:rsidP="00583AAB">
      <w:pPr>
        <w:spacing w:after="0"/>
        <w:rPr>
          <w:b/>
          <w:bCs/>
        </w:rPr>
      </w:pPr>
      <w:r w:rsidRPr="00583AAB">
        <w:rPr>
          <w:b/>
          <w:bCs/>
        </w:rPr>
        <w:t>Ancient sources</w:t>
      </w:r>
    </w:p>
    <w:p w14:paraId="3CB5EDB7" w14:textId="3C6B9F40" w:rsidR="00132E99" w:rsidRPr="00293088" w:rsidRDefault="00132E99" w:rsidP="00132E99">
      <w:pPr>
        <w:rPr>
          <w:noProof/>
          <w:lang w:val="en-US"/>
        </w:rPr>
      </w:pPr>
      <w:r w:rsidRPr="003F149D">
        <w:rPr>
          <w:noProof/>
          <w:lang w:val="en-US"/>
        </w:rPr>
        <w:t>Ancient</w:t>
      </w:r>
      <w:r>
        <w:rPr>
          <w:noProof/>
          <w:lang w:val="en-US"/>
        </w:rPr>
        <w:t xml:space="preserve"> sources are any written or non </w:t>
      </w:r>
      <w:r w:rsidRPr="003F149D">
        <w:rPr>
          <w:noProof/>
          <w:lang w:val="en-US"/>
        </w:rPr>
        <w:t>written materials created up to the end of late antiquity (around 650</w:t>
      </w:r>
      <w:r w:rsidR="00011A0F">
        <w:rPr>
          <w:noProof/>
          <w:lang w:val="en-US"/>
        </w:rPr>
        <w:t xml:space="preserve"> CE</w:t>
      </w:r>
      <w:r w:rsidRPr="003F149D">
        <w:rPr>
          <w:noProof/>
          <w:lang w:val="en-US"/>
        </w:rPr>
        <w:t>) that can be used to investigate the past. Ancient sources include written materials such as extracts from historical narratives, literary works, biographies, letters; archaeological materials</w:t>
      </w:r>
      <w:r>
        <w:rPr>
          <w:noProof/>
          <w:lang w:val="en-US"/>
        </w:rPr>
        <w:t>,</w:t>
      </w:r>
      <w:r w:rsidRPr="003F149D">
        <w:rPr>
          <w:noProof/>
          <w:lang w:val="en-US"/>
        </w:rPr>
        <w:t xml:space="preserve"> such as photographs of archaeological sites, human remains, inscriptions (epigraphic sources), coins (numismatic sources), tombs, buildings, reliefs and artwork, statues, weapons, tools and artefacts; and maps or diagrams. These sources are analysed by the historian to answer questions about the past.</w:t>
      </w:r>
      <w:r>
        <w:rPr>
          <w:noProof/>
          <w:lang w:val="en-US"/>
        </w:rPr>
        <w:t xml:space="preserve"> (Sources created between 650–1500 </w:t>
      </w:r>
      <w:r w:rsidRPr="007B0520">
        <w:rPr>
          <w:noProof/>
          <w:lang w:val="en-US"/>
        </w:rPr>
        <w:t xml:space="preserve">CE </w:t>
      </w:r>
      <w:r>
        <w:rPr>
          <w:noProof/>
          <w:lang w:val="en-US"/>
        </w:rPr>
        <w:t>may also be important to the study of some ancient societies.)</w:t>
      </w:r>
    </w:p>
    <w:p w14:paraId="27D82650" w14:textId="77777777" w:rsidR="00132E99" w:rsidRPr="00583AAB" w:rsidRDefault="00132E99" w:rsidP="00583AAB">
      <w:pPr>
        <w:spacing w:after="0"/>
        <w:rPr>
          <w:b/>
          <w:bCs/>
        </w:rPr>
      </w:pPr>
      <w:r w:rsidRPr="00583AAB">
        <w:rPr>
          <w:b/>
          <w:bCs/>
        </w:rPr>
        <w:t>Cause and effect</w:t>
      </w:r>
    </w:p>
    <w:p w14:paraId="2A6D5727" w14:textId="4DF9DB5A" w:rsidR="00132E99" w:rsidRPr="00293088" w:rsidRDefault="00132E99" w:rsidP="00132E99">
      <w:pPr>
        <w:rPr>
          <w:noProof/>
          <w:lang w:val="en-US"/>
        </w:rPr>
      </w:pPr>
      <w:r w:rsidRPr="003F149D">
        <w:rPr>
          <w:noProof/>
          <w:lang w:val="en-US"/>
        </w:rPr>
        <w:t>Used by historians to identify chains of events and developments over time, short</w:t>
      </w:r>
      <w:r w:rsidR="00011A0F">
        <w:rPr>
          <w:noProof/>
          <w:lang w:val="en-US"/>
        </w:rPr>
        <w:t>-</w:t>
      </w:r>
      <w:r w:rsidRPr="003F149D">
        <w:rPr>
          <w:noProof/>
          <w:lang w:val="en-US"/>
        </w:rPr>
        <w:t>term and long</w:t>
      </w:r>
      <w:r w:rsidR="00011A0F">
        <w:rPr>
          <w:noProof/>
          <w:lang w:val="en-US"/>
        </w:rPr>
        <w:noBreakHyphen/>
      </w:r>
      <w:r w:rsidRPr="003F149D">
        <w:rPr>
          <w:noProof/>
          <w:lang w:val="en-US"/>
        </w:rPr>
        <w:t>term.</w:t>
      </w:r>
    </w:p>
    <w:p w14:paraId="5997A545" w14:textId="77777777" w:rsidR="00132E99" w:rsidRPr="00583AAB" w:rsidRDefault="00132E99" w:rsidP="00583AAB">
      <w:pPr>
        <w:spacing w:after="0"/>
        <w:rPr>
          <w:b/>
          <w:bCs/>
        </w:rPr>
      </w:pPr>
      <w:r w:rsidRPr="00583AAB">
        <w:rPr>
          <w:b/>
          <w:bCs/>
        </w:rPr>
        <w:t>Continuity and change</w:t>
      </w:r>
    </w:p>
    <w:p w14:paraId="3FB54C8F" w14:textId="2A42A3EE" w:rsidR="00132E99" w:rsidRPr="00293088" w:rsidRDefault="00132E99" w:rsidP="00132E99">
      <w:pPr>
        <w:rPr>
          <w:noProof/>
          <w:lang w:val="en-US"/>
        </w:rPr>
      </w:pPr>
      <w:r w:rsidRPr="003F149D">
        <w:rPr>
          <w:noProof/>
          <w:lang w:val="en-US"/>
        </w:rPr>
        <w:t>Aspects of the past that remained the same over certain periods of time are referred to as continuities. Continuity and change are evident in any given period of time</w:t>
      </w:r>
      <w:r>
        <w:rPr>
          <w:noProof/>
          <w:lang w:val="en-US"/>
        </w:rPr>
        <w:t>,</w:t>
      </w:r>
      <w:r w:rsidRPr="003F149D">
        <w:rPr>
          <w:noProof/>
          <w:lang w:val="en-US"/>
        </w:rPr>
        <w:t xml:space="preserve"> and concepts</w:t>
      </w:r>
      <w:r>
        <w:rPr>
          <w:noProof/>
          <w:lang w:val="en-US"/>
        </w:rPr>
        <w:t>,</w:t>
      </w:r>
      <w:r w:rsidRPr="003F149D">
        <w:rPr>
          <w:noProof/>
          <w:lang w:val="en-US"/>
        </w:rPr>
        <w:t xml:space="preserve"> such as progress and decline</w:t>
      </w:r>
      <w:r>
        <w:rPr>
          <w:noProof/>
          <w:lang w:val="en-US"/>
        </w:rPr>
        <w:t>,</w:t>
      </w:r>
      <w:r w:rsidRPr="003F149D">
        <w:rPr>
          <w:noProof/>
          <w:lang w:val="en-US"/>
        </w:rPr>
        <w:t xml:space="preserve"> may be used to evaluate continuity and change.</w:t>
      </w:r>
    </w:p>
    <w:p w14:paraId="4DD3D97A" w14:textId="77777777" w:rsidR="00132E99" w:rsidRPr="00583AAB" w:rsidRDefault="00132E99" w:rsidP="00583AAB">
      <w:pPr>
        <w:spacing w:after="0"/>
        <w:rPr>
          <w:b/>
          <w:bCs/>
        </w:rPr>
      </w:pPr>
      <w:r w:rsidRPr="00583AAB">
        <w:rPr>
          <w:b/>
          <w:bCs/>
        </w:rPr>
        <w:t>Concepts</w:t>
      </w:r>
    </w:p>
    <w:p w14:paraId="2946D82D" w14:textId="0560F739" w:rsidR="00132E99" w:rsidRPr="00293088" w:rsidRDefault="00132E99" w:rsidP="00132E99">
      <w:pPr>
        <w:rPr>
          <w:noProof/>
          <w:lang w:val="en-US"/>
        </w:rPr>
      </w:pPr>
      <w:r w:rsidRPr="00AE6489">
        <w:rPr>
          <w:noProof/>
          <w:lang w:val="en-US"/>
        </w:rPr>
        <w:t xml:space="preserve">In the study of history, a concept refers to </w:t>
      </w:r>
      <w:r w:rsidRPr="003F149D">
        <w:rPr>
          <w:noProof/>
          <w:lang w:val="en-US"/>
        </w:rPr>
        <w:t xml:space="preserve">any general notion or idea that is used to develop an understanding of the past, such as </w:t>
      </w:r>
      <w:r>
        <w:rPr>
          <w:noProof/>
          <w:lang w:val="en-US"/>
        </w:rPr>
        <w:t xml:space="preserve">a </w:t>
      </w:r>
      <w:r w:rsidRPr="003F149D">
        <w:rPr>
          <w:noProof/>
          <w:lang w:val="en-US"/>
        </w:rPr>
        <w:t>concept related to the process of historical inquiry (for example</w:t>
      </w:r>
      <w:r>
        <w:rPr>
          <w:noProof/>
          <w:lang w:val="en-US"/>
        </w:rPr>
        <w:t>,</w:t>
      </w:r>
      <w:r w:rsidRPr="003F149D">
        <w:rPr>
          <w:noProof/>
          <w:lang w:val="en-US"/>
        </w:rPr>
        <w:t xml:space="preserve"> evidence, continuity and change, perspectives</w:t>
      </w:r>
      <w:r w:rsidR="00011A0F">
        <w:rPr>
          <w:noProof/>
          <w:lang w:val="en-US"/>
        </w:rPr>
        <w:t xml:space="preserve"> and</w:t>
      </w:r>
      <w:r w:rsidRPr="003F149D">
        <w:rPr>
          <w:noProof/>
          <w:lang w:val="en-US"/>
        </w:rPr>
        <w:t xml:space="preserve"> significance).</w:t>
      </w:r>
    </w:p>
    <w:p w14:paraId="7CF8DD13" w14:textId="77777777" w:rsidR="00132E99" w:rsidRPr="00583AAB" w:rsidRDefault="00132E99" w:rsidP="00583AAB">
      <w:pPr>
        <w:spacing w:after="0"/>
        <w:rPr>
          <w:b/>
          <w:bCs/>
        </w:rPr>
      </w:pPr>
      <w:r w:rsidRPr="00583AAB">
        <w:rPr>
          <w:b/>
          <w:bCs/>
        </w:rPr>
        <w:t>Empathy</w:t>
      </w:r>
    </w:p>
    <w:p w14:paraId="1DE0021A" w14:textId="534AF07D" w:rsidR="00132E99" w:rsidRPr="00293088" w:rsidRDefault="00132E99" w:rsidP="00132E99">
      <w:pPr>
        <w:rPr>
          <w:noProof/>
          <w:lang w:val="en-US"/>
        </w:rPr>
      </w:pPr>
      <w:r w:rsidRPr="003F149D">
        <w:rPr>
          <w:noProof/>
          <w:lang w:val="en-US"/>
        </w:rPr>
        <w:t>Empathy is an understanding of the past from the point of view of a particular individual or group, including an appreciation of the circumstances they faced, and the motivations, values and attitudes behind their actions.</w:t>
      </w:r>
    </w:p>
    <w:p w14:paraId="04FF355C" w14:textId="77777777" w:rsidR="00132E99" w:rsidRPr="00583AAB" w:rsidRDefault="00132E99" w:rsidP="00583AAB">
      <w:pPr>
        <w:spacing w:after="0"/>
        <w:rPr>
          <w:b/>
          <w:bCs/>
        </w:rPr>
      </w:pPr>
      <w:r w:rsidRPr="00583AAB">
        <w:rPr>
          <w:b/>
          <w:bCs/>
        </w:rPr>
        <w:t>Evidence</w:t>
      </w:r>
    </w:p>
    <w:p w14:paraId="35BD6B6C" w14:textId="63805391" w:rsidR="00132E99" w:rsidRPr="00293088" w:rsidRDefault="00132E99" w:rsidP="00132E99">
      <w:pPr>
        <w:rPr>
          <w:noProof/>
          <w:lang w:val="en-US"/>
        </w:rPr>
      </w:pPr>
      <w:r w:rsidRPr="00AE6489">
        <w:rPr>
          <w:noProof/>
          <w:lang w:val="en-US"/>
        </w:rPr>
        <w:t xml:space="preserve">In the study of history, </w:t>
      </w:r>
      <w:r w:rsidRPr="003F149D">
        <w:rPr>
          <w:noProof/>
          <w:lang w:val="en-US"/>
        </w:rPr>
        <w:t>evidence is the information obtained from sources that is useful for a particular inquiry (for example, the relative size of historical figures in an ancient painting may provide clues for an inquiry into the social structure of the society). Evidence can be used to help construct a historical narrative, to support a hypothesis or to prove or disprove a conclusion.</w:t>
      </w:r>
    </w:p>
    <w:p w14:paraId="42987F29" w14:textId="77777777" w:rsidR="00132E99" w:rsidRPr="00583AAB" w:rsidRDefault="00132E99" w:rsidP="00583AAB">
      <w:pPr>
        <w:spacing w:after="0"/>
        <w:rPr>
          <w:b/>
          <w:bCs/>
        </w:rPr>
      </w:pPr>
      <w:r w:rsidRPr="00583AAB">
        <w:rPr>
          <w:b/>
          <w:bCs/>
        </w:rPr>
        <w:t>Historical authentication</w:t>
      </w:r>
    </w:p>
    <w:p w14:paraId="3ECEEF1E" w14:textId="4DAEB667" w:rsidR="00132E99" w:rsidRPr="00293088" w:rsidRDefault="00132E99" w:rsidP="00132E99">
      <w:pPr>
        <w:rPr>
          <w:noProof/>
          <w:lang w:val="en-US"/>
        </w:rPr>
      </w:pPr>
      <w:r w:rsidRPr="00137395">
        <w:rPr>
          <w:noProof/>
          <w:lang w:val="en-US"/>
        </w:rPr>
        <w:t>Historical authentication is a</w:t>
      </w:r>
      <w:r w:rsidRPr="003F149D">
        <w:rPr>
          <w:noProof/>
          <w:lang w:val="en-US"/>
        </w:rPr>
        <w:t xml:space="preserve"> process of verifying the origins of an artefact or object and establishing it as genuine.</w:t>
      </w:r>
    </w:p>
    <w:p w14:paraId="61B54CD0" w14:textId="77777777" w:rsidR="00132E99" w:rsidRPr="00583AAB" w:rsidRDefault="00132E99" w:rsidP="003C6DE1">
      <w:pPr>
        <w:keepNext/>
        <w:spacing w:after="0" w:line="271" w:lineRule="auto"/>
        <w:rPr>
          <w:b/>
          <w:bCs/>
        </w:rPr>
      </w:pPr>
      <w:r w:rsidRPr="00583AAB">
        <w:rPr>
          <w:b/>
          <w:bCs/>
        </w:rPr>
        <w:lastRenderedPageBreak/>
        <w:t>Historical inquiry</w:t>
      </w:r>
    </w:p>
    <w:p w14:paraId="23B8266B" w14:textId="6F531764" w:rsidR="00132E99" w:rsidRPr="00293088" w:rsidRDefault="00132E99" w:rsidP="003C6DE1">
      <w:pPr>
        <w:spacing w:line="271" w:lineRule="auto"/>
        <w:rPr>
          <w:noProof/>
          <w:lang w:val="en-US"/>
        </w:rPr>
      </w:pPr>
      <w:r w:rsidRPr="003F149D">
        <w:rPr>
          <w:noProof/>
          <w:lang w:val="en-US"/>
        </w:rPr>
        <w:t>Historical inquiry is the process of investigation undertaken in order to understand the past. Steps in the inquiry process include posing questions, locating and analysing sources and using evidence from sources to develop an informed explanation about the past.</w:t>
      </w:r>
    </w:p>
    <w:p w14:paraId="4BF8884A" w14:textId="77777777" w:rsidR="00132E99" w:rsidRPr="00583AAB" w:rsidRDefault="00132E99" w:rsidP="003C6DE1">
      <w:pPr>
        <w:spacing w:after="0" w:line="271" w:lineRule="auto"/>
        <w:rPr>
          <w:b/>
          <w:bCs/>
        </w:rPr>
      </w:pPr>
      <w:r w:rsidRPr="00583AAB">
        <w:rPr>
          <w:b/>
          <w:bCs/>
        </w:rPr>
        <w:t>Hypothesis</w:t>
      </w:r>
    </w:p>
    <w:p w14:paraId="6AA6AC83" w14:textId="0350C093" w:rsidR="00132E99" w:rsidRPr="00293088" w:rsidRDefault="00132E99" w:rsidP="003C6DE1">
      <w:pPr>
        <w:spacing w:line="271" w:lineRule="auto"/>
        <w:rPr>
          <w:noProof/>
          <w:lang w:val="en-US"/>
        </w:rPr>
      </w:pPr>
      <w:r w:rsidRPr="003F149D">
        <w:rPr>
          <w:noProof/>
          <w:lang w:val="en-US"/>
        </w:rPr>
        <w:t>A tentative statement or proposition that can be tested by asking questions and analysing evidence.</w:t>
      </w:r>
    </w:p>
    <w:p w14:paraId="1CC045F8" w14:textId="77777777" w:rsidR="00132E99" w:rsidRPr="00583AAB" w:rsidRDefault="00132E99" w:rsidP="003C6DE1">
      <w:pPr>
        <w:spacing w:after="0" w:line="271" w:lineRule="auto"/>
        <w:rPr>
          <w:b/>
          <w:bCs/>
        </w:rPr>
      </w:pPr>
      <w:r w:rsidRPr="00583AAB">
        <w:rPr>
          <w:b/>
          <w:bCs/>
        </w:rPr>
        <w:t>Interpretation</w:t>
      </w:r>
    </w:p>
    <w:p w14:paraId="17350F09" w14:textId="4F4E6886" w:rsidR="00132E99" w:rsidRPr="00293088" w:rsidRDefault="00132E99" w:rsidP="003C6DE1">
      <w:pPr>
        <w:spacing w:line="271" w:lineRule="auto"/>
        <w:rPr>
          <w:noProof/>
          <w:lang w:val="en-US"/>
        </w:rPr>
      </w:pPr>
      <w:r w:rsidRPr="003F149D">
        <w:rPr>
          <w:noProof/>
          <w:lang w:val="en-US"/>
        </w:rPr>
        <w:t>An interpretation is an explanation of the past</w:t>
      </w:r>
      <w:r w:rsidR="00233A50">
        <w:rPr>
          <w:noProof/>
          <w:lang w:val="en-US"/>
        </w:rPr>
        <w:t>;</w:t>
      </w:r>
      <w:r w:rsidRPr="003F149D">
        <w:rPr>
          <w:noProof/>
          <w:lang w:val="en-US"/>
        </w:rPr>
        <w:t xml:space="preserve"> for example</w:t>
      </w:r>
      <w:r>
        <w:rPr>
          <w:noProof/>
          <w:lang w:val="en-US"/>
        </w:rPr>
        <w:t>,</w:t>
      </w:r>
      <w:r w:rsidRPr="003F149D">
        <w:rPr>
          <w:noProof/>
          <w:lang w:val="en-US"/>
        </w:rPr>
        <w:t xml:space="preserve"> about a specific person, event or development. There may be more than one interpretation of a particular aspect of the past because historians may have used different sources, asked different questions and held different points of view about the topic.</w:t>
      </w:r>
    </w:p>
    <w:p w14:paraId="6528BADF" w14:textId="77777777" w:rsidR="00132E99" w:rsidRPr="00583AAB" w:rsidRDefault="00132E99" w:rsidP="003C6DE1">
      <w:pPr>
        <w:spacing w:after="0" w:line="271" w:lineRule="auto"/>
        <w:rPr>
          <w:b/>
          <w:bCs/>
        </w:rPr>
      </w:pPr>
      <w:r w:rsidRPr="00583AAB">
        <w:rPr>
          <w:b/>
          <w:bCs/>
        </w:rPr>
        <w:t>Modern sources</w:t>
      </w:r>
    </w:p>
    <w:p w14:paraId="698E7FE5" w14:textId="3E7D8B58" w:rsidR="00132E99" w:rsidRPr="00293088" w:rsidRDefault="00132E99" w:rsidP="003C6DE1">
      <w:pPr>
        <w:spacing w:line="271" w:lineRule="auto"/>
        <w:rPr>
          <w:noProof/>
          <w:lang w:val="en-US"/>
        </w:rPr>
      </w:pPr>
      <w:r w:rsidRPr="003F149D">
        <w:rPr>
          <w:noProof/>
          <w:lang w:val="en-US"/>
        </w:rPr>
        <w:t xml:space="preserve">Modern sources are any written or non-written materials created </w:t>
      </w:r>
      <w:r>
        <w:rPr>
          <w:noProof/>
          <w:lang w:val="en-US"/>
        </w:rPr>
        <w:t xml:space="preserve">after the end of the late Middle Ages (around 1500 </w:t>
      </w:r>
      <w:r w:rsidRPr="007B0520">
        <w:rPr>
          <w:noProof/>
          <w:lang w:val="en-US"/>
        </w:rPr>
        <w:t>CE</w:t>
      </w:r>
      <w:r>
        <w:rPr>
          <w:noProof/>
          <w:lang w:val="en-US"/>
        </w:rPr>
        <w:t xml:space="preserve">) that can </w:t>
      </w:r>
      <w:r w:rsidRPr="003F149D">
        <w:rPr>
          <w:noProof/>
          <w:lang w:val="en-US"/>
        </w:rPr>
        <w:t>be used to investigate the ancient past. These sources ar</w:t>
      </w:r>
      <w:r>
        <w:rPr>
          <w:noProof/>
          <w:lang w:val="en-US"/>
        </w:rPr>
        <w:t>e often accounts about the past</w:t>
      </w:r>
      <w:r w:rsidRPr="003F149D">
        <w:rPr>
          <w:noProof/>
          <w:lang w:val="en-US"/>
        </w:rPr>
        <w:t xml:space="preserve"> which use or refer to ancient sources and present a particular interpr</w:t>
      </w:r>
      <w:r>
        <w:rPr>
          <w:noProof/>
          <w:lang w:val="en-US"/>
        </w:rPr>
        <w:t>etation. Modern sources include</w:t>
      </w:r>
      <w:r w:rsidRPr="003F149D">
        <w:rPr>
          <w:noProof/>
          <w:lang w:val="en-US"/>
        </w:rPr>
        <w:t xml:space="preserve"> written materials such as extracts from historical narratives, literary works, biographies, historiographical texts; reconstructions; documentaries; maps; diagrams; and websites.</w:t>
      </w:r>
      <w:r>
        <w:rPr>
          <w:noProof/>
          <w:lang w:val="en-US"/>
        </w:rPr>
        <w:t xml:space="preserve"> (Sources created between 650–1500 </w:t>
      </w:r>
      <w:r w:rsidRPr="007B0520">
        <w:rPr>
          <w:noProof/>
          <w:lang w:val="en-US"/>
        </w:rPr>
        <w:t xml:space="preserve">CE </w:t>
      </w:r>
      <w:r>
        <w:rPr>
          <w:noProof/>
          <w:lang w:val="en-US"/>
        </w:rPr>
        <w:t>may also be important to the study of some ancient societies.)</w:t>
      </w:r>
    </w:p>
    <w:p w14:paraId="20377A26" w14:textId="77777777" w:rsidR="00132E99" w:rsidRPr="00583AAB" w:rsidRDefault="00132E99" w:rsidP="003C6DE1">
      <w:pPr>
        <w:spacing w:after="0" w:line="271" w:lineRule="auto"/>
        <w:rPr>
          <w:b/>
          <w:bCs/>
        </w:rPr>
      </w:pPr>
      <w:r w:rsidRPr="00583AAB">
        <w:rPr>
          <w:b/>
          <w:bCs/>
        </w:rPr>
        <w:t>Perspective</w:t>
      </w:r>
    </w:p>
    <w:p w14:paraId="1ACD53CD" w14:textId="6695E9CE" w:rsidR="00132E99" w:rsidRPr="00293088" w:rsidRDefault="00132E99" w:rsidP="003C6DE1">
      <w:pPr>
        <w:spacing w:line="271" w:lineRule="auto"/>
        <w:rPr>
          <w:noProof/>
          <w:lang w:val="en-US"/>
        </w:rPr>
      </w:pPr>
      <w:r w:rsidRPr="003F149D">
        <w:rPr>
          <w:noProof/>
          <w:lang w:val="en-US"/>
        </w:rPr>
        <w:t>A person’s perspective is their point of view, the position from that they see and understand events going on around them. People in the past may have had different points of view about a particular event, depending on their age, gender, social position and their beliefs and values. Historians also have perspectives and this can influence their interpretation of the past.</w:t>
      </w:r>
    </w:p>
    <w:p w14:paraId="770E0128" w14:textId="77777777" w:rsidR="00132E99" w:rsidRPr="00583AAB" w:rsidRDefault="00132E99" w:rsidP="003C6DE1">
      <w:pPr>
        <w:spacing w:after="0" w:line="271" w:lineRule="auto"/>
        <w:rPr>
          <w:b/>
          <w:bCs/>
        </w:rPr>
      </w:pPr>
      <w:r w:rsidRPr="00583AAB">
        <w:rPr>
          <w:b/>
          <w:bCs/>
        </w:rPr>
        <w:t>Reconstruction</w:t>
      </w:r>
    </w:p>
    <w:p w14:paraId="5214B09F" w14:textId="0B55D661" w:rsidR="00132E99" w:rsidRPr="00293088" w:rsidRDefault="00132E99" w:rsidP="003C6DE1">
      <w:pPr>
        <w:spacing w:line="271" w:lineRule="auto"/>
        <w:rPr>
          <w:noProof/>
          <w:lang w:val="en-US"/>
        </w:rPr>
      </w:pPr>
      <w:r w:rsidRPr="003F149D">
        <w:rPr>
          <w:noProof/>
          <w:lang w:val="en-US"/>
        </w:rPr>
        <w:t>A process of piecing together evidence from sources to develop an understanding or explanation of the past.</w:t>
      </w:r>
    </w:p>
    <w:p w14:paraId="4F181427" w14:textId="77777777" w:rsidR="00132E99" w:rsidRPr="00583AAB" w:rsidRDefault="00132E99" w:rsidP="003C6DE1">
      <w:pPr>
        <w:spacing w:after="0" w:line="271" w:lineRule="auto"/>
        <w:rPr>
          <w:b/>
          <w:bCs/>
        </w:rPr>
      </w:pPr>
      <w:r w:rsidRPr="00583AAB">
        <w:rPr>
          <w:b/>
          <w:bCs/>
        </w:rPr>
        <w:t>Representation</w:t>
      </w:r>
    </w:p>
    <w:p w14:paraId="7EC892BC" w14:textId="317676A7" w:rsidR="00132E99" w:rsidRPr="00293088" w:rsidRDefault="00132E99" w:rsidP="003C6DE1">
      <w:pPr>
        <w:spacing w:line="271" w:lineRule="auto"/>
        <w:rPr>
          <w:noProof/>
          <w:lang w:val="en-US"/>
        </w:rPr>
      </w:pPr>
      <w:r w:rsidRPr="003F149D">
        <w:rPr>
          <w:noProof/>
          <w:lang w:val="en-US"/>
        </w:rPr>
        <w:t>A picture or image of the past that may be a popular portrayal within society (past or present) or that may be created by historians.</w:t>
      </w:r>
    </w:p>
    <w:p w14:paraId="0708D8B5" w14:textId="77777777" w:rsidR="00132E99" w:rsidRPr="00583AAB" w:rsidRDefault="00132E99" w:rsidP="003C6DE1">
      <w:pPr>
        <w:spacing w:after="0" w:line="271" w:lineRule="auto"/>
        <w:rPr>
          <w:b/>
          <w:bCs/>
        </w:rPr>
      </w:pPr>
      <w:r w:rsidRPr="00583AAB">
        <w:rPr>
          <w:b/>
          <w:bCs/>
        </w:rPr>
        <w:t>Significance</w:t>
      </w:r>
    </w:p>
    <w:p w14:paraId="6FB2215E" w14:textId="69CA0AAF" w:rsidR="00132E99" w:rsidRPr="00293088" w:rsidRDefault="00132E99" w:rsidP="003C6DE1">
      <w:pPr>
        <w:spacing w:line="271" w:lineRule="auto"/>
        <w:rPr>
          <w:noProof/>
          <w:lang w:val="en-US"/>
        </w:rPr>
      </w:pPr>
      <w:r w:rsidRPr="003F149D">
        <w:rPr>
          <w:noProof/>
          <w:lang w:val="en-US"/>
        </w:rPr>
        <w:t>The importance that is assigned to particular aspects of the past (for example, events, developments, and historical sites). Significance includes an examination of the principles behind the selection of what should be investigated and remembered and involves consideration of questions</w:t>
      </w:r>
      <w:r>
        <w:rPr>
          <w:noProof/>
          <w:lang w:val="en-US"/>
        </w:rPr>
        <w:t>,</w:t>
      </w:r>
      <w:r w:rsidRPr="003F149D">
        <w:rPr>
          <w:noProof/>
          <w:lang w:val="en-US"/>
        </w:rPr>
        <w:t xml:space="preserve"> such as: How did people in the past view the significance of an event? How important were the consequences of an event? What was the duration of the event? How relevant is it to the contemporary world?</w:t>
      </w:r>
    </w:p>
    <w:p w14:paraId="193D119B" w14:textId="77777777" w:rsidR="00132E99" w:rsidRPr="00583AAB" w:rsidRDefault="00132E99" w:rsidP="003C6DE1">
      <w:pPr>
        <w:spacing w:after="0" w:line="271" w:lineRule="auto"/>
        <w:rPr>
          <w:b/>
          <w:bCs/>
        </w:rPr>
      </w:pPr>
      <w:r w:rsidRPr="00583AAB">
        <w:rPr>
          <w:b/>
          <w:bCs/>
        </w:rPr>
        <w:t>Source</w:t>
      </w:r>
    </w:p>
    <w:p w14:paraId="1FB702B8" w14:textId="73F8EBEB" w:rsidR="00132E99" w:rsidRPr="00293088" w:rsidRDefault="00132E99" w:rsidP="003C6DE1">
      <w:pPr>
        <w:spacing w:line="271" w:lineRule="auto"/>
        <w:rPr>
          <w:noProof/>
          <w:lang w:val="en-US"/>
        </w:rPr>
      </w:pPr>
      <w:r w:rsidRPr="003F149D">
        <w:rPr>
          <w:noProof/>
          <w:lang w:val="en-US"/>
        </w:rPr>
        <w:t>Any written or non-written materials that can be used to investigate the past (for example, coins, letters, tombs</w:t>
      </w:r>
      <w:r w:rsidR="00B4560D">
        <w:rPr>
          <w:noProof/>
          <w:lang w:val="en-US"/>
        </w:rPr>
        <w:t xml:space="preserve"> and</w:t>
      </w:r>
      <w:r w:rsidRPr="003F149D">
        <w:rPr>
          <w:noProof/>
          <w:lang w:val="en-US"/>
        </w:rPr>
        <w:t xml:space="preserve"> buildings). A source becomes ‘evidence’ if it is of value to a particular inquiry.</w:t>
      </w:r>
    </w:p>
    <w:p w14:paraId="639A4F08" w14:textId="77777777" w:rsidR="00132E99" w:rsidRPr="00583AAB" w:rsidRDefault="00132E99" w:rsidP="003C6DE1">
      <w:pPr>
        <w:spacing w:after="0" w:line="271" w:lineRule="auto"/>
        <w:rPr>
          <w:b/>
          <w:bCs/>
        </w:rPr>
      </w:pPr>
      <w:r w:rsidRPr="00583AAB">
        <w:rPr>
          <w:b/>
          <w:bCs/>
        </w:rPr>
        <w:t>Terms</w:t>
      </w:r>
    </w:p>
    <w:p w14:paraId="4AF01227" w14:textId="4AA9AF34" w:rsidR="00132E99" w:rsidRPr="00293088" w:rsidRDefault="00132E99" w:rsidP="003C6DE1">
      <w:pPr>
        <w:spacing w:line="271" w:lineRule="auto"/>
        <w:rPr>
          <w:noProof/>
          <w:lang w:val="en-US"/>
        </w:rPr>
      </w:pPr>
      <w:r w:rsidRPr="003F149D">
        <w:rPr>
          <w:noProof/>
          <w:lang w:val="en-US"/>
        </w:rPr>
        <w:t>A word or phrase used to describe abstract aspects or features of the past (for example, imperialism, democracy</w:t>
      </w:r>
      <w:r w:rsidR="00B4560D">
        <w:rPr>
          <w:noProof/>
          <w:lang w:val="en-US"/>
        </w:rPr>
        <w:t xml:space="preserve"> and</w:t>
      </w:r>
      <w:r w:rsidRPr="003F149D">
        <w:rPr>
          <w:noProof/>
          <w:lang w:val="en-US"/>
        </w:rPr>
        <w:t xml:space="preserve"> republic) and more specific features</w:t>
      </w:r>
      <w:r>
        <w:rPr>
          <w:noProof/>
          <w:lang w:val="en-US"/>
        </w:rPr>
        <w:t>,</w:t>
      </w:r>
      <w:r w:rsidRPr="003F149D">
        <w:rPr>
          <w:noProof/>
          <w:lang w:val="en-US"/>
        </w:rPr>
        <w:t xml:space="preserve"> such as a pyramid, gladiator and temple.</w:t>
      </w:r>
    </w:p>
    <w:p w14:paraId="6FE54859" w14:textId="77777777" w:rsidR="004E2CF4" w:rsidRDefault="004E2CF4" w:rsidP="00132E99">
      <w:pPr>
        <w:sectPr w:rsidR="004E2CF4" w:rsidSect="00DD2C1C">
          <w:headerReference w:type="even" r:id="rId20"/>
          <w:headerReference w:type="default" r:id="rId21"/>
          <w:footerReference w:type="even" r:id="rId22"/>
          <w:footerReference w:type="default" r:id="rId23"/>
          <w:headerReference w:type="first" r:id="rId24"/>
          <w:pgSz w:w="11906" w:h="16838" w:code="9"/>
          <w:pgMar w:top="1644" w:right="1418" w:bottom="1276" w:left="1418" w:header="680" w:footer="567" w:gutter="0"/>
          <w:pgNumType w:start="1"/>
          <w:cols w:space="709"/>
          <w:docGrid w:linePitch="360"/>
        </w:sectPr>
      </w:pPr>
    </w:p>
    <w:p w14:paraId="20DC1ECF" w14:textId="0DF1ECD1" w:rsidR="00E82D41" w:rsidRPr="00293088" w:rsidRDefault="00132E99" w:rsidP="00132E99">
      <w:r w:rsidRPr="00BF6F9A">
        <w:rPr>
          <w:noProof/>
          <w:lang w:eastAsia="en-AU" w:bidi="hi-IN"/>
        </w:rPr>
        <w:lastRenderedPageBreak/>
        <w:drawing>
          <wp:anchor distT="0" distB="0" distL="114300" distR="114300" simplePos="0" relativeHeight="251663360" behindDoc="1" locked="0" layoutInCell="1" allowOverlap="1" wp14:anchorId="1516CD65" wp14:editId="184C4990">
            <wp:simplePos x="0" y="0"/>
            <wp:positionH relativeFrom="page">
              <wp:align>left</wp:align>
            </wp:positionH>
            <wp:positionV relativeFrom="page">
              <wp:align>top</wp:align>
            </wp:positionV>
            <wp:extent cx="7549200" cy="10677600"/>
            <wp:effectExtent l="0" t="0" r="0" b="0"/>
            <wp:wrapNone/>
            <wp:docPr id="3" name="Picture 3"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E82D41" w:rsidRPr="00293088" w:rsidSect="00DD2C1C">
      <w:type w:val="evenPage"/>
      <w:pgSz w:w="11906" w:h="16838" w:code="9"/>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2E117" w14:textId="77777777" w:rsidR="002774D1" w:rsidRDefault="002774D1" w:rsidP="00742128">
      <w:pPr>
        <w:spacing w:after="0" w:line="240" w:lineRule="auto"/>
      </w:pPr>
      <w:r>
        <w:separator/>
      </w:r>
    </w:p>
  </w:endnote>
  <w:endnote w:type="continuationSeparator" w:id="0">
    <w:p w14:paraId="1AE06436" w14:textId="77777777" w:rsidR="002774D1" w:rsidRDefault="002774D1"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angal">
    <w:panose1 w:val="00000400000000000000"/>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ng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F126DD" w14:textId="0497A1F8" w:rsidR="00101F8A" w:rsidRPr="00101F8A" w:rsidRDefault="00101F8A" w:rsidP="002D3398">
    <w:pPr>
      <w:pStyle w:val="Footereven"/>
    </w:pPr>
    <w:r w:rsidRPr="00101F8A">
      <w:t>20</w:t>
    </w:r>
    <w:r w:rsidR="00960665">
      <w:t>13</w:t>
    </w:r>
    <w:r w:rsidRPr="00101F8A">
      <w:t>/</w:t>
    </w:r>
    <w:r w:rsidR="00960665">
      <w:t>31596</w:t>
    </w:r>
    <w:r w:rsidR="00712F20">
      <w:t>[v1</w:t>
    </w:r>
    <w:r w:rsidR="004A2535">
      <w:t>3</w:t>
    </w:r>
    <w:r w:rsidR="00712F20">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B1BD7" w14:textId="57AF1A47" w:rsidR="003C2A90" w:rsidRPr="009B55B9" w:rsidRDefault="003C2A90" w:rsidP="009B55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BCEDC" w14:textId="77777777" w:rsidR="003C2A90" w:rsidRPr="006E0B80" w:rsidRDefault="003C2A90" w:rsidP="006E0B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D397B" w14:textId="141815CA" w:rsidR="003C2A90" w:rsidRPr="00753E2D" w:rsidRDefault="003C2A90" w:rsidP="002D3398">
    <w:pPr>
      <w:pStyle w:val="Footereven"/>
    </w:pPr>
    <w:r w:rsidRPr="00753E2D">
      <w:t xml:space="preserve">Ancient History | ATAR | Year 12 </w:t>
    </w:r>
    <w:r w:rsidR="003F2D23">
      <w:t>s</w:t>
    </w:r>
    <w:r w:rsidRPr="00753E2D">
      <w:t>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94577" w14:textId="16B2B3BD" w:rsidR="003C2A90" w:rsidRPr="00615ED9" w:rsidRDefault="003C2A90" w:rsidP="002D3398">
    <w:pPr>
      <w:pStyle w:val="Footerodd"/>
    </w:pPr>
    <w:r w:rsidRPr="00615ED9">
      <w:t>Ancient History | ATAR</w:t>
    </w:r>
    <w:r w:rsidR="000D59BB" w:rsidRPr="00615ED9">
      <w:t xml:space="preserve"> </w:t>
    </w:r>
    <w:r w:rsidRPr="00615ED9">
      <w:t xml:space="preserve">| Year 12 </w:t>
    </w:r>
    <w:r w:rsidR="003F2D23">
      <w:t>s</w:t>
    </w:r>
    <w:r w:rsidRPr="00615ED9">
      <w:t>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3CB9A" w14:textId="77777777" w:rsidR="002774D1" w:rsidRDefault="002774D1" w:rsidP="00742128">
      <w:pPr>
        <w:spacing w:after="0" w:line="240" w:lineRule="auto"/>
      </w:pPr>
      <w:r>
        <w:separator/>
      </w:r>
    </w:p>
  </w:footnote>
  <w:footnote w:type="continuationSeparator" w:id="0">
    <w:p w14:paraId="249CEE3F" w14:textId="77777777" w:rsidR="002774D1" w:rsidRDefault="002774D1"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74C4D" w14:textId="50228758" w:rsidR="003C2A90" w:rsidRPr="009B55B9" w:rsidRDefault="003C2A90" w:rsidP="009B5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B3E5" w14:textId="0C4D80BE" w:rsidR="003C2A90" w:rsidRPr="001E736E" w:rsidRDefault="003C2A90" w:rsidP="001E73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1C1732" w14:textId="2E410E99" w:rsidR="003C2A90" w:rsidRDefault="003C2A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BDFFF" w14:textId="307C4797" w:rsidR="003C2A90" w:rsidRPr="0037147D" w:rsidRDefault="00913916" w:rsidP="002D3398">
    <w:pPr>
      <w:pStyle w:val="Headereven"/>
      <w:rPr>
        <w:noProof/>
      </w:rPr>
    </w:pPr>
    <w:r w:rsidRPr="0037147D">
      <w:rPr>
        <w:noProof/>
      </w:rPr>
      <w:fldChar w:fldCharType="begin"/>
    </w:r>
    <w:r w:rsidRPr="0037147D">
      <w:rPr>
        <w:noProof/>
      </w:rPr>
      <w:instrText xml:space="preserve"> PAGE   \* MERGEFORMAT </w:instrText>
    </w:r>
    <w:r w:rsidRPr="0037147D">
      <w:rPr>
        <w:noProof/>
      </w:rPr>
      <w:fldChar w:fldCharType="separate"/>
    </w:r>
    <w:r w:rsidRPr="0037147D">
      <w:rPr>
        <w:noProof/>
      </w:rPr>
      <w:t>2</w:t>
    </w:r>
    <w:r w:rsidRPr="0037147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1B349" w14:textId="0F4AA415" w:rsidR="003C2A90" w:rsidRPr="0037147D" w:rsidRDefault="003C2A90" w:rsidP="002D3398">
    <w:pPr>
      <w:pStyle w:val="Headerodd"/>
    </w:pPr>
    <w:r w:rsidRPr="0037147D">
      <w:fldChar w:fldCharType="begin"/>
    </w:r>
    <w:r w:rsidRPr="0037147D">
      <w:instrText xml:space="preserve"> PAGE   \* MERGEFORMAT </w:instrText>
    </w:r>
    <w:r w:rsidRPr="0037147D">
      <w:fldChar w:fldCharType="separate"/>
    </w:r>
    <w:r w:rsidR="00E63241" w:rsidRPr="0037147D">
      <w:t>33</w:t>
    </w:r>
    <w:r w:rsidRPr="0037147D">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682C6A" w14:textId="1450C108" w:rsidR="003C2A90" w:rsidRDefault="003C2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07DC5"/>
    <w:multiLevelType w:val="multilevel"/>
    <w:tmpl w:val="F0049284"/>
    <w:numStyleLink w:val="Syllabusbulletlist"/>
  </w:abstractNum>
  <w:abstractNum w:abstractNumId="1" w15:restartNumberingAfterBreak="0">
    <w:nsid w:val="031A1B20"/>
    <w:multiLevelType w:val="multilevel"/>
    <w:tmpl w:val="F0049284"/>
    <w:numStyleLink w:val="Syllabusbulletlist"/>
  </w:abstractNum>
  <w:abstractNum w:abstractNumId="2" w15:restartNumberingAfterBreak="0">
    <w:nsid w:val="04457DED"/>
    <w:multiLevelType w:val="multilevel"/>
    <w:tmpl w:val="F0049284"/>
    <w:numStyleLink w:val="Syllabusbulletlist"/>
  </w:abstractNum>
  <w:abstractNum w:abstractNumId="3" w15:restartNumberingAfterBreak="0">
    <w:nsid w:val="05177355"/>
    <w:multiLevelType w:val="multilevel"/>
    <w:tmpl w:val="F0049284"/>
    <w:numStyleLink w:val="Syllabusbulletlist"/>
  </w:abstractNum>
  <w:abstractNum w:abstractNumId="4" w15:restartNumberingAfterBreak="0">
    <w:nsid w:val="0BF273DD"/>
    <w:multiLevelType w:val="multilevel"/>
    <w:tmpl w:val="F0049284"/>
    <w:numStyleLink w:val="Syllabusbulletlist"/>
  </w:abstractNum>
  <w:abstractNum w:abstractNumId="5" w15:restartNumberingAfterBreak="0">
    <w:nsid w:val="0C1A7192"/>
    <w:multiLevelType w:val="multilevel"/>
    <w:tmpl w:val="F0049284"/>
    <w:numStyleLink w:val="Syllabusbulletlist"/>
  </w:abstractNum>
  <w:abstractNum w:abstractNumId="6" w15:restartNumberingAfterBreak="0">
    <w:nsid w:val="0EC66A37"/>
    <w:multiLevelType w:val="multilevel"/>
    <w:tmpl w:val="F0049284"/>
    <w:numStyleLink w:val="Syllabusbulletlist"/>
  </w:abstractNum>
  <w:abstractNum w:abstractNumId="7" w15:restartNumberingAfterBreak="0">
    <w:nsid w:val="0EE06B00"/>
    <w:multiLevelType w:val="multilevel"/>
    <w:tmpl w:val="F0049284"/>
    <w:numStyleLink w:val="Syllabusbulletlist"/>
  </w:abstractNum>
  <w:abstractNum w:abstractNumId="8" w15:restartNumberingAfterBreak="0">
    <w:nsid w:val="0F240458"/>
    <w:multiLevelType w:val="multilevel"/>
    <w:tmpl w:val="F00492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F526FCD"/>
    <w:multiLevelType w:val="multilevel"/>
    <w:tmpl w:val="F0049284"/>
    <w:numStyleLink w:val="Syllabusbulletlist"/>
  </w:abstractNum>
  <w:abstractNum w:abstractNumId="10" w15:restartNumberingAfterBreak="0">
    <w:nsid w:val="0FA96F42"/>
    <w:multiLevelType w:val="multilevel"/>
    <w:tmpl w:val="F0049284"/>
    <w:styleLink w:val="Syllabusbulletlist"/>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4AD5AE5"/>
    <w:multiLevelType w:val="multilevel"/>
    <w:tmpl w:val="F0049284"/>
    <w:numStyleLink w:val="Syllabusbulletlist"/>
  </w:abstractNum>
  <w:abstractNum w:abstractNumId="12" w15:restartNumberingAfterBreak="0">
    <w:nsid w:val="19E76D8B"/>
    <w:multiLevelType w:val="multilevel"/>
    <w:tmpl w:val="F0049284"/>
    <w:numStyleLink w:val="Syllabusbulletlist"/>
  </w:abstractNum>
  <w:abstractNum w:abstractNumId="13" w15:restartNumberingAfterBreak="0">
    <w:nsid w:val="1A0976BD"/>
    <w:multiLevelType w:val="multilevel"/>
    <w:tmpl w:val="F0049284"/>
    <w:numStyleLink w:val="Syllabusbulletlist"/>
  </w:abstractNum>
  <w:abstractNum w:abstractNumId="14" w15:restartNumberingAfterBreak="0">
    <w:nsid w:val="1B6222FB"/>
    <w:multiLevelType w:val="multilevel"/>
    <w:tmpl w:val="F0049284"/>
    <w:numStyleLink w:val="Syllabusbulletlist"/>
  </w:abstractNum>
  <w:abstractNum w:abstractNumId="15" w15:restartNumberingAfterBreak="0">
    <w:nsid w:val="20EB7DDF"/>
    <w:multiLevelType w:val="hybridMultilevel"/>
    <w:tmpl w:val="9BFEE7E6"/>
    <w:lvl w:ilvl="0" w:tplc="E7A2BFFE">
      <w:start w:val="1"/>
      <w:numFmt w:val="bullet"/>
      <w:pStyle w:val="VCAA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AB1BBD"/>
    <w:multiLevelType w:val="multilevel"/>
    <w:tmpl w:val="F0049284"/>
    <w:numStyleLink w:val="Syllabusbulletlist"/>
  </w:abstractNum>
  <w:abstractNum w:abstractNumId="17" w15:restartNumberingAfterBreak="0">
    <w:nsid w:val="276751E5"/>
    <w:multiLevelType w:val="singleLevel"/>
    <w:tmpl w:val="0C090001"/>
    <w:lvl w:ilvl="0">
      <w:start w:val="1"/>
      <w:numFmt w:val="bullet"/>
      <w:lvlText w:val=""/>
      <w:lvlJc w:val="left"/>
      <w:pPr>
        <w:ind w:left="360" w:hanging="360"/>
      </w:pPr>
      <w:rPr>
        <w:rFonts w:ascii="Symbol" w:hAnsi="Symbol" w:hint="default"/>
      </w:rPr>
    </w:lvl>
  </w:abstractNum>
  <w:abstractNum w:abstractNumId="18" w15:restartNumberingAfterBreak="0">
    <w:nsid w:val="27E078C3"/>
    <w:multiLevelType w:val="multilevel"/>
    <w:tmpl w:val="F0049284"/>
    <w:numStyleLink w:val="Syllabusbulletlist"/>
  </w:abstractNum>
  <w:abstractNum w:abstractNumId="19" w15:restartNumberingAfterBreak="0">
    <w:nsid w:val="282E36B5"/>
    <w:multiLevelType w:val="multilevel"/>
    <w:tmpl w:val="0DBC3AF8"/>
    <w:lvl w:ilvl="0">
      <w:start w:val="1"/>
      <w:numFmt w:val="decimal"/>
      <w:lvlText w:val="%1."/>
      <w:lvlJc w:val="left"/>
      <w:pPr>
        <w:tabs>
          <w:tab w:val="num" w:pos="397"/>
        </w:tabs>
        <w:ind w:left="397" w:hanging="397"/>
      </w:pPr>
      <w:rPr>
        <w:rFonts w:hint="default"/>
        <w:b w:val="0"/>
        <w:bCs/>
        <w:i w:val="0"/>
        <w:iCs/>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0" w15:restartNumberingAfterBreak="0">
    <w:nsid w:val="299B6121"/>
    <w:multiLevelType w:val="multilevel"/>
    <w:tmpl w:val="F0049284"/>
    <w:numStyleLink w:val="Syllabusbulletlist"/>
  </w:abstractNum>
  <w:abstractNum w:abstractNumId="21" w15:restartNumberingAfterBreak="0">
    <w:nsid w:val="2A861C41"/>
    <w:multiLevelType w:val="multilevel"/>
    <w:tmpl w:val="F0049284"/>
    <w:numStyleLink w:val="Syllabusbulletlist"/>
  </w:abstractNum>
  <w:abstractNum w:abstractNumId="22" w15:restartNumberingAfterBreak="0">
    <w:nsid w:val="2B424225"/>
    <w:multiLevelType w:val="multilevel"/>
    <w:tmpl w:val="F0049284"/>
    <w:numStyleLink w:val="Syllabusbulletlist"/>
  </w:abstractNum>
  <w:abstractNum w:abstractNumId="23" w15:restartNumberingAfterBreak="0">
    <w:nsid w:val="2CE341CC"/>
    <w:multiLevelType w:val="multilevel"/>
    <w:tmpl w:val="F0049284"/>
    <w:numStyleLink w:val="Syllabusbulletlist"/>
  </w:abstractNum>
  <w:abstractNum w:abstractNumId="24" w15:restartNumberingAfterBreak="0">
    <w:nsid w:val="2D4744FF"/>
    <w:multiLevelType w:val="multilevel"/>
    <w:tmpl w:val="F0049284"/>
    <w:numStyleLink w:val="Syllabusbulletlist"/>
  </w:abstractNum>
  <w:abstractNum w:abstractNumId="25" w15:restartNumberingAfterBreak="0">
    <w:nsid w:val="32245BC3"/>
    <w:multiLevelType w:val="multilevel"/>
    <w:tmpl w:val="F0049284"/>
    <w:numStyleLink w:val="Syllabusbulletlist"/>
  </w:abstractNum>
  <w:abstractNum w:abstractNumId="26" w15:restartNumberingAfterBreak="0">
    <w:nsid w:val="34416FEF"/>
    <w:multiLevelType w:val="multilevel"/>
    <w:tmpl w:val="41886CFE"/>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27" w15:restartNumberingAfterBreak="0">
    <w:nsid w:val="35536B79"/>
    <w:multiLevelType w:val="multilevel"/>
    <w:tmpl w:val="F0049284"/>
    <w:numStyleLink w:val="Syllabusbulletlist"/>
  </w:abstractNum>
  <w:abstractNum w:abstractNumId="28" w15:restartNumberingAfterBreak="0">
    <w:nsid w:val="36523374"/>
    <w:multiLevelType w:val="multilevel"/>
    <w:tmpl w:val="F0049284"/>
    <w:numStyleLink w:val="Syllabusbulletlist"/>
  </w:abstractNum>
  <w:abstractNum w:abstractNumId="29" w15:restartNumberingAfterBreak="0">
    <w:nsid w:val="37711A5B"/>
    <w:multiLevelType w:val="multilevel"/>
    <w:tmpl w:val="F0049284"/>
    <w:numStyleLink w:val="Syllabusbulletlist"/>
  </w:abstractNum>
  <w:abstractNum w:abstractNumId="30" w15:restartNumberingAfterBreak="0">
    <w:nsid w:val="378E70C7"/>
    <w:multiLevelType w:val="multilevel"/>
    <w:tmpl w:val="F0049284"/>
    <w:numStyleLink w:val="Syllabusbulletlist"/>
  </w:abstractNum>
  <w:abstractNum w:abstractNumId="31" w15:restartNumberingAfterBreak="0">
    <w:nsid w:val="384A22F7"/>
    <w:multiLevelType w:val="multilevel"/>
    <w:tmpl w:val="F0049284"/>
    <w:numStyleLink w:val="Syllabusbulletlist"/>
  </w:abstractNum>
  <w:abstractNum w:abstractNumId="32" w15:restartNumberingAfterBreak="0">
    <w:nsid w:val="39A24BD1"/>
    <w:multiLevelType w:val="multilevel"/>
    <w:tmpl w:val="F0049284"/>
    <w:numStyleLink w:val="Syllabusbulletlist"/>
  </w:abstractNum>
  <w:abstractNum w:abstractNumId="33" w15:restartNumberingAfterBreak="0">
    <w:nsid w:val="39A65A89"/>
    <w:multiLevelType w:val="multilevel"/>
    <w:tmpl w:val="F0049284"/>
    <w:numStyleLink w:val="Syllabusbulletlist"/>
  </w:abstractNum>
  <w:abstractNum w:abstractNumId="34" w15:restartNumberingAfterBreak="0">
    <w:nsid w:val="3AA04A59"/>
    <w:multiLevelType w:val="multilevel"/>
    <w:tmpl w:val="F0049284"/>
    <w:numStyleLink w:val="Syllabusbulletlist"/>
  </w:abstractNum>
  <w:abstractNum w:abstractNumId="35" w15:restartNumberingAfterBreak="0">
    <w:nsid w:val="3BDC1C7A"/>
    <w:multiLevelType w:val="multilevel"/>
    <w:tmpl w:val="F0049284"/>
    <w:numStyleLink w:val="Syllabusbulletlist"/>
  </w:abstractNum>
  <w:abstractNum w:abstractNumId="36" w15:restartNumberingAfterBreak="0">
    <w:nsid w:val="3C676C75"/>
    <w:multiLevelType w:val="multilevel"/>
    <w:tmpl w:val="F0049284"/>
    <w:numStyleLink w:val="Syllabusbulletlist"/>
  </w:abstractNum>
  <w:abstractNum w:abstractNumId="37" w15:restartNumberingAfterBreak="0">
    <w:nsid w:val="3CBE0D6A"/>
    <w:multiLevelType w:val="multilevel"/>
    <w:tmpl w:val="F0049284"/>
    <w:numStyleLink w:val="Syllabusbulletlist"/>
  </w:abstractNum>
  <w:abstractNum w:abstractNumId="38" w15:restartNumberingAfterBreak="0">
    <w:nsid w:val="3D9116ED"/>
    <w:multiLevelType w:val="multilevel"/>
    <w:tmpl w:val="F0049284"/>
    <w:numStyleLink w:val="Syllabusbulletlist"/>
  </w:abstractNum>
  <w:abstractNum w:abstractNumId="39" w15:restartNumberingAfterBreak="0">
    <w:nsid w:val="3E1738E4"/>
    <w:multiLevelType w:val="multilevel"/>
    <w:tmpl w:val="F0049284"/>
    <w:numStyleLink w:val="Syllabusbulletlist"/>
  </w:abstractNum>
  <w:abstractNum w:abstractNumId="40" w15:restartNumberingAfterBreak="0">
    <w:nsid w:val="42614A81"/>
    <w:multiLevelType w:val="multilevel"/>
    <w:tmpl w:val="F0049284"/>
    <w:numStyleLink w:val="Syllabusbulletlist"/>
  </w:abstractNum>
  <w:abstractNum w:abstractNumId="41" w15:restartNumberingAfterBreak="0">
    <w:nsid w:val="44930BE7"/>
    <w:multiLevelType w:val="multilevel"/>
    <w:tmpl w:val="F0049284"/>
    <w:numStyleLink w:val="Syllabusbulletlist"/>
  </w:abstractNum>
  <w:abstractNum w:abstractNumId="42" w15:restartNumberingAfterBreak="0">
    <w:nsid w:val="45477B75"/>
    <w:multiLevelType w:val="multilevel"/>
    <w:tmpl w:val="F0049284"/>
    <w:numStyleLink w:val="Syllabusbulletlist"/>
  </w:abstractNum>
  <w:abstractNum w:abstractNumId="43" w15:restartNumberingAfterBreak="0">
    <w:nsid w:val="4780368C"/>
    <w:multiLevelType w:val="multilevel"/>
    <w:tmpl w:val="F0049284"/>
    <w:numStyleLink w:val="Syllabusbulletlist"/>
  </w:abstractNum>
  <w:abstractNum w:abstractNumId="44" w15:restartNumberingAfterBreak="0">
    <w:nsid w:val="48231CDE"/>
    <w:multiLevelType w:val="multilevel"/>
    <w:tmpl w:val="F0049284"/>
    <w:numStyleLink w:val="Syllabusbulletlist"/>
  </w:abstractNum>
  <w:abstractNum w:abstractNumId="45"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4AC6648C"/>
    <w:multiLevelType w:val="multilevel"/>
    <w:tmpl w:val="F0049284"/>
    <w:numStyleLink w:val="Syllabusbulletlist"/>
  </w:abstractNum>
  <w:abstractNum w:abstractNumId="47" w15:restartNumberingAfterBreak="0">
    <w:nsid w:val="4B3D3A29"/>
    <w:multiLevelType w:val="multilevel"/>
    <w:tmpl w:val="7A5456F6"/>
    <w:lvl w:ilvl="0">
      <w:start w:val="1"/>
      <w:numFmt w:val="decimal"/>
      <w:lvlText w:val="%1."/>
      <w:lvlJc w:val="left"/>
      <w:pPr>
        <w:tabs>
          <w:tab w:val="num" w:pos="397"/>
        </w:tabs>
        <w:ind w:left="397" w:hanging="397"/>
      </w:pPr>
      <w:rPr>
        <w:rFonts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48" w15:restartNumberingAfterBreak="0">
    <w:nsid w:val="4C162B00"/>
    <w:multiLevelType w:val="singleLevel"/>
    <w:tmpl w:val="FB26AA9E"/>
    <w:lvl w:ilvl="0">
      <w:numFmt w:val="decimal"/>
      <w:pStyle w:val="csbullet"/>
      <w:lvlText w:val=""/>
      <w:lvlJc w:val="left"/>
    </w:lvl>
  </w:abstractNum>
  <w:abstractNum w:abstractNumId="49" w15:restartNumberingAfterBreak="0">
    <w:nsid w:val="4D1A1A53"/>
    <w:multiLevelType w:val="multilevel"/>
    <w:tmpl w:val="F0049284"/>
    <w:numStyleLink w:val="Syllabusbulletlist"/>
  </w:abstractNum>
  <w:abstractNum w:abstractNumId="50" w15:restartNumberingAfterBreak="0">
    <w:nsid w:val="4F356543"/>
    <w:multiLevelType w:val="multilevel"/>
    <w:tmpl w:val="F0049284"/>
    <w:numStyleLink w:val="Syllabusbulletlist"/>
  </w:abstractNum>
  <w:abstractNum w:abstractNumId="51" w15:restartNumberingAfterBreak="0">
    <w:nsid w:val="56775932"/>
    <w:multiLevelType w:val="hybridMultilevel"/>
    <w:tmpl w:val="2878F2AC"/>
    <w:lvl w:ilvl="0" w:tplc="36D02FF2">
      <w:start w:val="1"/>
      <w:numFmt w:val="bullet"/>
      <w:pStyle w:val="ContentDescript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8DD5FC4"/>
    <w:multiLevelType w:val="multilevel"/>
    <w:tmpl w:val="F0049284"/>
    <w:numStyleLink w:val="Syllabusbulletlist"/>
  </w:abstractNum>
  <w:abstractNum w:abstractNumId="53" w15:restartNumberingAfterBreak="0">
    <w:nsid w:val="59FB4C8B"/>
    <w:multiLevelType w:val="hybridMultilevel"/>
    <w:tmpl w:val="57E084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5BD66D94"/>
    <w:multiLevelType w:val="multilevel"/>
    <w:tmpl w:val="F0049284"/>
    <w:numStyleLink w:val="Syllabusbulletlist"/>
  </w:abstractNum>
  <w:abstractNum w:abstractNumId="55" w15:restartNumberingAfterBreak="0">
    <w:nsid w:val="5ED97166"/>
    <w:multiLevelType w:val="multilevel"/>
    <w:tmpl w:val="F0049284"/>
    <w:numStyleLink w:val="Syllabusbulletlist"/>
  </w:abstractNum>
  <w:abstractNum w:abstractNumId="56" w15:restartNumberingAfterBreak="0">
    <w:nsid w:val="61427D5D"/>
    <w:multiLevelType w:val="hybridMultilevel"/>
    <w:tmpl w:val="6C266366"/>
    <w:lvl w:ilvl="0" w:tplc="9D428848">
      <w:start w:val="1"/>
      <w:numFmt w:val="decimal"/>
      <w:pStyle w:val="OrderedList"/>
      <w:lvlText w:val="%1."/>
      <w:lvlJc w:val="left"/>
      <w:pPr>
        <w:ind w:left="360" w:hanging="360"/>
      </w:pPr>
      <w:rPr>
        <w:strike w:val="0"/>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7" w15:restartNumberingAfterBreak="0">
    <w:nsid w:val="61F713AE"/>
    <w:multiLevelType w:val="multilevel"/>
    <w:tmpl w:val="F0049284"/>
    <w:numStyleLink w:val="Syllabusbulletlist"/>
  </w:abstractNum>
  <w:abstractNum w:abstractNumId="58" w15:restartNumberingAfterBreak="0">
    <w:nsid w:val="620C3DFF"/>
    <w:multiLevelType w:val="multilevel"/>
    <w:tmpl w:val="8CF87A6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46B25ED"/>
    <w:multiLevelType w:val="multilevel"/>
    <w:tmpl w:val="F0049284"/>
    <w:numStyleLink w:val="Syllabusbulletlist"/>
  </w:abstractNum>
  <w:abstractNum w:abstractNumId="60" w15:restartNumberingAfterBreak="0">
    <w:nsid w:val="6B973E64"/>
    <w:multiLevelType w:val="multilevel"/>
    <w:tmpl w:val="F0049284"/>
    <w:numStyleLink w:val="Syllabusbulletlist"/>
  </w:abstractNum>
  <w:abstractNum w:abstractNumId="61" w15:restartNumberingAfterBreak="0">
    <w:nsid w:val="6E3A7909"/>
    <w:multiLevelType w:val="hybridMultilevel"/>
    <w:tmpl w:val="36861E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2" w15:restartNumberingAfterBreak="0">
    <w:nsid w:val="6E904E90"/>
    <w:multiLevelType w:val="multilevel"/>
    <w:tmpl w:val="F0049284"/>
    <w:numStyleLink w:val="Syllabusbulletlist"/>
  </w:abstractNum>
  <w:abstractNum w:abstractNumId="63" w15:restartNumberingAfterBreak="0">
    <w:nsid w:val="6EA2140F"/>
    <w:multiLevelType w:val="multilevel"/>
    <w:tmpl w:val="F0049284"/>
    <w:numStyleLink w:val="Syllabusbulletlist"/>
  </w:abstractNum>
  <w:abstractNum w:abstractNumId="64" w15:restartNumberingAfterBreak="0">
    <w:nsid w:val="6F183C38"/>
    <w:multiLevelType w:val="multilevel"/>
    <w:tmpl w:val="F0049284"/>
    <w:numStyleLink w:val="Syllabusbulletlist"/>
  </w:abstractNum>
  <w:abstractNum w:abstractNumId="65" w15:restartNumberingAfterBreak="0">
    <w:nsid w:val="709A1092"/>
    <w:multiLevelType w:val="multilevel"/>
    <w:tmpl w:val="F0049284"/>
    <w:numStyleLink w:val="Syllabusbulletlist"/>
  </w:abstractNum>
  <w:abstractNum w:abstractNumId="66" w15:restartNumberingAfterBreak="0">
    <w:nsid w:val="75964886"/>
    <w:multiLevelType w:val="multilevel"/>
    <w:tmpl w:val="F0049284"/>
    <w:numStyleLink w:val="Syllabusbulletlist"/>
  </w:abstractNum>
  <w:abstractNum w:abstractNumId="67" w15:restartNumberingAfterBreak="0">
    <w:nsid w:val="76C959E3"/>
    <w:multiLevelType w:val="multilevel"/>
    <w:tmpl w:val="F0049284"/>
    <w:numStyleLink w:val="Syllabusbulletlist"/>
  </w:abstractNum>
  <w:abstractNum w:abstractNumId="68" w15:restartNumberingAfterBreak="0">
    <w:nsid w:val="77A67C97"/>
    <w:multiLevelType w:val="multilevel"/>
    <w:tmpl w:val="F0049284"/>
    <w:numStyleLink w:val="Syllabusbulletlist"/>
  </w:abstractNum>
  <w:abstractNum w:abstractNumId="69" w15:restartNumberingAfterBreak="0">
    <w:nsid w:val="79AD37CD"/>
    <w:multiLevelType w:val="multilevel"/>
    <w:tmpl w:val="F0049284"/>
    <w:numStyleLink w:val="Syllabusbulletlist"/>
  </w:abstractNum>
  <w:abstractNum w:abstractNumId="70" w15:restartNumberingAfterBreak="0">
    <w:nsid w:val="7A8B6AAB"/>
    <w:multiLevelType w:val="multilevel"/>
    <w:tmpl w:val="F0049284"/>
    <w:numStyleLink w:val="Syllabusbulletlist"/>
  </w:abstractNum>
  <w:abstractNum w:abstractNumId="71" w15:restartNumberingAfterBreak="0">
    <w:nsid w:val="7C9B2BFB"/>
    <w:multiLevelType w:val="multilevel"/>
    <w:tmpl w:val="F0049284"/>
    <w:numStyleLink w:val="Syllabusbulletlist"/>
  </w:abstractNum>
  <w:abstractNum w:abstractNumId="72" w15:restartNumberingAfterBreak="0">
    <w:nsid w:val="7CD41550"/>
    <w:multiLevelType w:val="multilevel"/>
    <w:tmpl w:val="F0049284"/>
    <w:numStyleLink w:val="Syllabusbulletlist"/>
  </w:abstractNum>
  <w:abstractNum w:abstractNumId="73" w15:restartNumberingAfterBreak="0">
    <w:nsid w:val="7D3A71A6"/>
    <w:multiLevelType w:val="multilevel"/>
    <w:tmpl w:val="F0049284"/>
    <w:numStyleLink w:val="Syllabusbulletlist"/>
  </w:abstractNum>
  <w:abstractNum w:abstractNumId="74" w15:restartNumberingAfterBreak="0">
    <w:nsid w:val="7E6C592C"/>
    <w:multiLevelType w:val="multilevel"/>
    <w:tmpl w:val="F0049284"/>
    <w:numStyleLink w:val="Syllabusbulletlist"/>
  </w:abstractNum>
  <w:num w:numId="1" w16cid:durableId="597374881">
    <w:abstractNumId w:val="48"/>
  </w:num>
  <w:num w:numId="2" w16cid:durableId="903876709">
    <w:abstractNumId w:val="26"/>
    <w:lvlOverride w:ilvl="0">
      <w:lvl w:ilvl="0">
        <w:start w:val="1"/>
        <w:numFmt w:val="bullet"/>
        <w:pStyle w:val="ListBullet"/>
        <w:lvlText w:val=""/>
        <w:lvlJc w:val="left"/>
        <w:pPr>
          <w:tabs>
            <w:tab w:val="num" w:pos="397"/>
          </w:tabs>
          <w:ind w:left="397" w:hanging="397"/>
        </w:pPr>
        <w:rPr>
          <w:rFonts w:ascii="Symbol" w:hAnsi="Symbol" w:hint="default"/>
          <w:strike w:val="0"/>
        </w:rPr>
      </w:lvl>
    </w:lvlOverride>
  </w:num>
  <w:num w:numId="3" w16cid:durableId="1453206051">
    <w:abstractNumId w:val="56"/>
  </w:num>
  <w:num w:numId="4" w16cid:durableId="1677729726">
    <w:abstractNumId w:val="51"/>
  </w:num>
  <w:num w:numId="5" w16cid:durableId="821198093">
    <w:abstractNumId w:val="15"/>
  </w:num>
  <w:num w:numId="6" w16cid:durableId="1327634547">
    <w:abstractNumId w:val="26"/>
  </w:num>
  <w:num w:numId="7" w16cid:durableId="2048680317">
    <w:abstractNumId w:val="19"/>
  </w:num>
  <w:num w:numId="8" w16cid:durableId="2131699712">
    <w:abstractNumId w:val="47"/>
  </w:num>
  <w:num w:numId="9" w16cid:durableId="2111074984">
    <w:abstractNumId w:val="10"/>
  </w:num>
  <w:num w:numId="10" w16cid:durableId="330716291">
    <w:abstractNumId w:val="63"/>
  </w:num>
  <w:num w:numId="11" w16cid:durableId="1123112839">
    <w:abstractNumId w:val="4"/>
  </w:num>
  <w:num w:numId="12" w16cid:durableId="901604076">
    <w:abstractNumId w:val="34"/>
  </w:num>
  <w:num w:numId="13" w16cid:durableId="1218126378">
    <w:abstractNumId w:val="50"/>
  </w:num>
  <w:num w:numId="14" w16cid:durableId="1783836517">
    <w:abstractNumId w:val="65"/>
  </w:num>
  <w:num w:numId="15" w16cid:durableId="1564364329">
    <w:abstractNumId w:val="44"/>
  </w:num>
  <w:num w:numId="16" w16cid:durableId="1371373242">
    <w:abstractNumId w:val="66"/>
  </w:num>
  <w:num w:numId="17" w16cid:durableId="516039046">
    <w:abstractNumId w:val="35"/>
  </w:num>
  <w:num w:numId="18" w16cid:durableId="268784885">
    <w:abstractNumId w:val="69"/>
  </w:num>
  <w:num w:numId="19" w16cid:durableId="44842358">
    <w:abstractNumId w:val="8"/>
  </w:num>
  <w:num w:numId="20" w16cid:durableId="954794109">
    <w:abstractNumId w:val="58"/>
  </w:num>
  <w:num w:numId="21" w16cid:durableId="1454011281">
    <w:abstractNumId w:val="52"/>
  </w:num>
  <w:num w:numId="22" w16cid:durableId="1795521551">
    <w:abstractNumId w:val="14"/>
  </w:num>
  <w:num w:numId="23" w16cid:durableId="2058122599">
    <w:abstractNumId w:val="39"/>
  </w:num>
  <w:num w:numId="24" w16cid:durableId="267081369">
    <w:abstractNumId w:val="68"/>
  </w:num>
  <w:num w:numId="25" w16cid:durableId="997535839">
    <w:abstractNumId w:val="67"/>
  </w:num>
  <w:num w:numId="26" w16cid:durableId="1720476429">
    <w:abstractNumId w:val="24"/>
  </w:num>
  <w:num w:numId="27" w16cid:durableId="839196110">
    <w:abstractNumId w:val="12"/>
  </w:num>
  <w:num w:numId="28" w16cid:durableId="2048604111">
    <w:abstractNumId w:val="25"/>
  </w:num>
  <w:num w:numId="29" w16cid:durableId="1900171864">
    <w:abstractNumId w:val="46"/>
  </w:num>
  <w:num w:numId="30" w16cid:durableId="1448550016">
    <w:abstractNumId w:val="42"/>
    <w:lvlOverride w:ilvl="0">
      <w:lvl w:ilvl="0">
        <w:start w:val="1"/>
        <w:numFmt w:val="bullet"/>
        <w:lvlText w:val=""/>
        <w:lvlJc w:val="left"/>
        <w:pPr>
          <w:ind w:left="360" w:hanging="360"/>
        </w:pPr>
        <w:rPr>
          <w:rFonts w:ascii="Symbol" w:hAnsi="Symbol" w:hint="default"/>
          <w:strike w:val="0"/>
        </w:rPr>
      </w:lvl>
    </w:lvlOverride>
  </w:num>
  <w:num w:numId="31" w16cid:durableId="1763605162">
    <w:abstractNumId w:val="9"/>
  </w:num>
  <w:num w:numId="32" w16cid:durableId="147868417">
    <w:abstractNumId w:val="32"/>
    <w:lvlOverride w:ilvl="0">
      <w:lvl w:ilvl="0">
        <w:start w:val="1"/>
        <w:numFmt w:val="bullet"/>
        <w:lvlText w:val=""/>
        <w:lvlJc w:val="left"/>
        <w:pPr>
          <w:ind w:left="360" w:hanging="360"/>
        </w:pPr>
        <w:rPr>
          <w:rFonts w:ascii="Symbol" w:hAnsi="Symbol" w:hint="default"/>
          <w:strike w:val="0"/>
        </w:rPr>
      </w:lvl>
    </w:lvlOverride>
  </w:num>
  <w:num w:numId="33" w16cid:durableId="377827689">
    <w:abstractNumId w:val="41"/>
  </w:num>
  <w:num w:numId="34" w16cid:durableId="1336303740">
    <w:abstractNumId w:val="40"/>
  </w:num>
  <w:num w:numId="35" w16cid:durableId="64037749">
    <w:abstractNumId w:val="60"/>
  </w:num>
  <w:num w:numId="36" w16cid:durableId="738093269">
    <w:abstractNumId w:val="1"/>
    <w:lvlOverride w:ilvl="0">
      <w:lvl w:ilvl="0">
        <w:start w:val="1"/>
        <w:numFmt w:val="bullet"/>
        <w:lvlText w:val=""/>
        <w:lvlJc w:val="left"/>
        <w:pPr>
          <w:ind w:left="360" w:hanging="360"/>
        </w:pPr>
        <w:rPr>
          <w:rFonts w:ascii="Symbol" w:hAnsi="Symbol" w:hint="default"/>
          <w:strike w:val="0"/>
        </w:rPr>
      </w:lvl>
    </w:lvlOverride>
  </w:num>
  <w:num w:numId="37" w16cid:durableId="1390617346">
    <w:abstractNumId w:val="29"/>
  </w:num>
  <w:num w:numId="38" w16cid:durableId="2135171547">
    <w:abstractNumId w:val="6"/>
  </w:num>
  <w:num w:numId="39" w16cid:durableId="1309356361">
    <w:abstractNumId w:val="73"/>
  </w:num>
  <w:num w:numId="40" w16cid:durableId="1868832045">
    <w:abstractNumId w:val="2"/>
  </w:num>
  <w:num w:numId="41" w16cid:durableId="80878335">
    <w:abstractNumId w:val="49"/>
  </w:num>
  <w:num w:numId="42" w16cid:durableId="112293003">
    <w:abstractNumId w:val="36"/>
  </w:num>
  <w:num w:numId="43" w16cid:durableId="1710497774">
    <w:abstractNumId w:val="16"/>
  </w:num>
  <w:num w:numId="44" w16cid:durableId="1944260987">
    <w:abstractNumId w:val="43"/>
  </w:num>
  <w:num w:numId="45" w16cid:durableId="31539661">
    <w:abstractNumId w:val="7"/>
  </w:num>
  <w:num w:numId="46" w16cid:durableId="1088579471">
    <w:abstractNumId w:val="30"/>
  </w:num>
  <w:num w:numId="47" w16cid:durableId="34744523">
    <w:abstractNumId w:val="33"/>
  </w:num>
  <w:num w:numId="48" w16cid:durableId="1948732807">
    <w:abstractNumId w:val="3"/>
  </w:num>
  <w:num w:numId="49" w16cid:durableId="2116437356">
    <w:abstractNumId w:val="70"/>
    <w:lvlOverride w:ilvl="0">
      <w:lvl w:ilvl="0">
        <w:start w:val="1"/>
        <w:numFmt w:val="bullet"/>
        <w:lvlText w:val=""/>
        <w:lvlJc w:val="left"/>
        <w:pPr>
          <w:ind w:left="360" w:hanging="360"/>
        </w:pPr>
        <w:rPr>
          <w:rFonts w:ascii="Symbol" w:hAnsi="Symbol" w:hint="default"/>
          <w:sz w:val="22"/>
          <w:szCs w:val="22"/>
        </w:rPr>
      </w:lvl>
    </w:lvlOverride>
  </w:num>
  <w:num w:numId="50" w16cid:durableId="180046727">
    <w:abstractNumId w:val="31"/>
  </w:num>
  <w:num w:numId="51" w16cid:durableId="283317131">
    <w:abstractNumId w:val="55"/>
  </w:num>
  <w:num w:numId="52" w16cid:durableId="1689865768">
    <w:abstractNumId w:val="23"/>
  </w:num>
  <w:num w:numId="53" w16cid:durableId="945575423">
    <w:abstractNumId w:val="57"/>
  </w:num>
  <w:num w:numId="54" w16cid:durableId="259263257">
    <w:abstractNumId w:val="59"/>
  </w:num>
  <w:num w:numId="55" w16cid:durableId="1075860720">
    <w:abstractNumId w:val="38"/>
  </w:num>
  <w:num w:numId="56" w16cid:durableId="2089421489">
    <w:abstractNumId w:val="17"/>
  </w:num>
  <w:num w:numId="57" w16cid:durableId="441071076">
    <w:abstractNumId w:val="21"/>
  </w:num>
  <w:num w:numId="58" w16cid:durableId="850796195">
    <w:abstractNumId w:val="74"/>
  </w:num>
  <w:num w:numId="59" w16cid:durableId="1431201825">
    <w:abstractNumId w:val="72"/>
  </w:num>
  <w:num w:numId="60" w16cid:durableId="1836261754">
    <w:abstractNumId w:val="62"/>
  </w:num>
  <w:num w:numId="61" w16cid:durableId="1270505381">
    <w:abstractNumId w:val="13"/>
  </w:num>
  <w:num w:numId="62" w16cid:durableId="620452854">
    <w:abstractNumId w:val="27"/>
  </w:num>
  <w:num w:numId="63" w16cid:durableId="946622723">
    <w:abstractNumId w:val="18"/>
  </w:num>
  <w:num w:numId="64" w16cid:durableId="1255281677">
    <w:abstractNumId w:val="64"/>
  </w:num>
  <w:num w:numId="65" w16cid:durableId="602883644">
    <w:abstractNumId w:val="28"/>
  </w:num>
  <w:num w:numId="66" w16cid:durableId="1126699463">
    <w:abstractNumId w:val="37"/>
  </w:num>
  <w:num w:numId="67" w16cid:durableId="2127040115">
    <w:abstractNumId w:val="71"/>
  </w:num>
  <w:num w:numId="68" w16cid:durableId="472521514">
    <w:abstractNumId w:val="54"/>
  </w:num>
  <w:num w:numId="69" w16cid:durableId="1832065146">
    <w:abstractNumId w:val="22"/>
  </w:num>
  <w:num w:numId="70" w16cid:durableId="465465262">
    <w:abstractNumId w:val="20"/>
  </w:num>
  <w:num w:numId="71" w16cid:durableId="807821137">
    <w:abstractNumId w:val="0"/>
  </w:num>
  <w:num w:numId="72" w16cid:durableId="400753467">
    <w:abstractNumId w:val="5"/>
    <w:lvlOverride w:ilvl="0">
      <w:lvl w:ilvl="0">
        <w:start w:val="1"/>
        <w:numFmt w:val="bullet"/>
        <w:lvlText w:val=""/>
        <w:lvlJc w:val="left"/>
        <w:pPr>
          <w:ind w:left="360" w:hanging="360"/>
        </w:pPr>
        <w:rPr>
          <w:rFonts w:ascii="Symbol" w:hAnsi="Symbol" w:hint="default"/>
          <w:sz w:val="20"/>
          <w:szCs w:val="20"/>
        </w:rPr>
      </w:lvl>
    </w:lvlOverride>
  </w:num>
  <w:num w:numId="73" w16cid:durableId="823087900">
    <w:abstractNumId w:val="11"/>
  </w:num>
  <w:num w:numId="74" w16cid:durableId="1620213319">
    <w:abstractNumId w:val="53"/>
  </w:num>
  <w:num w:numId="75" w16cid:durableId="359479912">
    <w:abstractNumId w:val="26"/>
    <w:lvlOverride w:ilvl="0">
      <w:lvl w:ilvl="0">
        <w:start w:val="1"/>
        <w:numFmt w:val="bullet"/>
        <w:pStyle w:val="ListBullet"/>
        <w:lvlText w:val=""/>
        <w:lvlJc w:val="left"/>
        <w:pPr>
          <w:tabs>
            <w:tab w:val="num" w:pos="397"/>
          </w:tabs>
          <w:ind w:left="397" w:hanging="397"/>
        </w:pPr>
        <w:rPr>
          <w:rFonts w:ascii="Symbol" w:hAnsi="Symbol" w:hint="default"/>
          <w:strike w:val="0"/>
        </w:rPr>
      </w:lvl>
    </w:lvlOverride>
  </w:num>
  <w:num w:numId="76" w16cid:durableId="1346054699">
    <w:abstractNumId w:val="61"/>
  </w:num>
  <w:num w:numId="77" w16cid:durableId="1558123844">
    <w:abstractNumId w:val="45"/>
  </w:num>
  <w:num w:numId="78" w16cid:durableId="1212687136">
    <w:abstractNumId w:val="45"/>
  </w:num>
  <w:num w:numId="79" w16cid:durableId="1347176794">
    <w:abstractNumId w:val="45"/>
  </w:num>
  <w:num w:numId="80" w16cid:durableId="1682774057">
    <w:abstractNumId w:val="45"/>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E5"/>
    <w:rsid w:val="000006B0"/>
    <w:rsid w:val="000008BB"/>
    <w:rsid w:val="0000236A"/>
    <w:rsid w:val="00005688"/>
    <w:rsid w:val="00005B03"/>
    <w:rsid w:val="000108B2"/>
    <w:rsid w:val="00011A0F"/>
    <w:rsid w:val="000120CF"/>
    <w:rsid w:val="000121B6"/>
    <w:rsid w:val="00012C83"/>
    <w:rsid w:val="00012CCA"/>
    <w:rsid w:val="00012E1E"/>
    <w:rsid w:val="0001375B"/>
    <w:rsid w:val="000173E0"/>
    <w:rsid w:val="00017D9C"/>
    <w:rsid w:val="000229D6"/>
    <w:rsid w:val="0002336A"/>
    <w:rsid w:val="000246F1"/>
    <w:rsid w:val="000263D5"/>
    <w:rsid w:val="0002782D"/>
    <w:rsid w:val="000303D1"/>
    <w:rsid w:val="00033F19"/>
    <w:rsid w:val="000350CC"/>
    <w:rsid w:val="00035F06"/>
    <w:rsid w:val="00040DF5"/>
    <w:rsid w:val="00040F43"/>
    <w:rsid w:val="00042A3D"/>
    <w:rsid w:val="00045DBF"/>
    <w:rsid w:val="0004775E"/>
    <w:rsid w:val="00047900"/>
    <w:rsid w:val="00050057"/>
    <w:rsid w:val="00050F53"/>
    <w:rsid w:val="000518A4"/>
    <w:rsid w:val="00054C74"/>
    <w:rsid w:val="000558AC"/>
    <w:rsid w:val="00055CFD"/>
    <w:rsid w:val="00055E9E"/>
    <w:rsid w:val="00062467"/>
    <w:rsid w:val="000663D0"/>
    <w:rsid w:val="00073725"/>
    <w:rsid w:val="00073C29"/>
    <w:rsid w:val="0007421D"/>
    <w:rsid w:val="00074C20"/>
    <w:rsid w:val="00081783"/>
    <w:rsid w:val="00082CCB"/>
    <w:rsid w:val="000854C0"/>
    <w:rsid w:val="00087B2F"/>
    <w:rsid w:val="0009024C"/>
    <w:rsid w:val="0009031B"/>
    <w:rsid w:val="00092222"/>
    <w:rsid w:val="00092B73"/>
    <w:rsid w:val="00093D78"/>
    <w:rsid w:val="0009417F"/>
    <w:rsid w:val="0009606B"/>
    <w:rsid w:val="00096DD7"/>
    <w:rsid w:val="00097663"/>
    <w:rsid w:val="000977AA"/>
    <w:rsid w:val="00097A4E"/>
    <w:rsid w:val="000A1877"/>
    <w:rsid w:val="000A28FD"/>
    <w:rsid w:val="000A4CB3"/>
    <w:rsid w:val="000A5DD7"/>
    <w:rsid w:val="000A6ABE"/>
    <w:rsid w:val="000A6B8C"/>
    <w:rsid w:val="000B4345"/>
    <w:rsid w:val="000B5428"/>
    <w:rsid w:val="000B56B7"/>
    <w:rsid w:val="000B7A91"/>
    <w:rsid w:val="000C14E3"/>
    <w:rsid w:val="000C2E91"/>
    <w:rsid w:val="000C305B"/>
    <w:rsid w:val="000C3DC1"/>
    <w:rsid w:val="000C5910"/>
    <w:rsid w:val="000C5ABF"/>
    <w:rsid w:val="000C719A"/>
    <w:rsid w:val="000C7847"/>
    <w:rsid w:val="000C79D0"/>
    <w:rsid w:val="000D1320"/>
    <w:rsid w:val="000D2314"/>
    <w:rsid w:val="000D4053"/>
    <w:rsid w:val="000D59BB"/>
    <w:rsid w:val="000D7096"/>
    <w:rsid w:val="000D732A"/>
    <w:rsid w:val="000E06AF"/>
    <w:rsid w:val="000E0EC2"/>
    <w:rsid w:val="000E37D1"/>
    <w:rsid w:val="000F0A08"/>
    <w:rsid w:val="000F25D5"/>
    <w:rsid w:val="000F404F"/>
    <w:rsid w:val="00100FD2"/>
    <w:rsid w:val="00101F8A"/>
    <w:rsid w:val="00103C2D"/>
    <w:rsid w:val="00104C9F"/>
    <w:rsid w:val="00105374"/>
    <w:rsid w:val="00106296"/>
    <w:rsid w:val="00106367"/>
    <w:rsid w:val="00107307"/>
    <w:rsid w:val="00114EE0"/>
    <w:rsid w:val="001154DE"/>
    <w:rsid w:val="0011661A"/>
    <w:rsid w:val="0011737C"/>
    <w:rsid w:val="00120451"/>
    <w:rsid w:val="00121047"/>
    <w:rsid w:val="00121638"/>
    <w:rsid w:val="00122A6B"/>
    <w:rsid w:val="00123FF5"/>
    <w:rsid w:val="00126E77"/>
    <w:rsid w:val="0013128A"/>
    <w:rsid w:val="0013253E"/>
    <w:rsid w:val="00132E99"/>
    <w:rsid w:val="001330F1"/>
    <w:rsid w:val="00133BBF"/>
    <w:rsid w:val="0013465E"/>
    <w:rsid w:val="00136962"/>
    <w:rsid w:val="00137233"/>
    <w:rsid w:val="00137395"/>
    <w:rsid w:val="001414AD"/>
    <w:rsid w:val="00141B23"/>
    <w:rsid w:val="001451B9"/>
    <w:rsid w:val="00150C43"/>
    <w:rsid w:val="0015113D"/>
    <w:rsid w:val="0015254E"/>
    <w:rsid w:val="00154AE6"/>
    <w:rsid w:val="00155077"/>
    <w:rsid w:val="0015616B"/>
    <w:rsid w:val="001567D0"/>
    <w:rsid w:val="00156C53"/>
    <w:rsid w:val="00157E06"/>
    <w:rsid w:val="00160180"/>
    <w:rsid w:val="00161100"/>
    <w:rsid w:val="001616E6"/>
    <w:rsid w:val="001628D8"/>
    <w:rsid w:val="00163F8D"/>
    <w:rsid w:val="001653C4"/>
    <w:rsid w:val="00165F64"/>
    <w:rsid w:val="00170E15"/>
    <w:rsid w:val="001731A7"/>
    <w:rsid w:val="00174BD0"/>
    <w:rsid w:val="0018257F"/>
    <w:rsid w:val="0019340B"/>
    <w:rsid w:val="0019608D"/>
    <w:rsid w:val="001A0405"/>
    <w:rsid w:val="001A225B"/>
    <w:rsid w:val="001A27E9"/>
    <w:rsid w:val="001A6ADD"/>
    <w:rsid w:val="001A76E7"/>
    <w:rsid w:val="001A7DBB"/>
    <w:rsid w:val="001B1E64"/>
    <w:rsid w:val="001B2294"/>
    <w:rsid w:val="001B22EF"/>
    <w:rsid w:val="001B46BC"/>
    <w:rsid w:val="001B504E"/>
    <w:rsid w:val="001B60FB"/>
    <w:rsid w:val="001B7F56"/>
    <w:rsid w:val="001C0355"/>
    <w:rsid w:val="001C1107"/>
    <w:rsid w:val="001C3A8D"/>
    <w:rsid w:val="001D0248"/>
    <w:rsid w:val="001D0E86"/>
    <w:rsid w:val="001D2CB8"/>
    <w:rsid w:val="001D5B33"/>
    <w:rsid w:val="001D6BF7"/>
    <w:rsid w:val="001D6E2C"/>
    <w:rsid w:val="001D76C5"/>
    <w:rsid w:val="001E1458"/>
    <w:rsid w:val="001E21B7"/>
    <w:rsid w:val="001E736E"/>
    <w:rsid w:val="001F0FB5"/>
    <w:rsid w:val="001F3189"/>
    <w:rsid w:val="001F46AC"/>
    <w:rsid w:val="002006A0"/>
    <w:rsid w:val="00204339"/>
    <w:rsid w:val="0020522E"/>
    <w:rsid w:val="00210D01"/>
    <w:rsid w:val="00214C4A"/>
    <w:rsid w:val="00215B2B"/>
    <w:rsid w:val="00217C4E"/>
    <w:rsid w:val="002204DA"/>
    <w:rsid w:val="002208DB"/>
    <w:rsid w:val="00222C48"/>
    <w:rsid w:val="00224D72"/>
    <w:rsid w:val="002275E3"/>
    <w:rsid w:val="002279E8"/>
    <w:rsid w:val="00233A50"/>
    <w:rsid w:val="00234BD4"/>
    <w:rsid w:val="00236FD7"/>
    <w:rsid w:val="00237643"/>
    <w:rsid w:val="00244599"/>
    <w:rsid w:val="00245DEA"/>
    <w:rsid w:val="00252AB7"/>
    <w:rsid w:val="002532CE"/>
    <w:rsid w:val="00261BD2"/>
    <w:rsid w:val="00262B89"/>
    <w:rsid w:val="00262B9F"/>
    <w:rsid w:val="00263292"/>
    <w:rsid w:val="0026333E"/>
    <w:rsid w:val="00265C3E"/>
    <w:rsid w:val="00270163"/>
    <w:rsid w:val="0027080E"/>
    <w:rsid w:val="00273CA2"/>
    <w:rsid w:val="002740F8"/>
    <w:rsid w:val="002749DD"/>
    <w:rsid w:val="002774D1"/>
    <w:rsid w:val="00277978"/>
    <w:rsid w:val="00285893"/>
    <w:rsid w:val="00287D91"/>
    <w:rsid w:val="00287EEF"/>
    <w:rsid w:val="0029045C"/>
    <w:rsid w:val="00290C4A"/>
    <w:rsid w:val="00293088"/>
    <w:rsid w:val="002943DA"/>
    <w:rsid w:val="00294EE9"/>
    <w:rsid w:val="00295825"/>
    <w:rsid w:val="00296119"/>
    <w:rsid w:val="002976AE"/>
    <w:rsid w:val="002A0109"/>
    <w:rsid w:val="002A05B4"/>
    <w:rsid w:val="002A0A03"/>
    <w:rsid w:val="002A20D4"/>
    <w:rsid w:val="002A43FF"/>
    <w:rsid w:val="002A46EE"/>
    <w:rsid w:val="002A471E"/>
    <w:rsid w:val="002A4891"/>
    <w:rsid w:val="002A4F51"/>
    <w:rsid w:val="002A536D"/>
    <w:rsid w:val="002A5BAE"/>
    <w:rsid w:val="002A5BD1"/>
    <w:rsid w:val="002A6C07"/>
    <w:rsid w:val="002A6EFC"/>
    <w:rsid w:val="002B2D68"/>
    <w:rsid w:val="002B57DA"/>
    <w:rsid w:val="002B5E69"/>
    <w:rsid w:val="002B6FEE"/>
    <w:rsid w:val="002B742C"/>
    <w:rsid w:val="002C05E5"/>
    <w:rsid w:val="002C0CFB"/>
    <w:rsid w:val="002C1912"/>
    <w:rsid w:val="002C3DBA"/>
    <w:rsid w:val="002C54CE"/>
    <w:rsid w:val="002C550A"/>
    <w:rsid w:val="002D1E7D"/>
    <w:rsid w:val="002D3398"/>
    <w:rsid w:val="002D5879"/>
    <w:rsid w:val="002D6A3C"/>
    <w:rsid w:val="002E21E0"/>
    <w:rsid w:val="002E27E5"/>
    <w:rsid w:val="002E40EA"/>
    <w:rsid w:val="002E42E8"/>
    <w:rsid w:val="002E6843"/>
    <w:rsid w:val="002E6930"/>
    <w:rsid w:val="002E78F4"/>
    <w:rsid w:val="002F1FD2"/>
    <w:rsid w:val="002F31CF"/>
    <w:rsid w:val="002F33C7"/>
    <w:rsid w:val="002F67D3"/>
    <w:rsid w:val="002F72AD"/>
    <w:rsid w:val="002F7C20"/>
    <w:rsid w:val="0030131D"/>
    <w:rsid w:val="003046FF"/>
    <w:rsid w:val="00304E41"/>
    <w:rsid w:val="003055A9"/>
    <w:rsid w:val="00305C85"/>
    <w:rsid w:val="003060A9"/>
    <w:rsid w:val="00306334"/>
    <w:rsid w:val="00306C56"/>
    <w:rsid w:val="00310A12"/>
    <w:rsid w:val="003147F4"/>
    <w:rsid w:val="003148FB"/>
    <w:rsid w:val="003233BC"/>
    <w:rsid w:val="00323BE6"/>
    <w:rsid w:val="00326FC2"/>
    <w:rsid w:val="003271BE"/>
    <w:rsid w:val="003275BD"/>
    <w:rsid w:val="00327FCA"/>
    <w:rsid w:val="00334065"/>
    <w:rsid w:val="00341B88"/>
    <w:rsid w:val="003431CD"/>
    <w:rsid w:val="0034321E"/>
    <w:rsid w:val="003434D4"/>
    <w:rsid w:val="00345094"/>
    <w:rsid w:val="003461FD"/>
    <w:rsid w:val="00346CD8"/>
    <w:rsid w:val="00346FB1"/>
    <w:rsid w:val="003512BA"/>
    <w:rsid w:val="003538E1"/>
    <w:rsid w:val="00355E80"/>
    <w:rsid w:val="00357173"/>
    <w:rsid w:val="00360960"/>
    <w:rsid w:val="00361BF9"/>
    <w:rsid w:val="003627F6"/>
    <w:rsid w:val="0036440F"/>
    <w:rsid w:val="00365FDB"/>
    <w:rsid w:val="0037147D"/>
    <w:rsid w:val="00371D47"/>
    <w:rsid w:val="003761F9"/>
    <w:rsid w:val="00376611"/>
    <w:rsid w:val="00380F97"/>
    <w:rsid w:val="00381F5A"/>
    <w:rsid w:val="00383C3E"/>
    <w:rsid w:val="0038663B"/>
    <w:rsid w:val="003879ED"/>
    <w:rsid w:val="003920CE"/>
    <w:rsid w:val="00394203"/>
    <w:rsid w:val="00395A59"/>
    <w:rsid w:val="00397DC0"/>
    <w:rsid w:val="003A0713"/>
    <w:rsid w:val="003A41FC"/>
    <w:rsid w:val="003A6681"/>
    <w:rsid w:val="003B3ECB"/>
    <w:rsid w:val="003B54AB"/>
    <w:rsid w:val="003C0773"/>
    <w:rsid w:val="003C24B9"/>
    <w:rsid w:val="003C2A90"/>
    <w:rsid w:val="003C2B53"/>
    <w:rsid w:val="003C3510"/>
    <w:rsid w:val="003C6DE1"/>
    <w:rsid w:val="003D102F"/>
    <w:rsid w:val="003D25D7"/>
    <w:rsid w:val="003D2904"/>
    <w:rsid w:val="003D3CBD"/>
    <w:rsid w:val="003D56E5"/>
    <w:rsid w:val="003E027D"/>
    <w:rsid w:val="003F0926"/>
    <w:rsid w:val="003F149D"/>
    <w:rsid w:val="003F2D23"/>
    <w:rsid w:val="003F4151"/>
    <w:rsid w:val="003F60C8"/>
    <w:rsid w:val="003F6FB2"/>
    <w:rsid w:val="00400253"/>
    <w:rsid w:val="00402601"/>
    <w:rsid w:val="00403269"/>
    <w:rsid w:val="00403D01"/>
    <w:rsid w:val="00407686"/>
    <w:rsid w:val="00407B8C"/>
    <w:rsid w:val="0041069D"/>
    <w:rsid w:val="00411F81"/>
    <w:rsid w:val="00413C8C"/>
    <w:rsid w:val="004140B2"/>
    <w:rsid w:val="00415F45"/>
    <w:rsid w:val="00416C3D"/>
    <w:rsid w:val="00416D00"/>
    <w:rsid w:val="00417F1C"/>
    <w:rsid w:val="0042027B"/>
    <w:rsid w:val="00421CCE"/>
    <w:rsid w:val="0042653C"/>
    <w:rsid w:val="0042680F"/>
    <w:rsid w:val="004271FC"/>
    <w:rsid w:val="00430C56"/>
    <w:rsid w:val="00431B04"/>
    <w:rsid w:val="0043620D"/>
    <w:rsid w:val="00440898"/>
    <w:rsid w:val="00441139"/>
    <w:rsid w:val="0044139D"/>
    <w:rsid w:val="00441462"/>
    <w:rsid w:val="00442A65"/>
    <w:rsid w:val="0044627A"/>
    <w:rsid w:val="004478FB"/>
    <w:rsid w:val="00450486"/>
    <w:rsid w:val="004541EE"/>
    <w:rsid w:val="004560FE"/>
    <w:rsid w:val="004568B6"/>
    <w:rsid w:val="00457D83"/>
    <w:rsid w:val="00460783"/>
    <w:rsid w:val="004618B6"/>
    <w:rsid w:val="004618E9"/>
    <w:rsid w:val="004621D9"/>
    <w:rsid w:val="00463245"/>
    <w:rsid w:val="00463BFD"/>
    <w:rsid w:val="00464917"/>
    <w:rsid w:val="00466D3C"/>
    <w:rsid w:val="004670EE"/>
    <w:rsid w:val="0047262F"/>
    <w:rsid w:val="0047371B"/>
    <w:rsid w:val="004835D1"/>
    <w:rsid w:val="00484CAF"/>
    <w:rsid w:val="004853B3"/>
    <w:rsid w:val="004854E3"/>
    <w:rsid w:val="00486722"/>
    <w:rsid w:val="004870C3"/>
    <w:rsid w:val="00487C4C"/>
    <w:rsid w:val="0049023B"/>
    <w:rsid w:val="004907BC"/>
    <w:rsid w:val="00490A98"/>
    <w:rsid w:val="00492C50"/>
    <w:rsid w:val="00493EBB"/>
    <w:rsid w:val="004965DA"/>
    <w:rsid w:val="00496AC9"/>
    <w:rsid w:val="004A2535"/>
    <w:rsid w:val="004A3F3B"/>
    <w:rsid w:val="004A50F7"/>
    <w:rsid w:val="004A68BA"/>
    <w:rsid w:val="004A74F3"/>
    <w:rsid w:val="004B0AC7"/>
    <w:rsid w:val="004B2FA4"/>
    <w:rsid w:val="004B4410"/>
    <w:rsid w:val="004B5117"/>
    <w:rsid w:val="004B6F17"/>
    <w:rsid w:val="004B77DA"/>
    <w:rsid w:val="004B7DB5"/>
    <w:rsid w:val="004C1F96"/>
    <w:rsid w:val="004C68CD"/>
    <w:rsid w:val="004D05E6"/>
    <w:rsid w:val="004D0E9F"/>
    <w:rsid w:val="004D3420"/>
    <w:rsid w:val="004D560D"/>
    <w:rsid w:val="004D5CDA"/>
    <w:rsid w:val="004D60E1"/>
    <w:rsid w:val="004D64E3"/>
    <w:rsid w:val="004D7D2B"/>
    <w:rsid w:val="004E0371"/>
    <w:rsid w:val="004E2CF4"/>
    <w:rsid w:val="004E3680"/>
    <w:rsid w:val="004E5447"/>
    <w:rsid w:val="004E607E"/>
    <w:rsid w:val="004F14FF"/>
    <w:rsid w:val="004F22E7"/>
    <w:rsid w:val="004F3F22"/>
    <w:rsid w:val="004F4033"/>
    <w:rsid w:val="004F5842"/>
    <w:rsid w:val="004F72B8"/>
    <w:rsid w:val="005005C5"/>
    <w:rsid w:val="00500E45"/>
    <w:rsid w:val="00502102"/>
    <w:rsid w:val="00504046"/>
    <w:rsid w:val="00504646"/>
    <w:rsid w:val="00505A09"/>
    <w:rsid w:val="0051266E"/>
    <w:rsid w:val="005177EB"/>
    <w:rsid w:val="00517B00"/>
    <w:rsid w:val="00521BD6"/>
    <w:rsid w:val="00523341"/>
    <w:rsid w:val="00523B41"/>
    <w:rsid w:val="00523D6C"/>
    <w:rsid w:val="005255A7"/>
    <w:rsid w:val="00526F8B"/>
    <w:rsid w:val="005273AF"/>
    <w:rsid w:val="00534C02"/>
    <w:rsid w:val="00535D59"/>
    <w:rsid w:val="005378A4"/>
    <w:rsid w:val="00537FA9"/>
    <w:rsid w:val="00540775"/>
    <w:rsid w:val="00540FA8"/>
    <w:rsid w:val="005410BA"/>
    <w:rsid w:val="005434EA"/>
    <w:rsid w:val="00546EB0"/>
    <w:rsid w:val="00550624"/>
    <w:rsid w:val="005528BB"/>
    <w:rsid w:val="00554AC8"/>
    <w:rsid w:val="00555DDD"/>
    <w:rsid w:val="00556BE9"/>
    <w:rsid w:val="00557DEE"/>
    <w:rsid w:val="0056298F"/>
    <w:rsid w:val="00563AF0"/>
    <w:rsid w:val="00563DB2"/>
    <w:rsid w:val="00570725"/>
    <w:rsid w:val="00573F19"/>
    <w:rsid w:val="00575BE0"/>
    <w:rsid w:val="00583AAB"/>
    <w:rsid w:val="00584CB9"/>
    <w:rsid w:val="00585625"/>
    <w:rsid w:val="0058787E"/>
    <w:rsid w:val="0059219F"/>
    <w:rsid w:val="005922FD"/>
    <w:rsid w:val="005936C2"/>
    <w:rsid w:val="0059683F"/>
    <w:rsid w:val="005A0EDC"/>
    <w:rsid w:val="005A196C"/>
    <w:rsid w:val="005A1BAB"/>
    <w:rsid w:val="005A2ADA"/>
    <w:rsid w:val="005A2EE5"/>
    <w:rsid w:val="005A3924"/>
    <w:rsid w:val="005B3027"/>
    <w:rsid w:val="005B323A"/>
    <w:rsid w:val="005B66FE"/>
    <w:rsid w:val="005B71CD"/>
    <w:rsid w:val="005C0EC3"/>
    <w:rsid w:val="005C2518"/>
    <w:rsid w:val="005C3EA9"/>
    <w:rsid w:val="005C417E"/>
    <w:rsid w:val="005C7AB7"/>
    <w:rsid w:val="005D0962"/>
    <w:rsid w:val="005D1B73"/>
    <w:rsid w:val="005D1D1E"/>
    <w:rsid w:val="005D258B"/>
    <w:rsid w:val="005D2912"/>
    <w:rsid w:val="005D41E9"/>
    <w:rsid w:val="005D5A56"/>
    <w:rsid w:val="005E18DA"/>
    <w:rsid w:val="005E1CCC"/>
    <w:rsid w:val="005E26A0"/>
    <w:rsid w:val="005E622B"/>
    <w:rsid w:val="005E6287"/>
    <w:rsid w:val="005F7DCD"/>
    <w:rsid w:val="00604F35"/>
    <w:rsid w:val="0060502C"/>
    <w:rsid w:val="006066CC"/>
    <w:rsid w:val="00610492"/>
    <w:rsid w:val="00611ABE"/>
    <w:rsid w:val="00612E20"/>
    <w:rsid w:val="00615142"/>
    <w:rsid w:val="00615ED9"/>
    <w:rsid w:val="00617A14"/>
    <w:rsid w:val="00622943"/>
    <w:rsid w:val="0062588E"/>
    <w:rsid w:val="0062640B"/>
    <w:rsid w:val="0062703B"/>
    <w:rsid w:val="00627492"/>
    <w:rsid w:val="00630C3D"/>
    <w:rsid w:val="006339D6"/>
    <w:rsid w:val="0063566B"/>
    <w:rsid w:val="00637F0D"/>
    <w:rsid w:val="00641DBF"/>
    <w:rsid w:val="0065316D"/>
    <w:rsid w:val="00657370"/>
    <w:rsid w:val="006619DA"/>
    <w:rsid w:val="006630C5"/>
    <w:rsid w:val="006640A2"/>
    <w:rsid w:val="00665CE6"/>
    <w:rsid w:val="00666FEB"/>
    <w:rsid w:val="00667155"/>
    <w:rsid w:val="00673069"/>
    <w:rsid w:val="0067319F"/>
    <w:rsid w:val="006748E6"/>
    <w:rsid w:val="006758A4"/>
    <w:rsid w:val="00675FF2"/>
    <w:rsid w:val="006777CA"/>
    <w:rsid w:val="00677FD9"/>
    <w:rsid w:val="00680A65"/>
    <w:rsid w:val="00683DED"/>
    <w:rsid w:val="0068441F"/>
    <w:rsid w:val="00684FF6"/>
    <w:rsid w:val="00687B15"/>
    <w:rsid w:val="00690F8D"/>
    <w:rsid w:val="00691A72"/>
    <w:rsid w:val="00691D33"/>
    <w:rsid w:val="00693261"/>
    <w:rsid w:val="00693D95"/>
    <w:rsid w:val="00696719"/>
    <w:rsid w:val="00696DB8"/>
    <w:rsid w:val="00696F3A"/>
    <w:rsid w:val="00697060"/>
    <w:rsid w:val="006A5034"/>
    <w:rsid w:val="006A5E43"/>
    <w:rsid w:val="006A6B2C"/>
    <w:rsid w:val="006B125B"/>
    <w:rsid w:val="006B2BA8"/>
    <w:rsid w:val="006B32B6"/>
    <w:rsid w:val="006C2AF7"/>
    <w:rsid w:val="006C35B3"/>
    <w:rsid w:val="006C4054"/>
    <w:rsid w:val="006C429D"/>
    <w:rsid w:val="006C498A"/>
    <w:rsid w:val="006C7CB6"/>
    <w:rsid w:val="006D00BB"/>
    <w:rsid w:val="006D1C1E"/>
    <w:rsid w:val="006D4C92"/>
    <w:rsid w:val="006D5578"/>
    <w:rsid w:val="006E03DA"/>
    <w:rsid w:val="006E07B7"/>
    <w:rsid w:val="006E0B80"/>
    <w:rsid w:val="006E1D80"/>
    <w:rsid w:val="006E23C1"/>
    <w:rsid w:val="006E2B22"/>
    <w:rsid w:val="006E30FA"/>
    <w:rsid w:val="006E3D36"/>
    <w:rsid w:val="006E4EC7"/>
    <w:rsid w:val="006E540C"/>
    <w:rsid w:val="006F25A9"/>
    <w:rsid w:val="006F2929"/>
    <w:rsid w:val="006F32C7"/>
    <w:rsid w:val="006F63A7"/>
    <w:rsid w:val="006F7BDA"/>
    <w:rsid w:val="0070039F"/>
    <w:rsid w:val="00706295"/>
    <w:rsid w:val="00711DF2"/>
    <w:rsid w:val="0071201E"/>
    <w:rsid w:val="00712F20"/>
    <w:rsid w:val="007231CD"/>
    <w:rsid w:val="00723537"/>
    <w:rsid w:val="00723942"/>
    <w:rsid w:val="00725298"/>
    <w:rsid w:val="00725927"/>
    <w:rsid w:val="00726075"/>
    <w:rsid w:val="00726123"/>
    <w:rsid w:val="00726D24"/>
    <w:rsid w:val="0072792E"/>
    <w:rsid w:val="00730225"/>
    <w:rsid w:val="0073022F"/>
    <w:rsid w:val="00730B95"/>
    <w:rsid w:val="00732C8A"/>
    <w:rsid w:val="007366E9"/>
    <w:rsid w:val="00737E63"/>
    <w:rsid w:val="00742128"/>
    <w:rsid w:val="007515E8"/>
    <w:rsid w:val="00752A9F"/>
    <w:rsid w:val="00753E2D"/>
    <w:rsid w:val="00754D26"/>
    <w:rsid w:val="007558A9"/>
    <w:rsid w:val="007616B8"/>
    <w:rsid w:val="00766D41"/>
    <w:rsid w:val="007678E8"/>
    <w:rsid w:val="00767F90"/>
    <w:rsid w:val="00774644"/>
    <w:rsid w:val="0077581C"/>
    <w:rsid w:val="007770CE"/>
    <w:rsid w:val="00777501"/>
    <w:rsid w:val="007775EB"/>
    <w:rsid w:val="007836F1"/>
    <w:rsid w:val="0078628D"/>
    <w:rsid w:val="00793207"/>
    <w:rsid w:val="00793213"/>
    <w:rsid w:val="007932DE"/>
    <w:rsid w:val="00794BA3"/>
    <w:rsid w:val="007A0B09"/>
    <w:rsid w:val="007A1E94"/>
    <w:rsid w:val="007A3F00"/>
    <w:rsid w:val="007A5058"/>
    <w:rsid w:val="007B0520"/>
    <w:rsid w:val="007B07B3"/>
    <w:rsid w:val="007B19D2"/>
    <w:rsid w:val="007B2AD7"/>
    <w:rsid w:val="007B3ED0"/>
    <w:rsid w:val="007B4730"/>
    <w:rsid w:val="007B4A8E"/>
    <w:rsid w:val="007B66FD"/>
    <w:rsid w:val="007C0262"/>
    <w:rsid w:val="007C0E35"/>
    <w:rsid w:val="007C3F98"/>
    <w:rsid w:val="007C6AA3"/>
    <w:rsid w:val="007C6FE9"/>
    <w:rsid w:val="007C7825"/>
    <w:rsid w:val="007D2A7C"/>
    <w:rsid w:val="007D3998"/>
    <w:rsid w:val="007D3BFA"/>
    <w:rsid w:val="007D4E7E"/>
    <w:rsid w:val="007D4FE8"/>
    <w:rsid w:val="007D6717"/>
    <w:rsid w:val="007D682D"/>
    <w:rsid w:val="007D6AA7"/>
    <w:rsid w:val="007D7D0B"/>
    <w:rsid w:val="007E2396"/>
    <w:rsid w:val="007E49A0"/>
    <w:rsid w:val="007E5296"/>
    <w:rsid w:val="007E6DEC"/>
    <w:rsid w:val="007E7BF9"/>
    <w:rsid w:val="007F1654"/>
    <w:rsid w:val="007F2B68"/>
    <w:rsid w:val="007F323F"/>
    <w:rsid w:val="00800437"/>
    <w:rsid w:val="00802FFE"/>
    <w:rsid w:val="00804A9B"/>
    <w:rsid w:val="0080569C"/>
    <w:rsid w:val="00807041"/>
    <w:rsid w:val="008079E9"/>
    <w:rsid w:val="00810BD1"/>
    <w:rsid w:val="00811B0B"/>
    <w:rsid w:val="0081402D"/>
    <w:rsid w:val="00815555"/>
    <w:rsid w:val="0082450D"/>
    <w:rsid w:val="00826E81"/>
    <w:rsid w:val="0082702F"/>
    <w:rsid w:val="008302B5"/>
    <w:rsid w:val="0083069C"/>
    <w:rsid w:val="00830C6F"/>
    <w:rsid w:val="00831393"/>
    <w:rsid w:val="00831B65"/>
    <w:rsid w:val="00831FAE"/>
    <w:rsid w:val="008324A6"/>
    <w:rsid w:val="0083264B"/>
    <w:rsid w:val="008327FA"/>
    <w:rsid w:val="0083405D"/>
    <w:rsid w:val="00836390"/>
    <w:rsid w:val="00836914"/>
    <w:rsid w:val="00837CB9"/>
    <w:rsid w:val="00846AF5"/>
    <w:rsid w:val="00852E13"/>
    <w:rsid w:val="00853407"/>
    <w:rsid w:val="00853D31"/>
    <w:rsid w:val="0085465F"/>
    <w:rsid w:val="00856F62"/>
    <w:rsid w:val="0085770C"/>
    <w:rsid w:val="00863005"/>
    <w:rsid w:val="008630D4"/>
    <w:rsid w:val="00873779"/>
    <w:rsid w:val="00873D0A"/>
    <w:rsid w:val="008742B2"/>
    <w:rsid w:val="00874EF3"/>
    <w:rsid w:val="0087528E"/>
    <w:rsid w:val="0088053A"/>
    <w:rsid w:val="00882DDE"/>
    <w:rsid w:val="00884EF2"/>
    <w:rsid w:val="00891A4A"/>
    <w:rsid w:val="00894738"/>
    <w:rsid w:val="00894AD9"/>
    <w:rsid w:val="00897246"/>
    <w:rsid w:val="008A2483"/>
    <w:rsid w:val="008A294A"/>
    <w:rsid w:val="008A5F6B"/>
    <w:rsid w:val="008A7555"/>
    <w:rsid w:val="008B09D3"/>
    <w:rsid w:val="008B1015"/>
    <w:rsid w:val="008B1E3E"/>
    <w:rsid w:val="008B30E8"/>
    <w:rsid w:val="008B3E11"/>
    <w:rsid w:val="008B4219"/>
    <w:rsid w:val="008B50D0"/>
    <w:rsid w:val="008B66A0"/>
    <w:rsid w:val="008C0E57"/>
    <w:rsid w:val="008C1D0E"/>
    <w:rsid w:val="008C497A"/>
    <w:rsid w:val="008C4A51"/>
    <w:rsid w:val="008C5965"/>
    <w:rsid w:val="008C5E70"/>
    <w:rsid w:val="008C658E"/>
    <w:rsid w:val="008C75FE"/>
    <w:rsid w:val="008D01BF"/>
    <w:rsid w:val="008D109A"/>
    <w:rsid w:val="008D20A4"/>
    <w:rsid w:val="008D28A2"/>
    <w:rsid w:val="008D31CC"/>
    <w:rsid w:val="008D59CE"/>
    <w:rsid w:val="008E144B"/>
    <w:rsid w:val="008E1D0A"/>
    <w:rsid w:val="008E2A12"/>
    <w:rsid w:val="008E3293"/>
    <w:rsid w:val="008E3F8F"/>
    <w:rsid w:val="008E5D78"/>
    <w:rsid w:val="008E62EB"/>
    <w:rsid w:val="008E6579"/>
    <w:rsid w:val="008F0D07"/>
    <w:rsid w:val="008F1102"/>
    <w:rsid w:val="008F15C7"/>
    <w:rsid w:val="008F2709"/>
    <w:rsid w:val="008F59D0"/>
    <w:rsid w:val="008F7671"/>
    <w:rsid w:val="008F7B45"/>
    <w:rsid w:val="0090116C"/>
    <w:rsid w:val="0090140F"/>
    <w:rsid w:val="009026F9"/>
    <w:rsid w:val="00903637"/>
    <w:rsid w:val="009039ED"/>
    <w:rsid w:val="00904BFC"/>
    <w:rsid w:val="0090654F"/>
    <w:rsid w:val="009120A9"/>
    <w:rsid w:val="00912DBE"/>
    <w:rsid w:val="00913916"/>
    <w:rsid w:val="00914368"/>
    <w:rsid w:val="00915632"/>
    <w:rsid w:val="00916FAD"/>
    <w:rsid w:val="00917BF1"/>
    <w:rsid w:val="00920106"/>
    <w:rsid w:val="009211F2"/>
    <w:rsid w:val="00921D81"/>
    <w:rsid w:val="009227B7"/>
    <w:rsid w:val="00925F75"/>
    <w:rsid w:val="0092677F"/>
    <w:rsid w:val="00927F1B"/>
    <w:rsid w:val="009302BA"/>
    <w:rsid w:val="00930D44"/>
    <w:rsid w:val="009316CF"/>
    <w:rsid w:val="00931DDE"/>
    <w:rsid w:val="00932E8A"/>
    <w:rsid w:val="00933769"/>
    <w:rsid w:val="00937504"/>
    <w:rsid w:val="0093777E"/>
    <w:rsid w:val="0094007F"/>
    <w:rsid w:val="009402A6"/>
    <w:rsid w:val="009429E1"/>
    <w:rsid w:val="00943434"/>
    <w:rsid w:val="00945408"/>
    <w:rsid w:val="009473EF"/>
    <w:rsid w:val="00950057"/>
    <w:rsid w:val="009521A8"/>
    <w:rsid w:val="00952CDE"/>
    <w:rsid w:val="00953F74"/>
    <w:rsid w:val="00954ECD"/>
    <w:rsid w:val="00955E93"/>
    <w:rsid w:val="00960665"/>
    <w:rsid w:val="0096097F"/>
    <w:rsid w:val="00960A5E"/>
    <w:rsid w:val="0096199D"/>
    <w:rsid w:val="00961EB4"/>
    <w:rsid w:val="009638DC"/>
    <w:rsid w:val="00964696"/>
    <w:rsid w:val="00970F32"/>
    <w:rsid w:val="00972356"/>
    <w:rsid w:val="00972A3C"/>
    <w:rsid w:val="00972FF8"/>
    <w:rsid w:val="009732C7"/>
    <w:rsid w:val="00975736"/>
    <w:rsid w:val="00975AFA"/>
    <w:rsid w:val="00976E08"/>
    <w:rsid w:val="00977173"/>
    <w:rsid w:val="00987428"/>
    <w:rsid w:val="00987EE9"/>
    <w:rsid w:val="009924FE"/>
    <w:rsid w:val="00992738"/>
    <w:rsid w:val="0099483C"/>
    <w:rsid w:val="009951DB"/>
    <w:rsid w:val="0099542F"/>
    <w:rsid w:val="009977AD"/>
    <w:rsid w:val="00997CDA"/>
    <w:rsid w:val="009A0961"/>
    <w:rsid w:val="009A315B"/>
    <w:rsid w:val="009B12C9"/>
    <w:rsid w:val="009B149B"/>
    <w:rsid w:val="009B4DD1"/>
    <w:rsid w:val="009B50BF"/>
    <w:rsid w:val="009B55B9"/>
    <w:rsid w:val="009B5D9A"/>
    <w:rsid w:val="009B6738"/>
    <w:rsid w:val="009B6F16"/>
    <w:rsid w:val="009C0CFD"/>
    <w:rsid w:val="009C17E8"/>
    <w:rsid w:val="009C1AE6"/>
    <w:rsid w:val="009C2634"/>
    <w:rsid w:val="009C391F"/>
    <w:rsid w:val="009C4A66"/>
    <w:rsid w:val="009C55AF"/>
    <w:rsid w:val="009C680B"/>
    <w:rsid w:val="009D174D"/>
    <w:rsid w:val="009D21E5"/>
    <w:rsid w:val="009D30B6"/>
    <w:rsid w:val="009D48B2"/>
    <w:rsid w:val="009D7584"/>
    <w:rsid w:val="009D77BA"/>
    <w:rsid w:val="009E5896"/>
    <w:rsid w:val="009F6A3E"/>
    <w:rsid w:val="009F7B45"/>
    <w:rsid w:val="009F7C1D"/>
    <w:rsid w:val="00A00BCC"/>
    <w:rsid w:val="00A0108D"/>
    <w:rsid w:val="00A03635"/>
    <w:rsid w:val="00A045BF"/>
    <w:rsid w:val="00A07902"/>
    <w:rsid w:val="00A10130"/>
    <w:rsid w:val="00A10CC6"/>
    <w:rsid w:val="00A12ED0"/>
    <w:rsid w:val="00A16124"/>
    <w:rsid w:val="00A1618E"/>
    <w:rsid w:val="00A24944"/>
    <w:rsid w:val="00A2598F"/>
    <w:rsid w:val="00A26C27"/>
    <w:rsid w:val="00A322AE"/>
    <w:rsid w:val="00A350BD"/>
    <w:rsid w:val="00A3701D"/>
    <w:rsid w:val="00A374E6"/>
    <w:rsid w:val="00A37A2D"/>
    <w:rsid w:val="00A40DDA"/>
    <w:rsid w:val="00A41396"/>
    <w:rsid w:val="00A424F5"/>
    <w:rsid w:val="00A44E2E"/>
    <w:rsid w:val="00A45733"/>
    <w:rsid w:val="00A461C9"/>
    <w:rsid w:val="00A47E0D"/>
    <w:rsid w:val="00A5052D"/>
    <w:rsid w:val="00A55A2F"/>
    <w:rsid w:val="00A55E8C"/>
    <w:rsid w:val="00A612C7"/>
    <w:rsid w:val="00A6135F"/>
    <w:rsid w:val="00A62978"/>
    <w:rsid w:val="00A651A4"/>
    <w:rsid w:val="00A665D8"/>
    <w:rsid w:val="00A70526"/>
    <w:rsid w:val="00A70D7C"/>
    <w:rsid w:val="00A72809"/>
    <w:rsid w:val="00A733A7"/>
    <w:rsid w:val="00A74004"/>
    <w:rsid w:val="00A74F13"/>
    <w:rsid w:val="00A7533D"/>
    <w:rsid w:val="00A7623F"/>
    <w:rsid w:val="00A768F4"/>
    <w:rsid w:val="00A77E8E"/>
    <w:rsid w:val="00A804E8"/>
    <w:rsid w:val="00A824FD"/>
    <w:rsid w:val="00A857BE"/>
    <w:rsid w:val="00A86933"/>
    <w:rsid w:val="00A878E7"/>
    <w:rsid w:val="00A87F12"/>
    <w:rsid w:val="00A9097E"/>
    <w:rsid w:val="00A91C8C"/>
    <w:rsid w:val="00A9296F"/>
    <w:rsid w:val="00A92A2D"/>
    <w:rsid w:val="00A9486F"/>
    <w:rsid w:val="00A95725"/>
    <w:rsid w:val="00A96CDB"/>
    <w:rsid w:val="00AA628A"/>
    <w:rsid w:val="00AA66FD"/>
    <w:rsid w:val="00AA7574"/>
    <w:rsid w:val="00AA7E50"/>
    <w:rsid w:val="00AB1FBE"/>
    <w:rsid w:val="00AB425A"/>
    <w:rsid w:val="00AC040D"/>
    <w:rsid w:val="00AC17FD"/>
    <w:rsid w:val="00AC2A36"/>
    <w:rsid w:val="00AC33FB"/>
    <w:rsid w:val="00AC41A1"/>
    <w:rsid w:val="00AC4A31"/>
    <w:rsid w:val="00AC4D0E"/>
    <w:rsid w:val="00AC5F06"/>
    <w:rsid w:val="00AD6257"/>
    <w:rsid w:val="00AD772C"/>
    <w:rsid w:val="00AE0170"/>
    <w:rsid w:val="00AE0316"/>
    <w:rsid w:val="00AE080F"/>
    <w:rsid w:val="00AE09E5"/>
    <w:rsid w:val="00AE0CDE"/>
    <w:rsid w:val="00AE57D9"/>
    <w:rsid w:val="00AE5F2D"/>
    <w:rsid w:val="00AE6489"/>
    <w:rsid w:val="00AF013A"/>
    <w:rsid w:val="00AF037D"/>
    <w:rsid w:val="00AF07B7"/>
    <w:rsid w:val="00AF4AC4"/>
    <w:rsid w:val="00B031FF"/>
    <w:rsid w:val="00B04173"/>
    <w:rsid w:val="00B05393"/>
    <w:rsid w:val="00B0593F"/>
    <w:rsid w:val="00B06742"/>
    <w:rsid w:val="00B06F60"/>
    <w:rsid w:val="00B07743"/>
    <w:rsid w:val="00B114B3"/>
    <w:rsid w:val="00B11541"/>
    <w:rsid w:val="00B13C8F"/>
    <w:rsid w:val="00B14B06"/>
    <w:rsid w:val="00B15C95"/>
    <w:rsid w:val="00B20E5F"/>
    <w:rsid w:val="00B21299"/>
    <w:rsid w:val="00B2268D"/>
    <w:rsid w:val="00B22C13"/>
    <w:rsid w:val="00B22F69"/>
    <w:rsid w:val="00B2338D"/>
    <w:rsid w:val="00B27831"/>
    <w:rsid w:val="00B3022D"/>
    <w:rsid w:val="00B33FDD"/>
    <w:rsid w:val="00B37393"/>
    <w:rsid w:val="00B40583"/>
    <w:rsid w:val="00B41B40"/>
    <w:rsid w:val="00B422C7"/>
    <w:rsid w:val="00B42693"/>
    <w:rsid w:val="00B42BDE"/>
    <w:rsid w:val="00B44F90"/>
    <w:rsid w:val="00B4524A"/>
    <w:rsid w:val="00B4560D"/>
    <w:rsid w:val="00B45CDB"/>
    <w:rsid w:val="00B45F72"/>
    <w:rsid w:val="00B46937"/>
    <w:rsid w:val="00B46973"/>
    <w:rsid w:val="00B46FE4"/>
    <w:rsid w:val="00B51AD8"/>
    <w:rsid w:val="00B51C50"/>
    <w:rsid w:val="00B53F50"/>
    <w:rsid w:val="00B54423"/>
    <w:rsid w:val="00B55E7D"/>
    <w:rsid w:val="00B55F52"/>
    <w:rsid w:val="00B570FF"/>
    <w:rsid w:val="00B57B53"/>
    <w:rsid w:val="00B630A0"/>
    <w:rsid w:val="00B661A3"/>
    <w:rsid w:val="00B67826"/>
    <w:rsid w:val="00B70DC8"/>
    <w:rsid w:val="00B71448"/>
    <w:rsid w:val="00B717C8"/>
    <w:rsid w:val="00B71A18"/>
    <w:rsid w:val="00B71D9C"/>
    <w:rsid w:val="00B76327"/>
    <w:rsid w:val="00B83EF9"/>
    <w:rsid w:val="00B86837"/>
    <w:rsid w:val="00B9244A"/>
    <w:rsid w:val="00B935B0"/>
    <w:rsid w:val="00B93783"/>
    <w:rsid w:val="00B95141"/>
    <w:rsid w:val="00BA0AE9"/>
    <w:rsid w:val="00BA6942"/>
    <w:rsid w:val="00BA7E13"/>
    <w:rsid w:val="00BA7FE0"/>
    <w:rsid w:val="00BB003D"/>
    <w:rsid w:val="00BB06A9"/>
    <w:rsid w:val="00BB1EF4"/>
    <w:rsid w:val="00BB4454"/>
    <w:rsid w:val="00BB6715"/>
    <w:rsid w:val="00BC119B"/>
    <w:rsid w:val="00BC1F96"/>
    <w:rsid w:val="00BC3AB2"/>
    <w:rsid w:val="00BC3F31"/>
    <w:rsid w:val="00BC4886"/>
    <w:rsid w:val="00BC582E"/>
    <w:rsid w:val="00BC6037"/>
    <w:rsid w:val="00BC6C2A"/>
    <w:rsid w:val="00BC6D01"/>
    <w:rsid w:val="00BC6E8B"/>
    <w:rsid w:val="00BD0125"/>
    <w:rsid w:val="00BD1E99"/>
    <w:rsid w:val="00BD3707"/>
    <w:rsid w:val="00BD577B"/>
    <w:rsid w:val="00BD5C91"/>
    <w:rsid w:val="00BE1528"/>
    <w:rsid w:val="00BE18B5"/>
    <w:rsid w:val="00BE2E1F"/>
    <w:rsid w:val="00BE4DE6"/>
    <w:rsid w:val="00BE77C5"/>
    <w:rsid w:val="00BF1744"/>
    <w:rsid w:val="00BF2BC8"/>
    <w:rsid w:val="00BF5429"/>
    <w:rsid w:val="00BF5F80"/>
    <w:rsid w:val="00C0545B"/>
    <w:rsid w:val="00C0630C"/>
    <w:rsid w:val="00C12EB6"/>
    <w:rsid w:val="00C174A9"/>
    <w:rsid w:val="00C1764E"/>
    <w:rsid w:val="00C20FA1"/>
    <w:rsid w:val="00C2180F"/>
    <w:rsid w:val="00C21EE9"/>
    <w:rsid w:val="00C22D88"/>
    <w:rsid w:val="00C23F7D"/>
    <w:rsid w:val="00C24D0F"/>
    <w:rsid w:val="00C24F89"/>
    <w:rsid w:val="00C27B86"/>
    <w:rsid w:val="00C301CB"/>
    <w:rsid w:val="00C3079F"/>
    <w:rsid w:val="00C33A70"/>
    <w:rsid w:val="00C373F0"/>
    <w:rsid w:val="00C40513"/>
    <w:rsid w:val="00C40C49"/>
    <w:rsid w:val="00C40F8A"/>
    <w:rsid w:val="00C4288E"/>
    <w:rsid w:val="00C43A9A"/>
    <w:rsid w:val="00C44ABE"/>
    <w:rsid w:val="00C510FA"/>
    <w:rsid w:val="00C5192E"/>
    <w:rsid w:val="00C51C10"/>
    <w:rsid w:val="00C51F9A"/>
    <w:rsid w:val="00C526F8"/>
    <w:rsid w:val="00C5315D"/>
    <w:rsid w:val="00C53530"/>
    <w:rsid w:val="00C5476B"/>
    <w:rsid w:val="00C5718F"/>
    <w:rsid w:val="00C57CDD"/>
    <w:rsid w:val="00C617CD"/>
    <w:rsid w:val="00C709E9"/>
    <w:rsid w:val="00C72EC8"/>
    <w:rsid w:val="00C7483D"/>
    <w:rsid w:val="00C750CA"/>
    <w:rsid w:val="00C8143D"/>
    <w:rsid w:val="00C8351E"/>
    <w:rsid w:val="00C846EA"/>
    <w:rsid w:val="00C85DB0"/>
    <w:rsid w:val="00C85F30"/>
    <w:rsid w:val="00C866D6"/>
    <w:rsid w:val="00C874E0"/>
    <w:rsid w:val="00C93BBE"/>
    <w:rsid w:val="00C94B25"/>
    <w:rsid w:val="00C95C28"/>
    <w:rsid w:val="00C9657D"/>
    <w:rsid w:val="00C966DA"/>
    <w:rsid w:val="00C97598"/>
    <w:rsid w:val="00C97A6A"/>
    <w:rsid w:val="00CA0432"/>
    <w:rsid w:val="00CA1D96"/>
    <w:rsid w:val="00CA22EC"/>
    <w:rsid w:val="00CA3036"/>
    <w:rsid w:val="00CA40B0"/>
    <w:rsid w:val="00CA51CE"/>
    <w:rsid w:val="00CA52D5"/>
    <w:rsid w:val="00CB022B"/>
    <w:rsid w:val="00CB0A88"/>
    <w:rsid w:val="00CB2C08"/>
    <w:rsid w:val="00CC0991"/>
    <w:rsid w:val="00CC2985"/>
    <w:rsid w:val="00CC2B74"/>
    <w:rsid w:val="00CC648F"/>
    <w:rsid w:val="00CD183F"/>
    <w:rsid w:val="00CD5092"/>
    <w:rsid w:val="00CD57EB"/>
    <w:rsid w:val="00CD5CA5"/>
    <w:rsid w:val="00CE0E01"/>
    <w:rsid w:val="00CE1029"/>
    <w:rsid w:val="00CE11A2"/>
    <w:rsid w:val="00CE3695"/>
    <w:rsid w:val="00CE4B4B"/>
    <w:rsid w:val="00CE57E4"/>
    <w:rsid w:val="00CE5BF1"/>
    <w:rsid w:val="00CE5C35"/>
    <w:rsid w:val="00CE669B"/>
    <w:rsid w:val="00CE74D2"/>
    <w:rsid w:val="00CF18B9"/>
    <w:rsid w:val="00CF4167"/>
    <w:rsid w:val="00CF6AB8"/>
    <w:rsid w:val="00D00EC9"/>
    <w:rsid w:val="00D01D72"/>
    <w:rsid w:val="00D02601"/>
    <w:rsid w:val="00D02FD0"/>
    <w:rsid w:val="00D04726"/>
    <w:rsid w:val="00D05241"/>
    <w:rsid w:val="00D0711B"/>
    <w:rsid w:val="00D074CA"/>
    <w:rsid w:val="00D109A5"/>
    <w:rsid w:val="00D14B78"/>
    <w:rsid w:val="00D15464"/>
    <w:rsid w:val="00D15AD6"/>
    <w:rsid w:val="00D177BC"/>
    <w:rsid w:val="00D17A5D"/>
    <w:rsid w:val="00D2193F"/>
    <w:rsid w:val="00D268FE"/>
    <w:rsid w:val="00D26A33"/>
    <w:rsid w:val="00D36CF5"/>
    <w:rsid w:val="00D40551"/>
    <w:rsid w:val="00D410F7"/>
    <w:rsid w:val="00D43EBD"/>
    <w:rsid w:val="00D455D1"/>
    <w:rsid w:val="00D45F2E"/>
    <w:rsid w:val="00D46157"/>
    <w:rsid w:val="00D4620D"/>
    <w:rsid w:val="00D47ECD"/>
    <w:rsid w:val="00D52695"/>
    <w:rsid w:val="00D52DE5"/>
    <w:rsid w:val="00D53CD4"/>
    <w:rsid w:val="00D55BD3"/>
    <w:rsid w:val="00D55D71"/>
    <w:rsid w:val="00D56301"/>
    <w:rsid w:val="00D56562"/>
    <w:rsid w:val="00D56E3B"/>
    <w:rsid w:val="00D57876"/>
    <w:rsid w:val="00D61E46"/>
    <w:rsid w:val="00D62465"/>
    <w:rsid w:val="00D62AAB"/>
    <w:rsid w:val="00D63451"/>
    <w:rsid w:val="00D63506"/>
    <w:rsid w:val="00D63824"/>
    <w:rsid w:val="00D63885"/>
    <w:rsid w:val="00D64161"/>
    <w:rsid w:val="00D67059"/>
    <w:rsid w:val="00D71AE8"/>
    <w:rsid w:val="00D72208"/>
    <w:rsid w:val="00D7230C"/>
    <w:rsid w:val="00D802DD"/>
    <w:rsid w:val="00D80C95"/>
    <w:rsid w:val="00D81315"/>
    <w:rsid w:val="00D84448"/>
    <w:rsid w:val="00D87B31"/>
    <w:rsid w:val="00D909F2"/>
    <w:rsid w:val="00D92042"/>
    <w:rsid w:val="00D92D1A"/>
    <w:rsid w:val="00D945B6"/>
    <w:rsid w:val="00D94FB2"/>
    <w:rsid w:val="00D951C0"/>
    <w:rsid w:val="00D973B2"/>
    <w:rsid w:val="00DA2BB9"/>
    <w:rsid w:val="00DA3571"/>
    <w:rsid w:val="00DA50DD"/>
    <w:rsid w:val="00DB0783"/>
    <w:rsid w:val="00DB497B"/>
    <w:rsid w:val="00DB4B3C"/>
    <w:rsid w:val="00DB4CEC"/>
    <w:rsid w:val="00DB51DB"/>
    <w:rsid w:val="00DB6455"/>
    <w:rsid w:val="00DB7804"/>
    <w:rsid w:val="00DC1DB5"/>
    <w:rsid w:val="00DC1E20"/>
    <w:rsid w:val="00DC341B"/>
    <w:rsid w:val="00DC3A58"/>
    <w:rsid w:val="00DC4285"/>
    <w:rsid w:val="00DC43A7"/>
    <w:rsid w:val="00DC5E61"/>
    <w:rsid w:val="00DC6C90"/>
    <w:rsid w:val="00DC6ED9"/>
    <w:rsid w:val="00DD1365"/>
    <w:rsid w:val="00DD1D21"/>
    <w:rsid w:val="00DD2C1C"/>
    <w:rsid w:val="00DD3724"/>
    <w:rsid w:val="00DD51A8"/>
    <w:rsid w:val="00DD6A58"/>
    <w:rsid w:val="00DE6A10"/>
    <w:rsid w:val="00DE72DC"/>
    <w:rsid w:val="00DE7856"/>
    <w:rsid w:val="00DF151F"/>
    <w:rsid w:val="00DF17C8"/>
    <w:rsid w:val="00DF1CD1"/>
    <w:rsid w:val="00DF7E59"/>
    <w:rsid w:val="00E00C2A"/>
    <w:rsid w:val="00E029BB"/>
    <w:rsid w:val="00E03911"/>
    <w:rsid w:val="00E0413B"/>
    <w:rsid w:val="00E06564"/>
    <w:rsid w:val="00E0756F"/>
    <w:rsid w:val="00E07581"/>
    <w:rsid w:val="00E1019E"/>
    <w:rsid w:val="00E11DE9"/>
    <w:rsid w:val="00E13D76"/>
    <w:rsid w:val="00E1489E"/>
    <w:rsid w:val="00E14CE2"/>
    <w:rsid w:val="00E16B48"/>
    <w:rsid w:val="00E16BC4"/>
    <w:rsid w:val="00E22A64"/>
    <w:rsid w:val="00E23904"/>
    <w:rsid w:val="00E239BE"/>
    <w:rsid w:val="00E26051"/>
    <w:rsid w:val="00E266D8"/>
    <w:rsid w:val="00E26EB1"/>
    <w:rsid w:val="00E30C3A"/>
    <w:rsid w:val="00E31F9A"/>
    <w:rsid w:val="00E327A3"/>
    <w:rsid w:val="00E32979"/>
    <w:rsid w:val="00E35E12"/>
    <w:rsid w:val="00E41C0A"/>
    <w:rsid w:val="00E439DF"/>
    <w:rsid w:val="00E4701C"/>
    <w:rsid w:val="00E52129"/>
    <w:rsid w:val="00E5496B"/>
    <w:rsid w:val="00E5522A"/>
    <w:rsid w:val="00E6281D"/>
    <w:rsid w:val="00E63241"/>
    <w:rsid w:val="00E6452F"/>
    <w:rsid w:val="00E721B6"/>
    <w:rsid w:val="00E729C4"/>
    <w:rsid w:val="00E734E4"/>
    <w:rsid w:val="00E73D08"/>
    <w:rsid w:val="00E7590B"/>
    <w:rsid w:val="00E80A25"/>
    <w:rsid w:val="00E82313"/>
    <w:rsid w:val="00E82D41"/>
    <w:rsid w:val="00E833BE"/>
    <w:rsid w:val="00E838F2"/>
    <w:rsid w:val="00E84659"/>
    <w:rsid w:val="00E84BCB"/>
    <w:rsid w:val="00E87AF5"/>
    <w:rsid w:val="00E94243"/>
    <w:rsid w:val="00E96D2F"/>
    <w:rsid w:val="00EA1518"/>
    <w:rsid w:val="00EA3A91"/>
    <w:rsid w:val="00EA4080"/>
    <w:rsid w:val="00EA542F"/>
    <w:rsid w:val="00EA59F6"/>
    <w:rsid w:val="00EA6060"/>
    <w:rsid w:val="00EA6F42"/>
    <w:rsid w:val="00EB3C04"/>
    <w:rsid w:val="00EB450D"/>
    <w:rsid w:val="00EB557B"/>
    <w:rsid w:val="00EB63D9"/>
    <w:rsid w:val="00EC153C"/>
    <w:rsid w:val="00EC168E"/>
    <w:rsid w:val="00EC1CB2"/>
    <w:rsid w:val="00EC716C"/>
    <w:rsid w:val="00ED01F9"/>
    <w:rsid w:val="00ED095D"/>
    <w:rsid w:val="00ED0978"/>
    <w:rsid w:val="00ED133E"/>
    <w:rsid w:val="00ED3A00"/>
    <w:rsid w:val="00ED3B1F"/>
    <w:rsid w:val="00ED526A"/>
    <w:rsid w:val="00ED62FE"/>
    <w:rsid w:val="00ED6949"/>
    <w:rsid w:val="00ED7301"/>
    <w:rsid w:val="00EE1816"/>
    <w:rsid w:val="00EE1C52"/>
    <w:rsid w:val="00EE2290"/>
    <w:rsid w:val="00EE3665"/>
    <w:rsid w:val="00EE7471"/>
    <w:rsid w:val="00EF0533"/>
    <w:rsid w:val="00EF05E3"/>
    <w:rsid w:val="00EF2EE4"/>
    <w:rsid w:val="00EF36B6"/>
    <w:rsid w:val="00EF4606"/>
    <w:rsid w:val="00EF49B0"/>
    <w:rsid w:val="00EF49EF"/>
    <w:rsid w:val="00EF4B50"/>
    <w:rsid w:val="00EF5851"/>
    <w:rsid w:val="00EF5A58"/>
    <w:rsid w:val="00EF6BA5"/>
    <w:rsid w:val="00F00940"/>
    <w:rsid w:val="00F015B1"/>
    <w:rsid w:val="00F0279D"/>
    <w:rsid w:val="00F02E1E"/>
    <w:rsid w:val="00F03606"/>
    <w:rsid w:val="00F039E5"/>
    <w:rsid w:val="00F04CCE"/>
    <w:rsid w:val="00F060D0"/>
    <w:rsid w:val="00F100FA"/>
    <w:rsid w:val="00F15E54"/>
    <w:rsid w:val="00F26315"/>
    <w:rsid w:val="00F267AB"/>
    <w:rsid w:val="00F2742D"/>
    <w:rsid w:val="00F27974"/>
    <w:rsid w:val="00F3001A"/>
    <w:rsid w:val="00F336E6"/>
    <w:rsid w:val="00F3563C"/>
    <w:rsid w:val="00F3709B"/>
    <w:rsid w:val="00F37ACE"/>
    <w:rsid w:val="00F449D7"/>
    <w:rsid w:val="00F4676D"/>
    <w:rsid w:val="00F56048"/>
    <w:rsid w:val="00F5770A"/>
    <w:rsid w:val="00F603F2"/>
    <w:rsid w:val="00F60B86"/>
    <w:rsid w:val="00F633EB"/>
    <w:rsid w:val="00F653E6"/>
    <w:rsid w:val="00F6542D"/>
    <w:rsid w:val="00F74377"/>
    <w:rsid w:val="00F747BD"/>
    <w:rsid w:val="00F754FB"/>
    <w:rsid w:val="00F76C06"/>
    <w:rsid w:val="00F8043E"/>
    <w:rsid w:val="00F809A9"/>
    <w:rsid w:val="00F81088"/>
    <w:rsid w:val="00F82FA6"/>
    <w:rsid w:val="00F83152"/>
    <w:rsid w:val="00F834C8"/>
    <w:rsid w:val="00F84256"/>
    <w:rsid w:val="00F84555"/>
    <w:rsid w:val="00F87D98"/>
    <w:rsid w:val="00F90B04"/>
    <w:rsid w:val="00F925F2"/>
    <w:rsid w:val="00F929CF"/>
    <w:rsid w:val="00F949E9"/>
    <w:rsid w:val="00F971C7"/>
    <w:rsid w:val="00F974E6"/>
    <w:rsid w:val="00F97981"/>
    <w:rsid w:val="00F97D44"/>
    <w:rsid w:val="00FA0805"/>
    <w:rsid w:val="00FA1351"/>
    <w:rsid w:val="00FA31B9"/>
    <w:rsid w:val="00FA528D"/>
    <w:rsid w:val="00FA6FA6"/>
    <w:rsid w:val="00FA7C44"/>
    <w:rsid w:val="00FA7D43"/>
    <w:rsid w:val="00FB0C6E"/>
    <w:rsid w:val="00FB14CB"/>
    <w:rsid w:val="00FB1C3A"/>
    <w:rsid w:val="00FB66B4"/>
    <w:rsid w:val="00FB6CE6"/>
    <w:rsid w:val="00FB7CC8"/>
    <w:rsid w:val="00FC02D5"/>
    <w:rsid w:val="00FC1CD7"/>
    <w:rsid w:val="00FC2157"/>
    <w:rsid w:val="00FC2705"/>
    <w:rsid w:val="00FC3783"/>
    <w:rsid w:val="00FC3BFE"/>
    <w:rsid w:val="00FC6CB5"/>
    <w:rsid w:val="00FD0D08"/>
    <w:rsid w:val="00FD512D"/>
    <w:rsid w:val="00FD5EF2"/>
    <w:rsid w:val="00FD65B4"/>
    <w:rsid w:val="00FD7D7E"/>
    <w:rsid w:val="00FE1E1D"/>
    <w:rsid w:val="00FE265B"/>
    <w:rsid w:val="00FE34A3"/>
    <w:rsid w:val="00FE390D"/>
    <w:rsid w:val="00FE3BEC"/>
    <w:rsid w:val="00FE50AC"/>
    <w:rsid w:val="00FE71AE"/>
    <w:rsid w:val="00FF055E"/>
    <w:rsid w:val="00FF1D2B"/>
    <w:rsid w:val="00FF2DA7"/>
    <w:rsid w:val="00FF6BC4"/>
  </w:rsids>
  <m:mathPr>
    <m:mathFont m:val="Cambria Math"/>
    <m:brkBin m:val="before"/>
    <m:brkBinSub m:val="--"/>
    <m:smallFrac m:val="0"/>
    <m:dispDef/>
    <m:lMargin m:val="0"/>
    <m:rMargin m:val="0"/>
    <m:defJc m:val="centerGroup"/>
    <m:wrapIndent m:val="1440"/>
    <m:intLim m:val="subSup"/>
    <m:naryLim m:val="undOvr"/>
  </m:mathPr>
  <w:themeFontLang w:val="en-AU" w:eastAsia="ko-K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131B33"/>
  <w15:docId w15:val="{EDACF2A1-CF07-409C-90EB-4812FC76D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398"/>
  </w:style>
  <w:style w:type="paragraph" w:styleId="Heading1">
    <w:name w:val="heading 1"/>
    <w:basedOn w:val="Normal"/>
    <w:next w:val="Normal"/>
    <w:link w:val="Heading1Char"/>
    <w:qFormat/>
    <w:rsid w:val="00BB003D"/>
    <w:pPr>
      <w:widowControl w:val="0"/>
      <w:contextualSpacing/>
      <w:outlineLvl w:val="0"/>
    </w:pPr>
    <w:rPr>
      <w:rFonts w:eastAsiaTheme="majorEastAsia"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0A1877"/>
    <w:pPr>
      <w:widowControl w:val="0"/>
      <w:spacing w:before="240"/>
      <w:outlineLvl w:val="1"/>
    </w:pPr>
    <w:rPr>
      <w:rFonts w:eastAsiaTheme="majorEastAsia" w:cstheme="majorBidi"/>
      <w:b/>
      <w:bCs/>
      <w:color w:val="585858"/>
      <w:sz w:val="32"/>
      <w:szCs w:val="26"/>
    </w:rPr>
  </w:style>
  <w:style w:type="paragraph" w:styleId="Heading3">
    <w:name w:val="heading 3"/>
    <w:basedOn w:val="Normal"/>
    <w:next w:val="Normal"/>
    <w:link w:val="Heading3Char"/>
    <w:uiPriority w:val="9"/>
    <w:unhideWhenUsed/>
    <w:qFormat/>
    <w:rsid w:val="000A1877"/>
    <w:pPr>
      <w:widowControl w:val="0"/>
      <w:tabs>
        <w:tab w:val="left" w:pos="2163"/>
      </w:tabs>
      <w:autoSpaceDE w:val="0"/>
      <w:autoSpaceDN w:val="0"/>
      <w:spacing w:before="240"/>
      <w:outlineLvl w:val="2"/>
    </w:pPr>
    <w:rPr>
      <w:rFonts w:eastAsia="Calibri" w:cs="Calibri"/>
      <w:b/>
      <w:bCs/>
      <w:noProof/>
      <w:color w:val="585858"/>
      <w:sz w:val="26"/>
      <w:szCs w:val="26"/>
    </w:rPr>
  </w:style>
  <w:style w:type="paragraph" w:styleId="Heading4">
    <w:name w:val="heading 4"/>
    <w:basedOn w:val="Normal"/>
    <w:next w:val="Normal"/>
    <w:link w:val="Heading4Char"/>
    <w:uiPriority w:val="9"/>
    <w:unhideWhenUsed/>
    <w:qFormat/>
    <w:rsid w:val="000A1877"/>
    <w:pPr>
      <w:spacing w:before="120"/>
      <w:outlineLvl w:val="3"/>
    </w:pPr>
    <w:rPr>
      <w:b/>
      <w:bCs/>
    </w:rPr>
  </w:style>
  <w:style w:type="paragraph" w:styleId="Heading5">
    <w:name w:val="heading 5"/>
    <w:basedOn w:val="Normal"/>
    <w:next w:val="Normal"/>
    <w:link w:val="Heading5Char"/>
    <w:uiPriority w:val="9"/>
    <w:semiHidden/>
    <w:unhideWhenUsed/>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003D"/>
    <w:rPr>
      <w:rFonts w:eastAsiaTheme="majorEastAsia" w:cstheme="majorBidi"/>
      <w:b/>
      <w:bCs/>
      <w:color w:val="342568" w:themeColor="accent1" w:themeShade="BF"/>
      <w:sz w:val="40"/>
      <w:szCs w:val="28"/>
    </w:rPr>
  </w:style>
  <w:style w:type="character" w:customStyle="1" w:styleId="Heading2Char">
    <w:name w:val="Heading 2 Char"/>
    <w:basedOn w:val="DefaultParagraphFont"/>
    <w:link w:val="Heading2"/>
    <w:uiPriority w:val="9"/>
    <w:rsid w:val="000A1877"/>
    <w:rPr>
      <w:rFonts w:eastAsiaTheme="majorEastAsia" w:cstheme="majorBidi"/>
      <w:b/>
      <w:bCs/>
      <w:color w:val="585858"/>
      <w:sz w:val="32"/>
      <w:szCs w:val="26"/>
    </w:rPr>
  </w:style>
  <w:style w:type="character" w:customStyle="1" w:styleId="Heading3Char">
    <w:name w:val="Heading 3 Char"/>
    <w:basedOn w:val="DefaultParagraphFont"/>
    <w:link w:val="Heading3"/>
    <w:uiPriority w:val="9"/>
    <w:rsid w:val="000A1877"/>
    <w:rPr>
      <w:rFonts w:eastAsia="Calibri" w:cs="Calibri"/>
      <w:b/>
      <w:bCs/>
      <w:noProof/>
      <w:color w:val="585858"/>
      <w:sz w:val="26"/>
      <w:szCs w:val="26"/>
    </w:rPr>
  </w:style>
  <w:style w:type="character" w:customStyle="1" w:styleId="Heading4Char">
    <w:name w:val="Heading 4 Char"/>
    <w:basedOn w:val="DefaultParagraphFont"/>
    <w:link w:val="Heading4"/>
    <w:uiPriority w:val="9"/>
    <w:rsid w:val="000A1877"/>
    <w:rPr>
      <w:b/>
      <w:bCs/>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rsid w:val="002C05E5"/>
    <w:rPr>
      <w:b/>
      <w:bCs/>
    </w:rPr>
  </w:style>
  <w:style w:type="character" w:styleId="Emphasis">
    <w:name w:val="Emphasis"/>
    <w:basedOn w:val="DefaultParagraphFont"/>
    <w:uiPriority w:val="20"/>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link w:val="ListParagraphChar"/>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rsid w:val="002C05E5"/>
    <w:rPr>
      <w:i/>
      <w:iCs/>
      <w:color w:val="808080" w:themeColor="text1" w:themeTint="7F"/>
    </w:rPr>
  </w:style>
  <w:style w:type="character" w:styleId="IntenseEmphasis">
    <w:name w:val="Intense Emphasis"/>
    <w:basedOn w:val="DefaultParagraphFont"/>
    <w:uiPriority w:val="21"/>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2D3398"/>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uiPriority w:val="99"/>
    <w:unhideWhenUsed/>
    <w:qFormat/>
    <w:rsid w:val="002A20D4"/>
    <w:pPr>
      <w:numPr>
        <w:numId w:val="2"/>
      </w:numPr>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D05241"/>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ContentDescription"/>
    <w:uiPriority w:val="99"/>
    <w:unhideWhenUsed/>
    <w:qFormat/>
    <w:rsid w:val="007E6DEC"/>
    <w:pPr>
      <w:spacing w:before="0"/>
      <w:ind w:left="717"/>
    </w:pPr>
    <w:rPr>
      <w:rFonts w:ascii="Calibri" w:hAnsi="Calibri" w:cs="Calibri"/>
      <w:color w:val="auto"/>
    </w:rPr>
  </w:style>
  <w:style w:type="numbering" w:customStyle="1" w:styleId="ListBullets">
    <w:name w:val="ListBullets"/>
    <w:uiPriority w:val="99"/>
    <w:rsid w:val="00E721B6"/>
    <w:pPr>
      <w:numPr>
        <w:numId w:val="6"/>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rsid w:val="00AE0CDE"/>
    <w:pPr>
      <w:spacing w:after="0"/>
      <w:ind w:left="442"/>
    </w:pPr>
    <w:rPr>
      <w:sz w:val="20"/>
    </w:rPr>
  </w:style>
  <w:style w:type="paragraph" w:styleId="TOC1">
    <w:name w:val="toc 1"/>
    <w:basedOn w:val="Normal"/>
    <w:next w:val="Normal"/>
    <w:autoRedefine/>
    <w:uiPriority w:val="39"/>
    <w:unhideWhenUsed/>
    <w:rsid w:val="00F754FB"/>
    <w:pPr>
      <w:tabs>
        <w:tab w:val="right" w:leader="dot" w:pos="9736"/>
      </w:tabs>
      <w:spacing w:after="0" w:line="360" w:lineRule="auto"/>
      <w:contextualSpacing/>
    </w:pPr>
    <w:rPr>
      <w:b/>
      <w:noProof/>
      <w:szCs w:val="24"/>
    </w:rPr>
  </w:style>
  <w:style w:type="paragraph" w:styleId="TOC2">
    <w:name w:val="toc 2"/>
    <w:basedOn w:val="Normal"/>
    <w:next w:val="Normal"/>
    <w:autoRedefine/>
    <w:uiPriority w:val="39"/>
    <w:unhideWhenUsed/>
    <w:rsid w:val="00BB003D"/>
    <w:pPr>
      <w:tabs>
        <w:tab w:val="right" w:leader="dot" w:pos="9736"/>
      </w:tabs>
      <w:spacing w:after="0" w:line="360" w:lineRule="auto"/>
      <w:ind w:left="221"/>
      <w:contextualSpacing/>
    </w:pPr>
    <w:rPr>
      <w:noProof/>
      <w:szCs w:val="24"/>
    </w:rPr>
  </w:style>
  <w:style w:type="paragraph" w:customStyle="1" w:styleId="ListItem">
    <w:name w:val="List Item"/>
    <w:basedOn w:val="Paragraph"/>
    <w:link w:val="ListItemChar"/>
    <w:rsid w:val="002279E8"/>
    <w:rPr>
      <w:iCs/>
    </w:rPr>
  </w:style>
  <w:style w:type="paragraph" w:customStyle="1" w:styleId="Paragraph">
    <w:name w:val="Paragraph"/>
    <w:basedOn w:val="Normal"/>
    <w:link w:val="ParagraphChar"/>
    <w:qFormat/>
    <w:rsid w:val="002279E8"/>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2279E8"/>
    <w:rPr>
      <w:rFonts w:ascii="Arial" w:eastAsiaTheme="minorHAnsi" w:hAnsi="Arial" w:cs="Arial"/>
      <w:color w:val="595959" w:themeColor="text1" w:themeTint="A6"/>
      <w:lang w:eastAsia="en-AU"/>
    </w:rPr>
  </w:style>
  <w:style w:type="paragraph" w:customStyle="1" w:styleId="OverviewHeading">
    <w:name w:val="Overview Heading"/>
    <w:basedOn w:val="Heading1"/>
    <w:rsid w:val="002279E8"/>
    <w:pPr>
      <w:spacing w:before="360" w:after="240" w:line="240" w:lineRule="auto"/>
      <w:contextualSpacing w:val="0"/>
    </w:pPr>
    <w:rPr>
      <w:rFonts w:ascii="Arial" w:eastAsia="MS Gothic" w:hAnsi="Arial"/>
      <w:color w:val="3D563D" w:themeColor="accent3" w:themeShade="80"/>
      <w:sz w:val="28"/>
      <w:szCs w:val="24"/>
    </w:rPr>
  </w:style>
  <w:style w:type="character" w:customStyle="1" w:styleId="ListItemChar">
    <w:name w:val="List Item Char"/>
    <w:basedOn w:val="DefaultParagraphFont"/>
    <w:link w:val="ListItem"/>
    <w:rsid w:val="002279E8"/>
    <w:rPr>
      <w:rFonts w:ascii="Arial" w:eastAsiaTheme="minorHAnsi" w:hAnsi="Arial" w:cs="Arial"/>
      <w:iCs/>
      <w:color w:val="595959" w:themeColor="text1" w:themeTint="A6"/>
      <w:lang w:eastAsia="en-AU"/>
    </w:rPr>
  </w:style>
  <w:style w:type="paragraph" w:customStyle="1" w:styleId="Heading3Description">
    <w:name w:val="Heading 3 Description"/>
    <w:basedOn w:val="Heading3"/>
    <w:rsid w:val="002279E8"/>
    <w:pPr>
      <w:spacing w:after="200"/>
    </w:pPr>
    <w:rPr>
      <w:rFonts w:ascii="Arial" w:eastAsia="MS Gothic" w:hAnsi="Arial" w:cs="Arial"/>
      <w:color w:val="F79646"/>
      <w:sz w:val="24"/>
      <w:szCs w:val="24"/>
      <w14:textFill>
        <w14:solidFill>
          <w14:srgbClr w14:val="F79646">
            <w14:lumMod w14:val="65000"/>
            <w14:lumOff w14:val="35000"/>
          </w14:srgbClr>
        </w14:solidFill>
      </w14:textFill>
    </w:rPr>
  </w:style>
  <w:style w:type="paragraph" w:customStyle="1" w:styleId="Heading4Description">
    <w:name w:val="Heading 4 Description"/>
    <w:basedOn w:val="Heading4"/>
    <w:rsid w:val="002279E8"/>
    <w:pPr>
      <w:keepLines/>
      <w:spacing w:before="200" w:line="240" w:lineRule="auto"/>
    </w:pPr>
    <w:rPr>
      <w:rFonts w:asciiTheme="majorHAnsi" w:eastAsiaTheme="majorEastAsia" w:hAnsiTheme="majorHAnsi" w:cstheme="majorBidi"/>
      <w:bCs w:val="0"/>
      <w:i/>
      <w:iCs/>
      <w:color w:val="46328C" w:themeColor="accent1"/>
      <w:sz w:val="24"/>
      <w:szCs w:val="24"/>
      <w14:textFill>
        <w14:solidFill>
          <w14:schemeClr w14:val="accent1">
            <w14:lumMod w14:val="75000"/>
            <w14:lumMod w14:val="75000"/>
            <w14:lumMod w14:val="75000"/>
          </w14:schemeClr>
        </w14:solidFill>
      </w14:textFill>
    </w:rPr>
  </w:style>
  <w:style w:type="character" w:customStyle="1" w:styleId="StrandChar">
    <w:name w:val="Strand Char"/>
    <w:basedOn w:val="DefaultParagraphFont"/>
    <w:link w:val="Strand"/>
    <w:locked/>
    <w:rsid w:val="00D268FE"/>
    <w:rPr>
      <w:rFonts w:asciiTheme="majorHAnsi" w:eastAsiaTheme="majorEastAsia" w:hAnsiTheme="majorHAnsi" w:cstheme="majorBidi"/>
      <w:b/>
      <w:bCs/>
      <w:iCs/>
      <w:color w:val="3C3B42" w:themeColor="accent2" w:themeShade="BF"/>
      <w:sz w:val="28"/>
    </w:rPr>
  </w:style>
  <w:style w:type="paragraph" w:customStyle="1" w:styleId="Strand">
    <w:name w:val="Strand"/>
    <w:basedOn w:val="Heading4"/>
    <w:next w:val="Normal"/>
    <w:link w:val="StrandChar"/>
    <w:rsid w:val="00D268FE"/>
    <w:pPr>
      <w:keepLines/>
      <w:spacing w:before="200" w:line="240" w:lineRule="auto"/>
    </w:pPr>
    <w:rPr>
      <w:rFonts w:asciiTheme="majorHAnsi" w:eastAsiaTheme="majorEastAsia" w:hAnsiTheme="majorHAnsi" w:cstheme="majorBidi"/>
      <w:bCs w:val="0"/>
      <w:iCs/>
      <w:color w:val="514F59" w:themeColor="accent2"/>
      <w14:textFill>
        <w14:solidFill>
          <w14:schemeClr w14:val="accent2">
            <w14:lumMod w14:val="75000"/>
            <w14:lumMod w14:val="75000"/>
            <w14:lumMod w14:val="75000"/>
            <w14:lumMod w14:val="75000"/>
          </w14:schemeClr>
        </w14:solidFill>
      </w14:textFill>
    </w:rPr>
  </w:style>
  <w:style w:type="paragraph" w:customStyle="1" w:styleId="ContentDescription">
    <w:name w:val="Content Description"/>
    <w:basedOn w:val="Paragraph"/>
    <w:rsid w:val="00D268FE"/>
    <w:pPr>
      <w:numPr>
        <w:numId w:val="4"/>
      </w:numPr>
    </w:pPr>
    <w:rPr>
      <w:color w:val="514F59" w:themeColor="text2"/>
    </w:rPr>
  </w:style>
  <w:style w:type="paragraph" w:customStyle="1" w:styleId="OrderedList">
    <w:name w:val="Ordered List"/>
    <w:basedOn w:val="ListItem"/>
    <w:next w:val="Paragraph"/>
    <w:link w:val="OrderedListChar"/>
    <w:uiPriority w:val="99"/>
    <w:semiHidden/>
    <w:qFormat/>
    <w:rsid w:val="00D268FE"/>
    <w:pPr>
      <w:numPr>
        <w:numId w:val="3"/>
      </w:numPr>
    </w:pPr>
  </w:style>
  <w:style w:type="character" w:customStyle="1" w:styleId="OrderedListChar">
    <w:name w:val="Ordered List Char"/>
    <w:basedOn w:val="ListItemChar"/>
    <w:link w:val="OrderedList"/>
    <w:uiPriority w:val="99"/>
    <w:semiHidden/>
    <w:locked/>
    <w:rsid w:val="00D268FE"/>
    <w:rPr>
      <w:rFonts w:ascii="Arial" w:eastAsiaTheme="minorHAnsi" w:hAnsi="Arial" w:cs="Arial"/>
      <w:iCs/>
      <w:color w:val="595959" w:themeColor="text1" w:themeTint="A6"/>
      <w:lang w:eastAsia="en-AU"/>
    </w:rPr>
  </w:style>
  <w:style w:type="paragraph" w:customStyle="1" w:styleId="SubStrand">
    <w:name w:val="SubStrand"/>
    <w:basedOn w:val="Strand"/>
    <w:rsid w:val="00D268FE"/>
    <w:rPr>
      <w:b w:val="0"/>
    </w:rPr>
  </w:style>
  <w:style w:type="paragraph" w:customStyle="1" w:styleId="TopicGroup">
    <w:name w:val="Topic Group"/>
    <w:basedOn w:val="Normal"/>
    <w:rsid w:val="00100FD2"/>
    <w:pPr>
      <w:spacing w:before="240" w:line="240" w:lineRule="auto"/>
    </w:pPr>
    <w:rPr>
      <w:rFonts w:asciiTheme="majorHAnsi" w:eastAsia="Calibri" w:hAnsiTheme="majorHAnsi" w:cs="Arial"/>
      <w:b/>
      <w:bCs/>
      <w:i/>
      <w:iCs/>
      <w:color w:val="231946" w:themeColor="accent1" w:themeShade="80"/>
      <w:sz w:val="24"/>
      <w:szCs w:val="24"/>
      <w:lang w:val="en-US" w:eastAsia="en-AU"/>
    </w:rPr>
  </w:style>
  <w:style w:type="character" w:customStyle="1" w:styleId="ConjunctionChar">
    <w:name w:val="Conjunction Char"/>
    <w:basedOn w:val="DefaultParagraphFont"/>
    <w:link w:val="Conjunction"/>
    <w:semiHidden/>
    <w:locked/>
    <w:rsid w:val="00100FD2"/>
    <w:rPr>
      <w:rFonts w:eastAsia="MS Minngs" w:cs="Arial"/>
      <w:b/>
      <w:i/>
      <w:sz w:val="24"/>
      <w:lang w:val="en-US" w:eastAsia="en-AU"/>
    </w:rPr>
  </w:style>
  <w:style w:type="paragraph" w:customStyle="1" w:styleId="Conjunction">
    <w:name w:val="Conjunction"/>
    <w:basedOn w:val="Normal"/>
    <w:link w:val="ConjunctionChar"/>
    <w:semiHidden/>
    <w:qFormat/>
    <w:rsid w:val="00100FD2"/>
    <w:pPr>
      <w:keepNext/>
      <w:spacing w:after="0" w:line="240" w:lineRule="auto"/>
    </w:pPr>
    <w:rPr>
      <w:rFonts w:eastAsia="MS Minngs" w:cs="Arial"/>
      <w:b/>
      <w:i/>
      <w:sz w:val="24"/>
      <w:lang w:val="en-US" w:eastAsia="en-AU"/>
    </w:rPr>
  </w:style>
  <w:style w:type="character" w:customStyle="1" w:styleId="OrganiserChar">
    <w:name w:val="Organiser Char"/>
    <w:basedOn w:val="DefaultParagraphFont"/>
    <w:link w:val="Organiser"/>
    <w:locked/>
    <w:rsid w:val="00100FD2"/>
    <w:rPr>
      <w:rFonts w:eastAsiaTheme="minorHAnsi"/>
      <w:b/>
      <w:i/>
    </w:rPr>
  </w:style>
  <w:style w:type="paragraph" w:customStyle="1" w:styleId="Organiser">
    <w:name w:val="Organiser"/>
    <w:basedOn w:val="Normal"/>
    <w:link w:val="OrganiserChar"/>
    <w:rsid w:val="00100FD2"/>
    <w:pPr>
      <w:keepNext/>
      <w:spacing w:before="240" w:line="240" w:lineRule="auto"/>
    </w:pPr>
    <w:rPr>
      <w:rFonts w:eastAsiaTheme="minorHAnsi"/>
      <w:b/>
      <w:i/>
    </w:rPr>
  </w:style>
  <w:style w:type="paragraph" w:customStyle="1" w:styleId="Topic">
    <w:name w:val="Topic"/>
    <w:basedOn w:val="TopicGroup"/>
    <w:rsid w:val="00100FD2"/>
    <w:rPr>
      <w:i w:val="0"/>
    </w:rPr>
  </w:style>
  <w:style w:type="paragraph" w:styleId="CommentText">
    <w:name w:val="annotation text"/>
    <w:basedOn w:val="Normal"/>
    <w:link w:val="CommentTextChar"/>
    <w:rsid w:val="000B5428"/>
    <w:pPr>
      <w:spacing w:after="0" w:line="240" w:lineRule="auto"/>
    </w:pPr>
    <w:rPr>
      <w:rFonts w:ascii="Times New Roman" w:eastAsiaTheme="minorHAnsi" w:hAnsi="Times New Roman"/>
      <w:sz w:val="24"/>
      <w:szCs w:val="24"/>
    </w:rPr>
  </w:style>
  <w:style w:type="character" w:customStyle="1" w:styleId="CommentTextChar">
    <w:name w:val="Comment Text Char"/>
    <w:basedOn w:val="DefaultParagraphFont"/>
    <w:link w:val="CommentText"/>
    <w:rsid w:val="000B5428"/>
    <w:rPr>
      <w:rFonts w:ascii="Times New Roman" w:eastAsiaTheme="minorHAnsi" w:hAnsi="Times New Roman"/>
      <w:sz w:val="24"/>
      <w:szCs w:val="24"/>
    </w:rPr>
  </w:style>
  <w:style w:type="paragraph" w:styleId="BodyText3">
    <w:name w:val="Body Text 3"/>
    <w:basedOn w:val="Normal"/>
    <w:link w:val="BodyText3Char"/>
    <w:uiPriority w:val="99"/>
    <w:semiHidden/>
    <w:unhideWhenUsed/>
    <w:rsid w:val="000B5428"/>
    <w:rPr>
      <w:sz w:val="16"/>
      <w:szCs w:val="16"/>
    </w:rPr>
  </w:style>
  <w:style w:type="character" w:customStyle="1" w:styleId="BodyText3Char">
    <w:name w:val="Body Text 3 Char"/>
    <w:basedOn w:val="DefaultParagraphFont"/>
    <w:link w:val="BodyText3"/>
    <w:uiPriority w:val="99"/>
    <w:semiHidden/>
    <w:rsid w:val="000B5428"/>
    <w:rPr>
      <w:sz w:val="16"/>
      <w:szCs w:val="16"/>
    </w:rPr>
  </w:style>
  <w:style w:type="paragraph" w:customStyle="1" w:styleId="map1">
    <w:name w:val="map1"/>
    <w:basedOn w:val="Normal"/>
    <w:rsid w:val="000B5428"/>
    <w:pPr>
      <w:keepNext/>
      <w:spacing w:after="0" w:line="240" w:lineRule="auto"/>
      <w:outlineLvl w:val="5"/>
    </w:pPr>
    <w:rPr>
      <w:rFonts w:ascii="Times New Roman" w:eastAsia="Times New Roman" w:hAnsi="Times New Roman" w:cs="Times New Roman"/>
      <w:b/>
      <w:sz w:val="20"/>
    </w:rPr>
  </w:style>
  <w:style w:type="paragraph" w:customStyle="1" w:styleId="Default">
    <w:name w:val="Default"/>
    <w:rsid w:val="003F149D"/>
    <w:pPr>
      <w:autoSpaceDE w:val="0"/>
      <w:autoSpaceDN w:val="0"/>
      <w:adjustRightInd w:val="0"/>
      <w:spacing w:after="0" w:line="240" w:lineRule="auto"/>
    </w:pPr>
    <w:rPr>
      <w:rFonts w:eastAsia="Times New Roman" w:cs="Calibri"/>
      <w:color w:val="000000"/>
      <w:sz w:val="24"/>
      <w:szCs w:val="24"/>
      <w:lang w:eastAsia="en-AU"/>
    </w:rPr>
  </w:style>
  <w:style w:type="paragraph" w:styleId="NormalWeb">
    <w:name w:val="Normal (Web)"/>
    <w:basedOn w:val="Normal"/>
    <w:uiPriority w:val="99"/>
    <w:unhideWhenUsed/>
    <w:rsid w:val="00CA52D5"/>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CAAbody">
    <w:name w:val="VCAA body"/>
    <w:link w:val="VCAAbodyChar"/>
    <w:rsid w:val="00487C4C"/>
    <w:pPr>
      <w:spacing w:before="120" w:line="280" w:lineRule="exact"/>
    </w:pPr>
    <w:rPr>
      <w:rFonts w:ascii="Arial" w:eastAsiaTheme="minorHAnsi" w:hAnsi="Arial" w:cs="Arial"/>
      <w:color w:val="000000" w:themeColor="text1"/>
      <w:lang w:val="en-US"/>
    </w:rPr>
  </w:style>
  <w:style w:type="paragraph" w:customStyle="1" w:styleId="VCAAbullet">
    <w:name w:val="VCAA bullet"/>
    <w:basedOn w:val="VCAAbody"/>
    <w:autoRedefine/>
    <w:rsid w:val="00487C4C"/>
    <w:pPr>
      <w:numPr>
        <w:numId w:val="5"/>
      </w:numPr>
      <w:spacing w:line="276" w:lineRule="auto"/>
      <w:ind w:left="720"/>
    </w:pPr>
    <w:rPr>
      <w:rFonts w:asciiTheme="minorHAnsi" w:eastAsia="Times New Roman" w:hAnsiTheme="minorHAnsi" w:cstheme="minorHAnsi"/>
      <w:kern w:val="22"/>
      <w:lang w:val="en-GB" w:eastAsia="ja-JP"/>
    </w:rPr>
  </w:style>
  <w:style w:type="character" w:customStyle="1" w:styleId="VCAAbodyChar">
    <w:name w:val="VCAA body Char"/>
    <w:basedOn w:val="DefaultParagraphFont"/>
    <w:link w:val="VCAAbody"/>
    <w:rsid w:val="00487C4C"/>
    <w:rPr>
      <w:rFonts w:ascii="Arial" w:eastAsiaTheme="minorHAnsi" w:hAnsi="Arial" w:cs="Arial"/>
      <w:color w:val="000000" w:themeColor="text1"/>
      <w:lang w:val="en-US"/>
    </w:rPr>
  </w:style>
  <w:style w:type="character" w:styleId="FollowedHyperlink">
    <w:name w:val="FollowedHyperlink"/>
    <w:basedOn w:val="DefaultParagraphFont"/>
    <w:uiPriority w:val="99"/>
    <w:semiHidden/>
    <w:unhideWhenUsed/>
    <w:rsid w:val="001C0355"/>
    <w:rPr>
      <w:color w:val="514F59" w:themeColor="followedHyperlink"/>
      <w:u w:val="single"/>
    </w:rPr>
  </w:style>
  <w:style w:type="character" w:customStyle="1" w:styleId="ListParagraphChar">
    <w:name w:val="List Paragraph Char"/>
    <w:basedOn w:val="DefaultParagraphFont"/>
    <w:link w:val="ListParagraph"/>
    <w:uiPriority w:val="34"/>
    <w:locked/>
    <w:rsid w:val="00F60B86"/>
    <w:rPr>
      <w:sz w:val="18"/>
    </w:rPr>
  </w:style>
  <w:style w:type="paragraph" w:customStyle="1" w:styleId="SyllabusTitle1">
    <w:name w:val="Syllabus Title 1"/>
    <w:basedOn w:val="Normal"/>
    <w:link w:val="SyllabusTitle1Char"/>
    <w:rsid w:val="00BB003D"/>
    <w:pPr>
      <w:widowControl w:val="0"/>
      <w:pBdr>
        <w:bottom w:val="single" w:sz="8" w:space="4" w:color="46328C" w:themeColor="accent1"/>
      </w:pBdr>
      <w:spacing w:before="11000" w:after="0" w:line="240" w:lineRule="auto"/>
      <w:contextualSpacing/>
    </w:pPr>
    <w:rPr>
      <w:rFonts w:eastAsiaTheme="majorEastAsia" w:cstheme="majorBidi"/>
      <w:b/>
      <w:smallCaps/>
      <w:spacing w:val="5"/>
      <w:kern w:val="28"/>
      <w:sz w:val="60"/>
      <w:szCs w:val="52"/>
    </w:rPr>
  </w:style>
  <w:style w:type="character" w:customStyle="1" w:styleId="SyllabusTitle1Char">
    <w:name w:val="Syllabus Title 1 Char"/>
    <w:basedOn w:val="DefaultParagraphFont"/>
    <w:link w:val="SyllabusTitle1"/>
    <w:rsid w:val="00BB003D"/>
    <w:rPr>
      <w:rFonts w:eastAsiaTheme="majorEastAsia" w:cstheme="majorBidi"/>
      <w:b/>
      <w:smallCaps/>
      <w:spacing w:val="5"/>
      <w:kern w:val="28"/>
      <w:sz w:val="60"/>
      <w:szCs w:val="52"/>
    </w:rPr>
  </w:style>
  <w:style w:type="paragraph" w:customStyle="1" w:styleId="SyllabusTitle2">
    <w:name w:val="Syllabus Title 2"/>
    <w:basedOn w:val="Normal"/>
    <w:qFormat/>
    <w:rsid w:val="00BB003D"/>
    <w:pPr>
      <w:widowControl w:val="0"/>
      <w:spacing w:before="120" w:after="0" w:line="240" w:lineRule="auto"/>
    </w:pPr>
    <w:rPr>
      <w:rFonts w:ascii="Calibri Light" w:hAnsi="Calibri Light"/>
      <w:b/>
      <w:sz w:val="40"/>
    </w:rPr>
  </w:style>
  <w:style w:type="paragraph" w:customStyle="1" w:styleId="SyllabusTitle3">
    <w:name w:val="Syllabus Title 3"/>
    <w:basedOn w:val="Normal"/>
    <w:link w:val="SyllabusTitle3Char"/>
    <w:qFormat/>
    <w:rsid w:val="00BB003D"/>
    <w:pPr>
      <w:widowControl w:val="0"/>
      <w:spacing w:after="0" w:line="240" w:lineRule="auto"/>
    </w:pPr>
    <w:rPr>
      <w:b/>
      <w:color w:val="9688BE" w:themeColor="background2"/>
      <w:sz w:val="40"/>
      <w14:textFill>
        <w14:solidFill>
          <w14:schemeClr w14:val="bg2">
            <w14:lumMod w14:val="75000"/>
            <w14:lumMod w14:val="75000"/>
            <w14:lumMod w14:val="75000"/>
          </w14:schemeClr>
        </w14:solidFill>
      </w14:textFill>
    </w:rPr>
  </w:style>
  <w:style w:type="character" w:customStyle="1" w:styleId="SyllabusTitle3Char">
    <w:name w:val="Syllabus Title 3 Char"/>
    <w:basedOn w:val="DefaultParagraphFont"/>
    <w:link w:val="SyllabusTitle3"/>
    <w:rsid w:val="00BB003D"/>
    <w:rPr>
      <w:b/>
      <w:color w:val="9688BE" w:themeColor="background2"/>
      <w:sz w:val="40"/>
      <w14:textFill>
        <w14:solidFill>
          <w14:schemeClr w14:val="bg2">
            <w14:lumMod w14:val="75000"/>
            <w14:lumMod w14:val="75000"/>
            <w14:lumMod w14:val="75000"/>
          </w14:schemeClr>
        </w14:solidFill>
      </w14:textFill>
    </w:rPr>
  </w:style>
  <w:style w:type="character" w:styleId="UnresolvedMention">
    <w:name w:val="Unresolved Mention"/>
    <w:basedOn w:val="DefaultParagraphFont"/>
    <w:uiPriority w:val="99"/>
    <w:semiHidden/>
    <w:unhideWhenUsed/>
    <w:rsid w:val="00DD6A58"/>
    <w:rPr>
      <w:color w:val="605E5C"/>
      <w:shd w:val="clear" w:color="auto" w:fill="E1DFDD"/>
    </w:rPr>
  </w:style>
  <w:style w:type="numbering" w:customStyle="1" w:styleId="Syllabusbulletlist">
    <w:name w:val="Syllabus bullet list"/>
    <w:uiPriority w:val="99"/>
    <w:rsid w:val="00F754FB"/>
    <w:pPr>
      <w:numPr>
        <w:numId w:val="9"/>
      </w:numPr>
    </w:pPr>
  </w:style>
  <w:style w:type="paragraph" w:customStyle="1" w:styleId="SyllabusListParagraph">
    <w:name w:val="Syllabus List Paragraph"/>
    <w:basedOn w:val="ListParagraph"/>
    <w:link w:val="SyllabusListParagraphChar"/>
    <w:qFormat/>
    <w:rsid w:val="002D3398"/>
    <w:pPr>
      <w:numPr>
        <w:numId w:val="77"/>
      </w:numPr>
      <w:contextualSpacing w:val="0"/>
    </w:pPr>
    <w:rPr>
      <w:rFonts w:asciiTheme="minorHAnsi" w:hAnsiTheme="minorHAnsi"/>
      <w:sz w:val="22"/>
      <w:szCs w:val="20"/>
    </w:rPr>
  </w:style>
  <w:style w:type="character" w:customStyle="1" w:styleId="SyllabusListParagraphChar">
    <w:name w:val="Syllabus List Paragraph Char"/>
    <w:basedOn w:val="DefaultParagraphFont"/>
    <w:link w:val="SyllabusListParagraph"/>
    <w:rsid w:val="00F754FB"/>
    <w:rPr>
      <w:rFonts w:asciiTheme="minorHAnsi" w:hAnsiTheme="minorHAnsi"/>
      <w:szCs w:val="20"/>
    </w:rPr>
  </w:style>
  <w:style w:type="paragraph" w:styleId="Revision">
    <w:name w:val="Revision"/>
    <w:hidden/>
    <w:uiPriority w:val="99"/>
    <w:semiHidden/>
    <w:rsid w:val="00EB557B"/>
    <w:pPr>
      <w:spacing w:after="0" w:line="240" w:lineRule="auto"/>
    </w:pPr>
  </w:style>
  <w:style w:type="character" w:styleId="CommentReference">
    <w:name w:val="annotation reference"/>
    <w:basedOn w:val="DefaultParagraphFont"/>
    <w:uiPriority w:val="99"/>
    <w:semiHidden/>
    <w:unhideWhenUsed/>
    <w:rsid w:val="00442A65"/>
    <w:rPr>
      <w:sz w:val="16"/>
      <w:szCs w:val="16"/>
    </w:rPr>
  </w:style>
  <w:style w:type="paragraph" w:styleId="CommentSubject">
    <w:name w:val="annotation subject"/>
    <w:basedOn w:val="CommentText"/>
    <w:next w:val="CommentText"/>
    <w:link w:val="CommentSubjectChar"/>
    <w:uiPriority w:val="99"/>
    <w:semiHidden/>
    <w:unhideWhenUsed/>
    <w:rsid w:val="00442A65"/>
    <w:pPr>
      <w:spacing w:after="120"/>
    </w:pPr>
    <w:rPr>
      <w:rFonts w:ascii="Calibri" w:eastAsiaTheme="minorEastAsia" w:hAnsi="Calibri"/>
      <w:b/>
      <w:bCs/>
      <w:sz w:val="20"/>
      <w:szCs w:val="20"/>
    </w:rPr>
  </w:style>
  <w:style w:type="character" w:customStyle="1" w:styleId="CommentSubjectChar">
    <w:name w:val="Comment Subject Char"/>
    <w:basedOn w:val="CommentTextChar"/>
    <w:link w:val="CommentSubject"/>
    <w:uiPriority w:val="99"/>
    <w:semiHidden/>
    <w:rsid w:val="00442A65"/>
    <w:rPr>
      <w:rFonts w:ascii="Times New Roman" w:eastAsiaTheme="minorHAnsi" w:hAnsi="Times New Roman"/>
      <w:b/>
      <w:bCs/>
      <w:sz w:val="20"/>
      <w:szCs w:val="20"/>
    </w:rPr>
  </w:style>
  <w:style w:type="paragraph" w:customStyle="1" w:styleId="Footereven">
    <w:name w:val="Footer even"/>
    <w:basedOn w:val="Normal"/>
    <w:qFormat/>
    <w:rsid w:val="00012C83"/>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012C83"/>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012C83"/>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012C83"/>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012C83"/>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012C83"/>
    <w:rPr>
      <w:rFonts w:eastAsiaTheme="majorEastAsia" w:cstheme="majorBidi"/>
      <w:szCs w:val="28"/>
    </w:rPr>
  </w:style>
  <w:style w:type="character" w:customStyle="1" w:styleId="SyllabusAppendixHeading1Char">
    <w:name w:val="Syllabus Appendix Heading 1 Char"/>
    <w:basedOn w:val="Heading1Char"/>
    <w:link w:val="SyllabusAppendixHeading1"/>
    <w:rsid w:val="00012C83"/>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012C83"/>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012C83"/>
    <w:pPr>
      <w:widowControl w:val="0"/>
      <w:spacing w:before="0"/>
      <w:outlineLvl w:val="1"/>
    </w:pPr>
  </w:style>
  <w:style w:type="paragraph" w:customStyle="1" w:styleId="SyllabusAppendixHeading3">
    <w:name w:val="Syllabus Appendix Heading 3"/>
    <w:basedOn w:val="Normal"/>
    <w:qFormat/>
    <w:rsid w:val="00012C83"/>
    <w:pPr>
      <w:keepNext/>
      <w:spacing w:after="0"/>
    </w:pPr>
    <w:rPr>
      <w:rFonts w:asciiTheme="minorHAnsi" w:hAnsiTheme="minorHAnsi" w:cs="Arial"/>
      <w:b/>
      <w:bCs/>
      <w:noProof/>
    </w:rPr>
  </w:style>
  <w:style w:type="paragraph" w:customStyle="1" w:styleId="SyllabusHeading2">
    <w:name w:val="Syllabus Heading 2"/>
    <w:basedOn w:val="Normal"/>
    <w:qFormat/>
    <w:rsid w:val="00012C83"/>
    <w:pPr>
      <w:spacing w:before="240"/>
      <w:outlineLvl w:val="1"/>
    </w:pPr>
    <w:rPr>
      <w:rFonts w:asciiTheme="minorHAnsi" w:hAnsiTheme="minorHAnsi"/>
      <w:b/>
      <w:color w:val="595959"/>
      <w:sz w:val="32"/>
    </w:rPr>
  </w:style>
  <w:style w:type="paragraph" w:customStyle="1" w:styleId="SyllabusHeading4">
    <w:name w:val="Syllabus Heading 4"/>
    <w:basedOn w:val="Paragraph"/>
    <w:qFormat/>
    <w:rsid w:val="00012C83"/>
    <w:rPr>
      <w:rFonts w:asciiTheme="minorHAnsi" w:hAnsiTheme="minorHAnsi" w:cs="Calibri"/>
      <w:b/>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36231">
      <w:bodyDiv w:val="1"/>
      <w:marLeft w:val="0"/>
      <w:marRight w:val="0"/>
      <w:marTop w:val="0"/>
      <w:marBottom w:val="0"/>
      <w:divBdr>
        <w:top w:val="none" w:sz="0" w:space="0" w:color="auto"/>
        <w:left w:val="none" w:sz="0" w:space="0" w:color="auto"/>
        <w:bottom w:val="none" w:sz="0" w:space="0" w:color="auto"/>
        <w:right w:val="none" w:sz="0" w:space="0" w:color="auto"/>
      </w:divBdr>
    </w:div>
    <w:div w:id="249047762">
      <w:bodyDiv w:val="1"/>
      <w:marLeft w:val="0"/>
      <w:marRight w:val="0"/>
      <w:marTop w:val="0"/>
      <w:marBottom w:val="0"/>
      <w:divBdr>
        <w:top w:val="none" w:sz="0" w:space="0" w:color="auto"/>
        <w:left w:val="none" w:sz="0" w:space="0" w:color="auto"/>
        <w:bottom w:val="none" w:sz="0" w:space="0" w:color="auto"/>
        <w:right w:val="none" w:sz="0" w:space="0" w:color="auto"/>
      </w:divBdr>
    </w:div>
    <w:div w:id="491914816">
      <w:bodyDiv w:val="1"/>
      <w:marLeft w:val="0"/>
      <w:marRight w:val="0"/>
      <w:marTop w:val="0"/>
      <w:marBottom w:val="0"/>
      <w:divBdr>
        <w:top w:val="none" w:sz="0" w:space="0" w:color="auto"/>
        <w:left w:val="none" w:sz="0" w:space="0" w:color="auto"/>
        <w:bottom w:val="none" w:sz="0" w:space="0" w:color="auto"/>
        <w:right w:val="none" w:sz="0" w:space="0" w:color="auto"/>
      </w:divBdr>
    </w:div>
    <w:div w:id="667100819">
      <w:bodyDiv w:val="1"/>
      <w:marLeft w:val="0"/>
      <w:marRight w:val="0"/>
      <w:marTop w:val="0"/>
      <w:marBottom w:val="0"/>
      <w:divBdr>
        <w:top w:val="none" w:sz="0" w:space="0" w:color="auto"/>
        <w:left w:val="none" w:sz="0" w:space="0" w:color="auto"/>
        <w:bottom w:val="none" w:sz="0" w:space="0" w:color="auto"/>
        <w:right w:val="none" w:sz="0" w:space="0" w:color="auto"/>
      </w:divBdr>
    </w:div>
    <w:div w:id="673805150">
      <w:bodyDiv w:val="1"/>
      <w:marLeft w:val="0"/>
      <w:marRight w:val="0"/>
      <w:marTop w:val="0"/>
      <w:marBottom w:val="0"/>
      <w:divBdr>
        <w:top w:val="none" w:sz="0" w:space="0" w:color="auto"/>
        <w:left w:val="none" w:sz="0" w:space="0" w:color="auto"/>
        <w:bottom w:val="none" w:sz="0" w:space="0" w:color="auto"/>
        <w:right w:val="none" w:sz="0" w:space="0" w:color="auto"/>
      </w:divBdr>
    </w:div>
    <w:div w:id="679426702">
      <w:bodyDiv w:val="1"/>
      <w:marLeft w:val="0"/>
      <w:marRight w:val="0"/>
      <w:marTop w:val="0"/>
      <w:marBottom w:val="0"/>
      <w:divBdr>
        <w:top w:val="none" w:sz="0" w:space="0" w:color="auto"/>
        <w:left w:val="none" w:sz="0" w:space="0" w:color="auto"/>
        <w:bottom w:val="none" w:sz="0" w:space="0" w:color="auto"/>
        <w:right w:val="none" w:sz="0" w:space="0" w:color="auto"/>
      </w:divBdr>
    </w:div>
    <w:div w:id="719136869">
      <w:bodyDiv w:val="1"/>
      <w:marLeft w:val="0"/>
      <w:marRight w:val="0"/>
      <w:marTop w:val="0"/>
      <w:marBottom w:val="0"/>
      <w:divBdr>
        <w:top w:val="none" w:sz="0" w:space="0" w:color="auto"/>
        <w:left w:val="none" w:sz="0" w:space="0" w:color="auto"/>
        <w:bottom w:val="none" w:sz="0" w:space="0" w:color="auto"/>
        <w:right w:val="none" w:sz="0" w:space="0" w:color="auto"/>
      </w:divBdr>
    </w:div>
    <w:div w:id="791678669">
      <w:bodyDiv w:val="1"/>
      <w:marLeft w:val="0"/>
      <w:marRight w:val="0"/>
      <w:marTop w:val="0"/>
      <w:marBottom w:val="0"/>
      <w:divBdr>
        <w:top w:val="none" w:sz="0" w:space="0" w:color="auto"/>
        <w:left w:val="none" w:sz="0" w:space="0" w:color="auto"/>
        <w:bottom w:val="none" w:sz="0" w:space="0" w:color="auto"/>
        <w:right w:val="none" w:sz="0" w:space="0" w:color="auto"/>
      </w:divBdr>
    </w:div>
    <w:div w:id="883903273">
      <w:bodyDiv w:val="1"/>
      <w:marLeft w:val="0"/>
      <w:marRight w:val="0"/>
      <w:marTop w:val="0"/>
      <w:marBottom w:val="0"/>
      <w:divBdr>
        <w:top w:val="none" w:sz="0" w:space="0" w:color="auto"/>
        <w:left w:val="none" w:sz="0" w:space="0" w:color="auto"/>
        <w:bottom w:val="none" w:sz="0" w:space="0" w:color="auto"/>
        <w:right w:val="none" w:sz="0" w:space="0" w:color="auto"/>
      </w:divBdr>
    </w:div>
    <w:div w:id="889918108">
      <w:bodyDiv w:val="1"/>
      <w:marLeft w:val="0"/>
      <w:marRight w:val="0"/>
      <w:marTop w:val="0"/>
      <w:marBottom w:val="0"/>
      <w:divBdr>
        <w:top w:val="none" w:sz="0" w:space="0" w:color="auto"/>
        <w:left w:val="none" w:sz="0" w:space="0" w:color="auto"/>
        <w:bottom w:val="none" w:sz="0" w:space="0" w:color="auto"/>
        <w:right w:val="none" w:sz="0" w:space="0" w:color="auto"/>
      </w:divBdr>
    </w:div>
    <w:div w:id="1049494291">
      <w:bodyDiv w:val="1"/>
      <w:marLeft w:val="0"/>
      <w:marRight w:val="0"/>
      <w:marTop w:val="0"/>
      <w:marBottom w:val="0"/>
      <w:divBdr>
        <w:top w:val="none" w:sz="0" w:space="0" w:color="auto"/>
        <w:left w:val="none" w:sz="0" w:space="0" w:color="auto"/>
        <w:bottom w:val="none" w:sz="0" w:space="0" w:color="auto"/>
        <w:right w:val="none" w:sz="0" w:space="0" w:color="auto"/>
      </w:divBdr>
    </w:div>
    <w:div w:id="1161503550">
      <w:bodyDiv w:val="1"/>
      <w:marLeft w:val="0"/>
      <w:marRight w:val="0"/>
      <w:marTop w:val="0"/>
      <w:marBottom w:val="0"/>
      <w:divBdr>
        <w:top w:val="none" w:sz="0" w:space="0" w:color="auto"/>
        <w:left w:val="none" w:sz="0" w:space="0" w:color="auto"/>
        <w:bottom w:val="none" w:sz="0" w:space="0" w:color="auto"/>
        <w:right w:val="none" w:sz="0" w:space="0" w:color="auto"/>
      </w:divBdr>
    </w:div>
    <w:div w:id="1178545677">
      <w:bodyDiv w:val="1"/>
      <w:marLeft w:val="0"/>
      <w:marRight w:val="0"/>
      <w:marTop w:val="0"/>
      <w:marBottom w:val="0"/>
      <w:divBdr>
        <w:top w:val="none" w:sz="0" w:space="0" w:color="auto"/>
        <w:left w:val="none" w:sz="0" w:space="0" w:color="auto"/>
        <w:bottom w:val="none" w:sz="0" w:space="0" w:color="auto"/>
        <w:right w:val="none" w:sz="0" w:space="0" w:color="auto"/>
      </w:divBdr>
    </w:div>
    <w:div w:id="1195196775">
      <w:bodyDiv w:val="1"/>
      <w:marLeft w:val="0"/>
      <w:marRight w:val="0"/>
      <w:marTop w:val="0"/>
      <w:marBottom w:val="0"/>
      <w:divBdr>
        <w:top w:val="none" w:sz="0" w:space="0" w:color="auto"/>
        <w:left w:val="none" w:sz="0" w:space="0" w:color="auto"/>
        <w:bottom w:val="none" w:sz="0" w:space="0" w:color="auto"/>
        <w:right w:val="none" w:sz="0" w:space="0" w:color="auto"/>
      </w:divBdr>
    </w:div>
    <w:div w:id="1234966524">
      <w:bodyDiv w:val="1"/>
      <w:marLeft w:val="0"/>
      <w:marRight w:val="0"/>
      <w:marTop w:val="0"/>
      <w:marBottom w:val="0"/>
      <w:divBdr>
        <w:top w:val="none" w:sz="0" w:space="0" w:color="auto"/>
        <w:left w:val="none" w:sz="0" w:space="0" w:color="auto"/>
        <w:bottom w:val="none" w:sz="0" w:space="0" w:color="auto"/>
        <w:right w:val="none" w:sz="0" w:space="0" w:color="auto"/>
      </w:divBdr>
    </w:div>
    <w:div w:id="1286079237">
      <w:bodyDiv w:val="1"/>
      <w:marLeft w:val="0"/>
      <w:marRight w:val="0"/>
      <w:marTop w:val="0"/>
      <w:marBottom w:val="0"/>
      <w:divBdr>
        <w:top w:val="none" w:sz="0" w:space="0" w:color="auto"/>
        <w:left w:val="none" w:sz="0" w:space="0" w:color="auto"/>
        <w:bottom w:val="none" w:sz="0" w:space="0" w:color="auto"/>
        <w:right w:val="none" w:sz="0" w:space="0" w:color="auto"/>
      </w:divBdr>
    </w:div>
    <w:div w:id="1574464412">
      <w:bodyDiv w:val="1"/>
      <w:marLeft w:val="0"/>
      <w:marRight w:val="0"/>
      <w:marTop w:val="0"/>
      <w:marBottom w:val="0"/>
      <w:divBdr>
        <w:top w:val="none" w:sz="0" w:space="0" w:color="auto"/>
        <w:left w:val="none" w:sz="0" w:space="0" w:color="auto"/>
        <w:bottom w:val="none" w:sz="0" w:space="0" w:color="auto"/>
        <w:right w:val="none" w:sz="0" w:space="0" w:color="auto"/>
      </w:divBdr>
    </w:div>
    <w:div w:id="1779983245">
      <w:bodyDiv w:val="1"/>
      <w:marLeft w:val="0"/>
      <w:marRight w:val="0"/>
      <w:marTop w:val="0"/>
      <w:marBottom w:val="0"/>
      <w:divBdr>
        <w:top w:val="none" w:sz="0" w:space="0" w:color="auto"/>
        <w:left w:val="none" w:sz="0" w:space="0" w:color="auto"/>
        <w:bottom w:val="none" w:sz="0" w:space="0" w:color="auto"/>
        <w:right w:val="none" w:sz="0" w:space="0" w:color="auto"/>
      </w:divBdr>
    </w:div>
    <w:div w:id="1792628384">
      <w:bodyDiv w:val="1"/>
      <w:marLeft w:val="0"/>
      <w:marRight w:val="0"/>
      <w:marTop w:val="0"/>
      <w:marBottom w:val="0"/>
      <w:divBdr>
        <w:top w:val="none" w:sz="0" w:space="0" w:color="auto"/>
        <w:left w:val="none" w:sz="0" w:space="0" w:color="auto"/>
        <w:bottom w:val="none" w:sz="0" w:space="0" w:color="auto"/>
        <w:right w:val="none" w:sz="0" w:space="0" w:color="auto"/>
      </w:divBdr>
    </w:div>
    <w:div w:id="1846171255">
      <w:bodyDiv w:val="1"/>
      <w:marLeft w:val="0"/>
      <w:marRight w:val="0"/>
      <w:marTop w:val="0"/>
      <w:marBottom w:val="0"/>
      <w:divBdr>
        <w:top w:val="none" w:sz="0" w:space="0" w:color="auto"/>
        <w:left w:val="none" w:sz="0" w:space="0" w:color="auto"/>
        <w:bottom w:val="none" w:sz="0" w:space="0" w:color="auto"/>
        <w:right w:val="none" w:sz="0" w:space="0" w:color="auto"/>
      </w:divBdr>
    </w:div>
    <w:div w:id="2060156559">
      <w:bodyDiv w:val="1"/>
      <w:marLeft w:val="0"/>
      <w:marRight w:val="0"/>
      <w:marTop w:val="0"/>
      <w:marBottom w:val="0"/>
      <w:divBdr>
        <w:top w:val="none" w:sz="0" w:space="0" w:color="auto"/>
        <w:left w:val="none" w:sz="0" w:space="0" w:color="auto"/>
        <w:bottom w:val="none" w:sz="0" w:space="0" w:color="auto"/>
        <w:right w:val="none" w:sz="0" w:space="0" w:color="auto"/>
      </w:divBdr>
    </w:div>
    <w:div w:id="2099018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en.wiktionary.org/wiki/-qu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en.wiktionary.org/wiki/populus" TargetMode="Externa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en.wiktionary.org/wiki/senatus"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5.xml"/><Relationship Id="rId10" Type="http://schemas.openxmlformats.org/officeDocument/2006/relationships/hyperlink" Target="https://creativecommons.org/licenses/by/4.0/" TargetMode="External"/><Relationship Id="rId19" Type="http://schemas.openxmlformats.org/officeDocument/2006/relationships/hyperlink" Target="http://en.wiktionary.org/wiki/romanu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793EF-2523-4BEE-982F-107D6795C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38</Pages>
  <Words>11450</Words>
  <Characters>65268</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76565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Kylee Baker</dc:creator>
  <cp:keywords/>
  <dc:description/>
  <cp:lastModifiedBy>Jenna Khor</cp:lastModifiedBy>
  <cp:revision>30</cp:revision>
  <cp:lastPrinted>2024-07-08T05:35:00Z</cp:lastPrinted>
  <dcterms:created xsi:type="dcterms:W3CDTF">2023-10-05T02:21:00Z</dcterms:created>
  <dcterms:modified xsi:type="dcterms:W3CDTF">2024-09-03T07:12:00Z</dcterms:modified>
</cp:coreProperties>
</file>