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F86D1" w14:textId="6F623686" w:rsidR="00A93F91" w:rsidRPr="00B766C7" w:rsidRDefault="00420218" w:rsidP="00751318">
      <w:pPr>
        <w:pStyle w:val="SyllabusTitle1"/>
        <w:spacing w:before="10560"/>
      </w:pPr>
      <w:r w:rsidRPr="00444B2F">
        <w:rPr>
          <w:noProof/>
        </w:rPr>
        <w:drawing>
          <wp:anchor distT="0" distB="0" distL="114300" distR="114300" simplePos="0" relativeHeight="251658239" behindDoc="1" locked="1" layoutInCell="1" allowOverlap="0" wp14:anchorId="268379B2" wp14:editId="5C9051AC">
            <wp:simplePos x="0" y="0"/>
            <wp:positionH relativeFrom="page">
              <wp:align>left</wp:align>
            </wp:positionH>
            <wp:positionV relativeFrom="page">
              <wp:align>bottom</wp:align>
            </wp:positionV>
            <wp:extent cx="7581600" cy="10724400"/>
            <wp:effectExtent l="0" t="0" r="635" b="1270"/>
            <wp:wrapNone/>
            <wp:docPr id="2" name="Picture 2" descr="A white leaf like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BC61D3" w:rsidRPr="00B766C7">
        <w:t>Aboriginal and</w:t>
      </w:r>
      <w:r w:rsidR="003F69D0" w:rsidRPr="00B766C7">
        <w:t xml:space="preserve"> </w:t>
      </w:r>
      <w:r w:rsidR="00BC61D3" w:rsidRPr="00B766C7">
        <w:t>Intercultural Studies</w:t>
      </w:r>
    </w:p>
    <w:p w14:paraId="47C3B919" w14:textId="0B5AAFF0" w:rsidR="00AA2B0D" w:rsidRPr="00B766C7" w:rsidRDefault="00AA2B0D" w:rsidP="00B766C7">
      <w:pPr>
        <w:pStyle w:val="SyllabusTitle2"/>
      </w:pPr>
      <w:r w:rsidRPr="00B766C7">
        <w:t xml:space="preserve">ATAR </w:t>
      </w:r>
      <w:r w:rsidR="00A50AF0" w:rsidRPr="00B766C7">
        <w:t>course</w:t>
      </w:r>
    </w:p>
    <w:p w14:paraId="5EBC800F" w14:textId="475FA0D2" w:rsidR="007F2BBD" w:rsidRPr="00220381" w:rsidRDefault="00AA2B0D" w:rsidP="001866EA">
      <w:pPr>
        <w:pStyle w:val="SyllabusTitle3"/>
        <w:rPr>
          <w:color w:val="000000"/>
          <w14:textFill>
            <w14:solidFill>
              <w14:srgbClr w14:val="000000">
                <w14:lumMod w14:val="75000"/>
                <w14:lumMod w14:val="75000"/>
                <w14:lumMod w14:val="75000"/>
              </w14:srgbClr>
            </w14:solidFill>
          </w14:textFill>
        </w:rPr>
      </w:pPr>
      <w:r w:rsidRPr="00B766C7">
        <w:t xml:space="preserve">Year 11 </w:t>
      </w:r>
      <w:r w:rsidRPr="001866EA">
        <w:t>syllabus</w:t>
      </w:r>
    </w:p>
    <w:p w14:paraId="43AFE36F" w14:textId="6EE1CA18" w:rsidR="002C05E5" w:rsidRPr="00616036" w:rsidRDefault="007F2BBD" w:rsidP="00616036">
      <w:pPr>
        <w:rPr>
          <w:b/>
        </w:rPr>
      </w:pPr>
      <w:r w:rsidRPr="00616036">
        <w:rPr>
          <w:b/>
          <w:bCs/>
          <w:sz w:val="28"/>
          <w:szCs w:val="28"/>
        </w:rPr>
        <w:t>For teaching from 202</w:t>
      </w:r>
      <w:r w:rsidR="006E267A" w:rsidRPr="00616036">
        <w:rPr>
          <w:b/>
          <w:bCs/>
          <w:sz w:val="28"/>
          <w:szCs w:val="28"/>
        </w:rPr>
        <w:t>5</w:t>
      </w:r>
      <w:r w:rsidR="002C05E5" w:rsidRPr="00616036">
        <w:rPr>
          <w:b/>
        </w:rPr>
        <w:br w:type="page"/>
      </w:r>
    </w:p>
    <w:p w14:paraId="636E8D5C" w14:textId="3C5C52E1" w:rsidR="007F2BBD" w:rsidRDefault="00080A2D" w:rsidP="007F2BBD">
      <w:pPr>
        <w:spacing w:after="80"/>
        <w:ind w:right="68"/>
        <w:jc w:val="both"/>
        <w:rPr>
          <w:b/>
        </w:rPr>
      </w:pPr>
      <w:r w:rsidRPr="00BC1B99">
        <w:rPr>
          <w:b/>
        </w:rPr>
        <w:lastRenderedPageBreak/>
        <w:t>Acknowledgement of Country</w:t>
      </w:r>
    </w:p>
    <w:p w14:paraId="11366028" w14:textId="77892572" w:rsidR="00080A2D" w:rsidRDefault="00080A2D" w:rsidP="00616036">
      <w:pPr>
        <w:spacing w:after="6240"/>
      </w:pPr>
      <w:r>
        <w:t xml:space="preserve">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w:t>
      </w:r>
      <w:r w:rsidRPr="00616036">
        <w:t>community</w:t>
      </w:r>
      <w:r>
        <w:t>. We offer our respect to Elders past and present.</w:t>
      </w:r>
    </w:p>
    <w:p w14:paraId="346826D5" w14:textId="436D4A5C" w:rsidR="00E60268" w:rsidRPr="00D15642" w:rsidRDefault="009A6314" w:rsidP="00616036">
      <w:pPr>
        <w:rPr>
          <w:b/>
          <w:bCs/>
          <w:sz w:val="20"/>
          <w:szCs w:val="20"/>
        </w:rPr>
      </w:pPr>
      <w:r w:rsidRPr="00D15642">
        <w:rPr>
          <w:b/>
          <w:bCs/>
          <w:sz w:val="20"/>
          <w:szCs w:val="20"/>
        </w:rPr>
        <w:t>Important Information</w:t>
      </w:r>
    </w:p>
    <w:p w14:paraId="0FABD989" w14:textId="0C80CB53" w:rsidR="005747C5" w:rsidRPr="007F2BBD" w:rsidRDefault="005747C5" w:rsidP="00616036">
      <w:pPr>
        <w:rPr>
          <w:rFonts w:eastAsia="Times New Roman" w:cs="Times New Roman"/>
          <w:bCs/>
          <w:sz w:val="20"/>
          <w:szCs w:val="20"/>
        </w:rPr>
      </w:pPr>
      <w:r w:rsidRPr="007F2BBD">
        <w:rPr>
          <w:rFonts w:eastAsia="Times New Roman" w:cs="Times New Roman"/>
          <w:bCs/>
          <w:sz w:val="20"/>
          <w:szCs w:val="20"/>
        </w:rPr>
        <w:t>This syllabus is effective from 1 January 202</w:t>
      </w:r>
      <w:r w:rsidR="005856FF">
        <w:rPr>
          <w:rFonts w:eastAsia="Times New Roman" w:cs="Times New Roman"/>
          <w:bCs/>
          <w:sz w:val="20"/>
          <w:szCs w:val="20"/>
        </w:rPr>
        <w:t>5</w:t>
      </w:r>
      <w:r w:rsidRPr="007F2BBD">
        <w:rPr>
          <w:rFonts w:eastAsia="Times New Roman" w:cs="Times New Roman"/>
          <w:bCs/>
          <w:sz w:val="20"/>
          <w:szCs w:val="20"/>
        </w:rPr>
        <w:t>.</w:t>
      </w:r>
    </w:p>
    <w:p w14:paraId="025F490C" w14:textId="58FEA712" w:rsidR="00E60268" w:rsidRPr="007F2BBD" w:rsidRDefault="00E60268" w:rsidP="00616036">
      <w:pPr>
        <w:rPr>
          <w:rFonts w:cs="Times New Roman"/>
          <w:sz w:val="20"/>
          <w:szCs w:val="20"/>
        </w:rPr>
      </w:pPr>
      <w:r w:rsidRPr="007F2BBD">
        <w:rPr>
          <w:rFonts w:cs="Times New Roman"/>
          <w:sz w:val="20"/>
          <w:szCs w:val="20"/>
        </w:rPr>
        <w:t>Users of this syllabus are responsible for checking its currency.</w:t>
      </w:r>
    </w:p>
    <w:p w14:paraId="1C820403" w14:textId="112FAF27" w:rsidR="00E60268" w:rsidRPr="007F2BBD" w:rsidRDefault="00E60268" w:rsidP="00616036">
      <w:pPr>
        <w:rPr>
          <w:sz w:val="20"/>
          <w:szCs w:val="20"/>
        </w:rPr>
      </w:pPr>
      <w:r w:rsidRPr="007F2BBD">
        <w:rPr>
          <w:sz w:val="20"/>
          <w:szCs w:val="20"/>
        </w:rPr>
        <w:t>Syllabuses are formally reviewed by the School Curriculum and Standards Authority on a cyclical basis, typically every five years.</w:t>
      </w:r>
    </w:p>
    <w:p w14:paraId="42E0B8D7" w14:textId="77777777" w:rsidR="00E60268" w:rsidRPr="007F2BBD" w:rsidRDefault="00E60268" w:rsidP="00950D99">
      <w:pPr>
        <w:ind w:right="68"/>
        <w:rPr>
          <w:b/>
          <w:sz w:val="20"/>
          <w:szCs w:val="20"/>
        </w:rPr>
      </w:pPr>
      <w:r w:rsidRPr="007F2BBD">
        <w:rPr>
          <w:b/>
          <w:sz w:val="20"/>
          <w:szCs w:val="20"/>
        </w:rPr>
        <w:t>Copyright</w:t>
      </w:r>
    </w:p>
    <w:p w14:paraId="2CFCF2F4" w14:textId="61C931B9" w:rsidR="00616036" w:rsidRPr="00B61BA9" w:rsidRDefault="00616036" w:rsidP="00616036">
      <w:pPr>
        <w:jc w:val="both"/>
        <w:rPr>
          <w:rFonts w:cstheme="minorHAnsi"/>
          <w:sz w:val="20"/>
          <w:szCs w:val="20"/>
          <w:lang w:val="en-GB"/>
        </w:rPr>
      </w:pPr>
      <w:r w:rsidRPr="00B61BA9">
        <w:rPr>
          <w:rFonts w:cstheme="minorHAnsi"/>
          <w:sz w:val="20"/>
          <w:szCs w:val="20"/>
          <w:lang w:val="en-GB"/>
        </w:rPr>
        <w:t>© School Curriculum and Standards Authority, 202</w:t>
      </w:r>
      <w:r w:rsidR="00541AFA">
        <w:rPr>
          <w:rFonts w:cstheme="minorHAnsi"/>
          <w:sz w:val="20"/>
          <w:szCs w:val="20"/>
          <w:lang w:val="en-GB"/>
        </w:rPr>
        <w:t>4</w:t>
      </w:r>
    </w:p>
    <w:p w14:paraId="7F013EE6" w14:textId="77777777" w:rsidR="00616036" w:rsidRPr="00B61BA9" w:rsidRDefault="00616036" w:rsidP="00616036">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DD6E999" w14:textId="77777777" w:rsidR="00616036" w:rsidRPr="00B61BA9" w:rsidRDefault="00616036" w:rsidP="00616036">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E8C6382" w14:textId="77777777" w:rsidR="002C7AF8" w:rsidRDefault="00616036" w:rsidP="002C7AF8">
      <w:pPr>
        <w:rPr>
          <w:rFonts w:cstheme="minorHAnsi"/>
          <w:color w:val="580F8B"/>
          <w:sz w:val="20"/>
          <w:szCs w:val="20"/>
          <w:u w:val="single"/>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bookmarkStart w:id="0" w:name="_Toc163828723"/>
      <w:bookmarkStart w:id="1" w:name="_Toc173315820"/>
    </w:p>
    <w:p w14:paraId="1A0E6B16" w14:textId="15007B71" w:rsidR="00AA2B0D" w:rsidRDefault="00AA2B0D" w:rsidP="002C7AF8">
      <w:pPr>
        <w:pStyle w:val="TOCHeading"/>
      </w:pPr>
      <w:r w:rsidRPr="006D4895">
        <w:lastRenderedPageBreak/>
        <w:t>Content</w:t>
      </w:r>
      <w:r w:rsidR="001D5CDA" w:rsidRPr="006D4895">
        <w:t>s</w:t>
      </w:r>
      <w:bookmarkEnd w:id="0"/>
      <w:bookmarkEnd w:id="1"/>
    </w:p>
    <w:p w14:paraId="55A88D9B" w14:textId="743C6BF7" w:rsidR="00BE1C1F" w:rsidRDefault="00D43E6C">
      <w:pPr>
        <w:pStyle w:val="TOC1"/>
        <w:rPr>
          <w:b w:val="0"/>
          <w:kern w:val="2"/>
          <w:sz w:val="24"/>
          <w:szCs w:val="24"/>
          <w:lang w:eastAsia="en-AU"/>
          <w14:ligatures w14:val="standardContextual"/>
        </w:rPr>
      </w:pPr>
      <w:r>
        <w:fldChar w:fldCharType="begin"/>
      </w:r>
      <w:r>
        <w:instrText xml:space="preserve"> TOC \h \z \t "Syllabus Heading 1,1,Syllabus Appendix Heading 1,1,Syllabus Heading 2,2" </w:instrText>
      </w:r>
      <w:r>
        <w:fldChar w:fldCharType="separate"/>
      </w:r>
      <w:hyperlink w:anchor="_Toc175314864" w:history="1">
        <w:r w:rsidR="00BE1C1F" w:rsidRPr="006A036B">
          <w:rPr>
            <w:rStyle w:val="Hyperlink"/>
          </w:rPr>
          <w:t>Rationale</w:t>
        </w:r>
        <w:r w:rsidR="00BE1C1F">
          <w:rPr>
            <w:webHidden/>
          </w:rPr>
          <w:tab/>
        </w:r>
        <w:r w:rsidR="00BE1C1F">
          <w:rPr>
            <w:webHidden/>
          </w:rPr>
          <w:fldChar w:fldCharType="begin"/>
        </w:r>
        <w:r w:rsidR="00BE1C1F">
          <w:rPr>
            <w:webHidden/>
          </w:rPr>
          <w:instrText xml:space="preserve"> PAGEREF _Toc175314864 \h </w:instrText>
        </w:r>
        <w:r w:rsidR="00BE1C1F">
          <w:rPr>
            <w:webHidden/>
          </w:rPr>
        </w:r>
        <w:r w:rsidR="00BE1C1F">
          <w:rPr>
            <w:webHidden/>
          </w:rPr>
          <w:fldChar w:fldCharType="separate"/>
        </w:r>
        <w:r w:rsidR="00BE1C1F">
          <w:rPr>
            <w:webHidden/>
          </w:rPr>
          <w:t>1</w:t>
        </w:r>
        <w:r w:rsidR="00BE1C1F">
          <w:rPr>
            <w:webHidden/>
          </w:rPr>
          <w:fldChar w:fldCharType="end"/>
        </w:r>
      </w:hyperlink>
    </w:p>
    <w:p w14:paraId="3E4D4C54" w14:textId="17055E3D" w:rsidR="00BE1C1F" w:rsidRDefault="00000000">
      <w:pPr>
        <w:pStyle w:val="TOC1"/>
        <w:rPr>
          <w:b w:val="0"/>
          <w:kern w:val="2"/>
          <w:sz w:val="24"/>
          <w:szCs w:val="24"/>
          <w:lang w:eastAsia="en-AU"/>
          <w14:ligatures w14:val="standardContextual"/>
        </w:rPr>
      </w:pPr>
      <w:hyperlink w:anchor="_Toc175314865" w:history="1">
        <w:r w:rsidR="00BE1C1F" w:rsidRPr="006A036B">
          <w:rPr>
            <w:rStyle w:val="Hyperlink"/>
          </w:rPr>
          <w:t>Aims</w:t>
        </w:r>
        <w:r w:rsidR="00BE1C1F">
          <w:rPr>
            <w:webHidden/>
          </w:rPr>
          <w:tab/>
        </w:r>
        <w:r w:rsidR="00BE1C1F">
          <w:rPr>
            <w:webHidden/>
          </w:rPr>
          <w:fldChar w:fldCharType="begin"/>
        </w:r>
        <w:r w:rsidR="00BE1C1F">
          <w:rPr>
            <w:webHidden/>
          </w:rPr>
          <w:instrText xml:space="preserve"> PAGEREF _Toc175314865 \h </w:instrText>
        </w:r>
        <w:r w:rsidR="00BE1C1F">
          <w:rPr>
            <w:webHidden/>
          </w:rPr>
        </w:r>
        <w:r w:rsidR="00BE1C1F">
          <w:rPr>
            <w:webHidden/>
          </w:rPr>
          <w:fldChar w:fldCharType="separate"/>
        </w:r>
        <w:r w:rsidR="00BE1C1F">
          <w:rPr>
            <w:webHidden/>
          </w:rPr>
          <w:t>2</w:t>
        </w:r>
        <w:r w:rsidR="00BE1C1F">
          <w:rPr>
            <w:webHidden/>
          </w:rPr>
          <w:fldChar w:fldCharType="end"/>
        </w:r>
      </w:hyperlink>
    </w:p>
    <w:p w14:paraId="3675F4E7" w14:textId="111A88C7" w:rsidR="00BE1C1F" w:rsidRDefault="00000000">
      <w:pPr>
        <w:pStyle w:val="TOC1"/>
        <w:rPr>
          <w:b w:val="0"/>
          <w:kern w:val="2"/>
          <w:sz w:val="24"/>
          <w:szCs w:val="24"/>
          <w:lang w:eastAsia="en-AU"/>
          <w14:ligatures w14:val="standardContextual"/>
        </w:rPr>
      </w:pPr>
      <w:hyperlink w:anchor="_Toc175314866" w:history="1">
        <w:r w:rsidR="00BE1C1F" w:rsidRPr="006A036B">
          <w:rPr>
            <w:rStyle w:val="Hyperlink"/>
          </w:rPr>
          <w:t>Organisation</w:t>
        </w:r>
        <w:r w:rsidR="00BE1C1F">
          <w:rPr>
            <w:webHidden/>
          </w:rPr>
          <w:tab/>
        </w:r>
        <w:r w:rsidR="00BE1C1F">
          <w:rPr>
            <w:webHidden/>
          </w:rPr>
          <w:fldChar w:fldCharType="begin"/>
        </w:r>
        <w:r w:rsidR="00BE1C1F">
          <w:rPr>
            <w:webHidden/>
          </w:rPr>
          <w:instrText xml:space="preserve"> PAGEREF _Toc175314866 \h </w:instrText>
        </w:r>
        <w:r w:rsidR="00BE1C1F">
          <w:rPr>
            <w:webHidden/>
          </w:rPr>
        </w:r>
        <w:r w:rsidR="00BE1C1F">
          <w:rPr>
            <w:webHidden/>
          </w:rPr>
          <w:fldChar w:fldCharType="separate"/>
        </w:r>
        <w:r w:rsidR="00BE1C1F">
          <w:rPr>
            <w:webHidden/>
          </w:rPr>
          <w:t>3</w:t>
        </w:r>
        <w:r w:rsidR="00BE1C1F">
          <w:rPr>
            <w:webHidden/>
          </w:rPr>
          <w:fldChar w:fldCharType="end"/>
        </w:r>
      </w:hyperlink>
    </w:p>
    <w:p w14:paraId="66411935" w14:textId="3472B809" w:rsidR="00BE1C1F" w:rsidRDefault="00000000">
      <w:pPr>
        <w:pStyle w:val="TOC2"/>
        <w:tabs>
          <w:tab w:val="right" w:leader="dot" w:pos="9060"/>
        </w:tabs>
        <w:rPr>
          <w:noProof/>
          <w:kern w:val="2"/>
          <w:sz w:val="24"/>
          <w:szCs w:val="24"/>
          <w:lang w:eastAsia="en-AU"/>
          <w14:ligatures w14:val="standardContextual"/>
        </w:rPr>
      </w:pPr>
      <w:hyperlink w:anchor="_Toc175314867" w:history="1">
        <w:r w:rsidR="00BE1C1F" w:rsidRPr="006A036B">
          <w:rPr>
            <w:rStyle w:val="Hyperlink"/>
            <w:noProof/>
          </w:rPr>
          <w:t>Structure of the syllabus</w:t>
        </w:r>
        <w:r w:rsidR="00BE1C1F">
          <w:rPr>
            <w:noProof/>
            <w:webHidden/>
          </w:rPr>
          <w:tab/>
        </w:r>
        <w:r w:rsidR="00BE1C1F">
          <w:rPr>
            <w:noProof/>
            <w:webHidden/>
          </w:rPr>
          <w:fldChar w:fldCharType="begin"/>
        </w:r>
        <w:r w:rsidR="00BE1C1F">
          <w:rPr>
            <w:noProof/>
            <w:webHidden/>
          </w:rPr>
          <w:instrText xml:space="preserve"> PAGEREF _Toc175314867 \h </w:instrText>
        </w:r>
        <w:r w:rsidR="00BE1C1F">
          <w:rPr>
            <w:noProof/>
            <w:webHidden/>
          </w:rPr>
        </w:r>
        <w:r w:rsidR="00BE1C1F">
          <w:rPr>
            <w:noProof/>
            <w:webHidden/>
          </w:rPr>
          <w:fldChar w:fldCharType="separate"/>
        </w:r>
        <w:r w:rsidR="00BE1C1F">
          <w:rPr>
            <w:noProof/>
            <w:webHidden/>
          </w:rPr>
          <w:t>3</w:t>
        </w:r>
        <w:r w:rsidR="00BE1C1F">
          <w:rPr>
            <w:noProof/>
            <w:webHidden/>
          </w:rPr>
          <w:fldChar w:fldCharType="end"/>
        </w:r>
      </w:hyperlink>
    </w:p>
    <w:p w14:paraId="6A70F78B" w14:textId="78930937" w:rsidR="00BE1C1F" w:rsidRDefault="00000000">
      <w:pPr>
        <w:pStyle w:val="TOC2"/>
        <w:tabs>
          <w:tab w:val="right" w:leader="dot" w:pos="9060"/>
        </w:tabs>
        <w:rPr>
          <w:noProof/>
          <w:kern w:val="2"/>
          <w:sz w:val="24"/>
          <w:szCs w:val="24"/>
          <w:lang w:eastAsia="en-AU"/>
          <w14:ligatures w14:val="standardContextual"/>
        </w:rPr>
      </w:pPr>
      <w:hyperlink w:anchor="_Toc175314868" w:history="1">
        <w:r w:rsidR="00BE1C1F" w:rsidRPr="006A036B">
          <w:rPr>
            <w:rStyle w:val="Hyperlink"/>
            <w:noProof/>
          </w:rPr>
          <w:t>Organisation of content</w:t>
        </w:r>
        <w:r w:rsidR="00BE1C1F">
          <w:rPr>
            <w:noProof/>
            <w:webHidden/>
          </w:rPr>
          <w:tab/>
        </w:r>
        <w:r w:rsidR="00BE1C1F">
          <w:rPr>
            <w:noProof/>
            <w:webHidden/>
          </w:rPr>
          <w:fldChar w:fldCharType="begin"/>
        </w:r>
        <w:r w:rsidR="00BE1C1F">
          <w:rPr>
            <w:noProof/>
            <w:webHidden/>
          </w:rPr>
          <w:instrText xml:space="preserve"> PAGEREF _Toc175314868 \h </w:instrText>
        </w:r>
        <w:r w:rsidR="00BE1C1F">
          <w:rPr>
            <w:noProof/>
            <w:webHidden/>
          </w:rPr>
        </w:r>
        <w:r w:rsidR="00BE1C1F">
          <w:rPr>
            <w:noProof/>
            <w:webHidden/>
          </w:rPr>
          <w:fldChar w:fldCharType="separate"/>
        </w:r>
        <w:r w:rsidR="00BE1C1F">
          <w:rPr>
            <w:noProof/>
            <w:webHidden/>
          </w:rPr>
          <w:t>3</w:t>
        </w:r>
        <w:r w:rsidR="00BE1C1F">
          <w:rPr>
            <w:noProof/>
            <w:webHidden/>
          </w:rPr>
          <w:fldChar w:fldCharType="end"/>
        </w:r>
      </w:hyperlink>
    </w:p>
    <w:p w14:paraId="0AD581EA" w14:textId="4CF7B79B" w:rsidR="00BE1C1F" w:rsidRDefault="00000000">
      <w:pPr>
        <w:pStyle w:val="TOC2"/>
        <w:tabs>
          <w:tab w:val="right" w:leader="dot" w:pos="9060"/>
        </w:tabs>
        <w:rPr>
          <w:noProof/>
          <w:kern w:val="2"/>
          <w:sz w:val="24"/>
          <w:szCs w:val="24"/>
          <w:lang w:eastAsia="en-AU"/>
          <w14:ligatures w14:val="standardContextual"/>
        </w:rPr>
      </w:pPr>
      <w:hyperlink w:anchor="_Toc175314869" w:history="1">
        <w:r w:rsidR="00BE1C1F" w:rsidRPr="006A036B">
          <w:rPr>
            <w:rStyle w:val="Hyperlink"/>
            <w:noProof/>
          </w:rPr>
          <w:t>Progression from the Years 7–10 curriculum</w:t>
        </w:r>
        <w:r w:rsidR="00BE1C1F">
          <w:rPr>
            <w:noProof/>
            <w:webHidden/>
          </w:rPr>
          <w:tab/>
        </w:r>
        <w:r w:rsidR="00BE1C1F">
          <w:rPr>
            <w:noProof/>
            <w:webHidden/>
          </w:rPr>
          <w:fldChar w:fldCharType="begin"/>
        </w:r>
        <w:r w:rsidR="00BE1C1F">
          <w:rPr>
            <w:noProof/>
            <w:webHidden/>
          </w:rPr>
          <w:instrText xml:space="preserve"> PAGEREF _Toc175314869 \h </w:instrText>
        </w:r>
        <w:r w:rsidR="00BE1C1F">
          <w:rPr>
            <w:noProof/>
            <w:webHidden/>
          </w:rPr>
        </w:r>
        <w:r w:rsidR="00BE1C1F">
          <w:rPr>
            <w:noProof/>
            <w:webHidden/>
          </w:rPr>
          <w:fldChar w:fldCharType="separate"/>
        </w:r>
        <w:r w:rsidR="00BE1C1F">
          <w:rPr>
            <w:noProof/>
            <w:webHidden/>
          </w:rPr>
          <w:t>3</w:t>
        </w:r>
        <w:r w:rsidR="00BE1C1F">
          <w:rPr>
            <w:noProof/>
            <w:webHidden/>
          </w:rPr>
          <w:fldChar w:fldCharType="end"/>
        </w:r>
      </w:hyperlink>
    </w:p>
    <w:p w14:paraId="3BE5AF7F" w14:textId="747539D0" w:rsidR="00BE1C1F" w:rsidRDefault="00000000">
      <w:pPr>
        <w:pStyle w:val="TOC2"/>
        <w:tabs>
          <w:tab w:val="right" w:leader="dot" w:pos="9060"/>
        </w:tabs>
        <w:rPr>
          <w:noProof/>
          <w:kern w:val="2"/>
          <w:sz w:val="24"/>
          <w:szCs w:val="24"/>
          <w:lang w:eastAsia="en-AU"/>
          <w14:ligatures w14:val="standardContextual"/>
        </w:rPr>
      </w:pPr>
      <w:hyperlink w:anchor="_Toc175314870" w:history="1">
        <w:r w:rsidR="00BE1C1F" w:rsidRPr="006A036B">
          <w:rPr>
            <w:rStyle w:val="Hyperlink"/>
            <w:noProof/>
          </w:rPr>
          <w:t>Representation of the general capabilities</w:t>
        </w:r>
        <w:r w:rsidR="00BE1C1F">
          <w:rPr>
            <w:noProof/>
            <w:webHidden/>
          </w:rPr>
          <w:tab/>
        </w:r>
        <w:r w:rsidR="00BE1C1F">
          <w:rPr>
            <w:noProof/>
            <w:webHidden/>
          </w:rPr>
          <w:fldChar w:fldCharType="begin"/>
        </w:r>
        <w:r w:rsidR="00BE1C1F">
          <w:rPr>
            <w:noProof/>
            <w:webHidden/>
          </w:rPr>
          <w:instrText xml:space="preserve"> PAGEREF _Toc175314870 \h </w:instrText>
        </w:r>
        <w:r w:rsidR="00BE1C1F">
          <w:rPr>
            <w:noProof/>
            <w:webHidden/>
          </w:rPr>
        </w:r>
        <w:r w:rsidR="00BE1C1F">
          <w:rPr>
            <w:noProof/>
            <w:webHidden/>
          </w:rPr>
          <w:fldChar w:fldCharType="separate"/>
        </w:r>
        <w:r w:rsidR="00BE1C1F">
          <w:rPr>
            <w:noProof/>
            <w:webHidden/>
          </w:rPr>
          <w:t>3</w:t>
        </w:r>
        <w:r w:rsidR="00BE1C1F">
          <w:rPr>
            <w:noProof/>
            <w:webHidden/>
          </w:rPr>
          <w:fldChar w:fldCharType="end"/>
        </w:r>
      </w:hyperlink>
    </w:p>
    <w:p w14:paraId="758A6B88" w14:textId="5C1E27EC" w:rsidR="00BE1C1F" w:rsidRDefault="00000000">
      <w:pPr>
        <w:pStyle w:val="TOC2"/>
        <w:tabs>
          <w:tab w:val="right" w:leader="dot" w:pos="9060"/>
        </w:tabs>
        <w:rPr>
          <w:noProof/>
          <w:kern w:val="2"/>
          <w:sz w:val="24"/>
          <w:szCs w:val="24"/>
          <w:lang w:eastAsia="en-AU"/>
          <w14:ligatures w14:val="standardContextual"/>
        </w:rPr>
      </w:pPr>
      <w:hyperlink w:anchor="_Toc175314871" w:history="1">
        <w:r w:rsidR="00BE1C1F" w:rsidRPr="006A036B">
          <w:rPr>
            <w:rStyle w:val="Hyperlink"/>
            <w:noProof/>
          </w:rPr>
          <w:t>Representation of the cross-curriculum priorities</w:t>
        </w:r>
        <w:r w:rsidR="00BE1C1F">
          <w:rPr>
            <w:noProof/>
            <w:webHidden/>
          </w:rPr>
          <w:tab/>
        </w:r>
        <w:r w:rsidR="00BE1C1F">
          <w:rPr>
            <w:noProof/>
            <w:webHidden/>
          </w:rPr>
          <w:fldChar w:fldCharType="begin"/>
        </w:r>
        <w:r w:rsidR="00BE1C1F">
          <w:rPr>
            <w:noProof/>
            <w:webHidden/>
          </w:rPr>
          <w:instrText xml:space="preserve"> PAGEREF _Toc175314871 \h </w:instrText>
        </w:r>
        <w:r w:rsidR="00BE1C1F">
          <w:rPr>
            <w:noProof/>
            <w:webHidden/>
          </w:rPr>
        </w:r>
        <w:r w:rsidR="00BE1C1F">
          <w:rPr>
            <w:noProof/>
            <w:webHidden/>
          </w:rPr>
          <w:fldChar w:fldCharType="separate"/>
        </w:r>
        <w:r w:rsidR="00BE1C1F">
          <w:rPr>
            <w:noProof/>
            <w:webHidden/>
          </w:rPr>
          <w:t>5</w:t>
        </w:r>
        <w:r w:rsidR="00BE1C1F">
          <w:rPr>
            <w:noProof/>
            <w:webHidden/>
          </w:rPr>
          <w:fldChar w:fldCharType="end"/>
        </w:r>
      </w:hyperlink>
    </w:p>
    <w:p w14:paraId="5A4C3CC9" w14:textId="604DCF63" w:rsidR="00BE1C1F" w:rsidRDefault="00000000">
      <w:pPr>
        <w:pStyle w:val="TOC1"/>
        <w:rPr>
          <w:b w:val="0"/>
          <w:kern w:val="2"/>
          <w:sz w:val="24"/>
          <w:szCs w:val="24"/>
          <w:lang w:eastAsia="en-AU"/>
          <w14:ligatures w14:val="standardContextual"/>
        </w:rPr>
      </w:pPr>
      <w:hyperlink w:anchor="_Toc175314872" w:history="1">
        <w:r w:rsidR="00BE1C1F" w:rsidRPr="006A036B">
          <w:rPr>
            <w:rStyle w:val="Hyperlink"/>
          </w:rPr>
          <w:t>Principles and protocols for teaching and learning</w:t>
        </w:r>
        <w:r w:rsidR="00BE1C1F">
          <w:rPr>
            <w:webHidden/>
          </w:rPr>
          <w:tab/>
        </w:r>
        <w:r w:rsidR="00BE1C1F">
          <w:rPr>
            <w:webHidden/>
          </w:rPr>
          <w:fldChar w:fldCharType="begin"/>
        </w:r>
        <w:r w:rsidR="00BE1C1F">
          <w:rPr>
            <w:webHidden/>
          </w:rPr>
          <w:instrText xml:space="preserve"> PAGEREF _Toc175314872 \h </w:instrText>
        </w:r>
        <w:r w:rsidR="00BE1C1F">
          <w:rPr>
            <w:webHidden/>
          </w:rPr>
        </w:r>
        <w:r w:rsidR="00BE1C1F">
          <w:rPr>
            <w:webHidden/>
          </w:rPr>
          <w:fldChar w:fldCharType="separate"/>
        </w:r>
        <w:r w:rsidR="00BE1C1F">
          <w:rPr>
            <w:webHidden/>
          </w:rPr>
          <w:t>6</w:t>
        </w:r>
        <w:r w:rsidR="00BE1C1F">
          <w:rPr>
            <w:webHidden/>
          </w:rPr>
          <w:fldChar w:fldCharType="end"/>
        </w:r>
      </w:hyperlink>
    </w:p>
    <w:p w14:paraId="39C4D8F1" w14:textId="11ED480C" w:rsidR="00BE1C1F" w:rsidRDefault="00000000">
      <w:pPr>
        <w:pStyle w:val="TOC1"/>
        <w:rPr>
          <w:b w:val="0"/>
          <w:kern w:val="2"/>
          <w:sz w:val="24"/>
          <w:szCs w:val="24"/>
          <w:lang w:eastAsia="en-AU"/>
          <w14:ligatures w14:val="standardContextual"/>
        </w:rPr>
      </w:pPr>
      <w:hyperlink w:anchor="_Toc175314873" w:history="1">
        <w:r w:rsidR="00BE1C1F" w:rsidRPr="006A036B">
          <w:rPr>
            <w:rStyle w:val="Hyperlink"/>
          </w:rPr>
          <w:t>Unit 1</w:t>
        </w:r>
        <w:r w:rsidR="00BE1C1F">
          <w:rPr>
            <w:webHidden/>
          </w:rPr>
          <w:tab/>
        </w:r>
        <w:r w:rsidR="00BE1C1F">
          <w:rPr>
            <w:webHidden/>
          </w:rPr>
          <w:fldChar w:fldCharType="begin"/>
        </w:r>
        <w:r w:rsidR="00BE1C1F">
          <w:rPr>
            <w:webHidden/>
          </w:rPr>
          <w:instrText xml:space="preserve"> PAGEREF _Toc175314873 \h </w:instrText>
        </w:r>
        <w:r w:rsidR="00BE1C1F">
          <w:rPr>
            <w:webHidden/>
          </w:rPr>
        </w:r>
        <w:r w:rsidR="00BE1C1F">
          <w:rPr>
            <w:webHidden/>
          </w:rPr>
          <w:fldChar w:fldCharType="separate"/>
        </w:r>
        <w:r w:rsidR="00BE1C1F">
          <w:rPr>
            <w:webHidden/>
          </w:rPr>
          <w:t>8</w:t>
        </w:r>
        <w:r w:rsidR="00BE1C1F">
          <w:rPr>
            <w:webHidden/>
          </w:rPr>
          <w:fldChar w:fldCharType="end"/>
        </w:r>
      </w:hyperlink>
    </w:p>
    <w:p w14:paraId="4FC35AEF" w14:textId="47D643F5" w:rsidR="00BE1C1F" w:rsidRDefault="00000000">
      <w:pPr>
        <w:pStyle w:val="TOC2"/>
        <w:tabs>
          <w:tab w:val="right" w:leader="dot" w:pos="9060"/>
        </w:tabs>
        <w:rPr>
          <w:noProof/>
          <w:kern w:val="2"/>
          <w:sz w:val="24"/>
          <w:szCs w:val="24"/>
          <w:lang w:eastAsia="en-AU"/>
          <w14:ligatures w14:val="standardContextual"/>
        </w:rPr>
      </w:pPr>
      <w:hyperlink w:anchor="_Toc175314874" w:history="1">
        <w:r w:rsidR="00BE1C1F" w:rsidRPr="006A036B">
          <w:rPr>
            <w:rStyle w:val="Hyperlink"/>
            <w:noProof/>
          </w:rPr>
          <w:t>Unit description</w:t>
        </w:r>
        <w:r w:rsidR="00BE1C1F">
          <w:rPr>
            <w:noProof/>
            <w:webHidden/>
          </w:rPr>
          <w:tab/>
        </w:r>
        <w:r w:rsidR="00BE1C1F">
          <w:rPr>
            <w:noProof/>
            <w:webHidden/>
          </w:rPr>
          <w:fldChar w:fldCharType="begin"/>
        </w:r>
        <w:r w:rsidR="00BE1C1F">
          <w:rPr>
            <w:noProof/>
            <w:webHidden/>
          </w:rPr>
          <w:instrText xml:space="preserve"> PAGEREF _Toc175314874 \h </w:instrText>
        </w:r>
        <w:r w:rsidR="00BE1C1F">
          <w:rPr>
            <w:noProof/>
            <w:webHidden/>
          </w:rPr>
        </w:r>
        <w:r w:rsidR="00BE1C1F">
          <w:rPr>
            <w:noProof/>
            <w:webHidden/>
          </w:rPr>
          <w:fldChar w:fldCharType="separate"/>
        </w:r>
        <w:r w:rsidR="00BE1C1F">
          <w:rPr>
            <w:noProof/>
            <w:webHidden/>
          </w:rPr>
          <w:t>8</w:t>
        </w:r>
        <w:r w:rsidR="00BE1C1F">
          <w:rPr>
            <w:noProof/>
            <w:webHidden/>
          </w:rPr>
          <w:fldChar w:fldCharType="end"/>
        </w:r>
      </w:hyperlink>
    </w:p>
    <w:p w14:paraId="1484644F" w14:textId="370972BC" w:rsidR="00BE1C1F" w:rsidRDefault="00000000">
      <w:pPr>
        <w:pStyle w:val="TOC2"/>
        <w:tabs>
          <w:tab w:val="right" w:leader="dot" w:pos="9060"/>
        </w:tabs>
        <w:rPr>
          <w:noProof/>
          <w:kern w:val="2"/>
          <w:sz w:val="24"/>
          <w:szCs w:val="24"/>
          <w:lang w:eastAsia="en-AU"/>
          <w14:ligatures w14:val="standardContextual"/>
        </w:rPr>
      </w:pPr>
      <w:hyperlink w:anchor="_Toc175314875" w:history="1">
        <w:r w:rsidR="00BE1C1F" w:rsidRPr="006A036B">
          <w:rPr>
            <w:rStyle w:val="Hyperlink"/>
            <w:noProof/>
          </w:rPr>
          <w:t>Unit content</w:t>
        </w:r>
        <w:r w:rsidR="00BE1C1F">
          <w:rPr>
            <w:noProof/>
            <w:webHidden/>
          </w:rPr>
          <w:tab/>
        </w:r>
        <w:r w:rsidR="00BE1C1F">
          <w:rPr>
            <w:noProof/>
            <w:webHidden/>
          </w:rPr>
          <w:fldChar w:fldCharType="begin"/>
        </w:r>
        <w:r w:rsidR="00BE1C1F">
          <w:rPr>
            <w:noProof/>
            <w:webHidden/>
          </w:rPr>
          <w:instrText xml:space="preserve"> PAGEREF _Toc175314875 \h </w:instrText>
        </w:r>
        <w:r w:rsidR="00BE1C1F">
          <w:rPr>
            <w:noProof/>
            <w:webHidden/>
          </w:rPr>
        </w:r>
        <w:r w:rsidR="00BE1C1F">
          <w:rPr>
            <w:noProof/>
            <w:webHidden/>
          </w:rPr>
          <w:fldChar w:fldCharType="separate"/>
        </w:r>
        <w:r w:rsidR="00BE1C1F">
          <w:rPr>
            <w:noProof/>
            <w:webHidden/>
          </w:rPr>
          <w:t>8</w:t>
        </w:r>
        <w:r w:rsidR="00BE1C1F">
          <w:rPr>
            <w:noProof/>
            <w:webHidden/>
          </w:rPr>
          <w:fldChar w:fldCharType="end"/>
        </w:r>
      </w:hyperlink>
    </w:p>
    <w:p w14:paraId="3608EA3D" w14:textId="4216490C" w:rsidR="00BE1C1F" w:rsidRDefault="00000000">
      <w:pPr>
        <w:pStyle w:val="TOC1"/>
        <w:rPr>
          <w:b w:val="0"/>
          <w:kern w:val="2"/>
          <w:sz w:val="24"/>
          <w:szCs w:val="24"/>
          <w:lang w:eastAsia="en-AU"/>
          <w14:ligatures w14:val="standardContextual"/>
        </w:rPr>
      </w:pPr>
      <w:hyperlink w:anchor="_Toc175314876" w:history="1">
        <w:r w:rsidR="00BE1C1F" w:rsidRPr="006A036B">
          <w:rPr>
            <w:rStyle w:val="Hyperlink"/>
          </w:rPr>
          <w:t>Unit 2</w:t>
        </w:r>
        <w:r w:rsidR="00BE1C1F">
          <w:rPr>
            <w:webHidden/>
          </w:rPr>
          <w:tab/>
        </w:r>
        <w:r w:rsidR="00BE1C1F">
          <w:rPr>
            <w:webHidden/>
          </w:rPr>
          <w:fldChar w:fldCharType="begin"/>
        </w:r>
        <w:r w:rsidR="00BE1C1F">
          <w:rPr>
            <w:webHidden/>
          </w:rPr>
          <w:instrText xml:space="preserve"> PAGEREF _Toc175314876 \h </w:instrText>
        </w:r>
        <w:r w:rsidR="00BE1C1F">
          <w:rPr>
            <w:webHidden/>
          </w:rPr>
        </w:r>
        <w:r w:rsidR="00BE1C1F">
          <w:rPr>
            <w:webHidden/>
          </w:rPr>
          <w:fldChar w:fldCharType="separate"/>
        </w:r>
        <w:r w:rsidR="00BE1C1F">
          <w:rPr>
            <w:webHidden/>
          </w:rPr>
          <w:t>11</w:t>
        </w:r>
        <w:r w:rsidR="00BE1C1F">
          <w:rPr>
            <w:webHidden/>
          </w:rPr>
          <w:fldChar w:fldCharType="end"/>
        </w:r>
      </w:hyperlink>
    </w:p>
    <w:p w14:paraId="0F0F0134" w14:textId="3742E3B7" w:rsidR="00BE1C1F" w:rsidRDefault="00000000">
      <w:pPr>
        <w:pStyle w:val="TOC2"/>
        <w:tabs>
          <w:tab w:val="right" w:leader="dot" w:pos="9060"/>
        </w:tabs>
        <w:rPr>
          <w:noProof/>
          <w:kern w:val="2"/>
          <w:sz w:val="24"/>
          <w:szCs w:val="24"/>
          <w:lang w:eastAsia="en-AU"/>
          <w14:ligatures w14:val="standardContextual"/>
        </w:rPr>
      </w:pPr>
      <w:hyperlink w:anchor="_Toc175314877" w:history="1">
        <w:r w:rsidR="00BE1C1F" w:rsidRPr="006A036B">
          <w:rPr>
            <w:rStyle w:val="Hyperlink"/>
            <w:noProof/>
          </w:rPr>
          <w:t>Unit description</w:t>
        </w:r>
        <w:r w:rsidR="00BE1C1F">
          <w:rPr>
            <w:noProof/>
            <w:webHidden/>
          </w:rPr>
          <w:tab/>
        </w:r>
        <w:r w:rsidR="00BE1C1F">
          <w:rPr>
            <w:noProof/>
            <w:webHidden/>
          </w:rPr>
          <w:fldChar w:fldCharType="begin"/>
        </w:r>
        <w:r w:rsidR="00BE1C1F">
          <w:rPr>
            <w:noProof/>
            <w:webHidden/>
          </w:rPr>
          <w:instrText xml:space="preserve"> PAGEREF _Toc175314877 \h </w:instrText>
        </w:r>
        <w:r w:rsidR="00BE1C1F">
          <w:rPr>
            <w:noProof/>
            <w:webHidden/>
          </w:rPr>
        </w:r>
        <w:r w:rsidR="00BE1C1F">
          <w:rPr>
            <w:noProof/>
            <w:webHidden/>
          </w:rPr>
          <w:fldChar w:fldCharType="separate"/>
        </w:r>
        <w:r w:rsidR="00BE1C1F">
          <w:rPr>
            <w:noProof/>
            <w:webHidden/>
          </w:rPr>
          <w:t>11</w:t>
        </w:r>
        <w:r w:rsidR="00BE1C1F">
          <w:rPr>
            <w:noProof/>
            <w:webHidden/>
          </w:rPr>
          <w:fldChar w:fldCharType="end"/>
        </w:r>
      </w:hyperlink>
    </w:p>
    <w:p w14:paraId="4DADCF9A" w14:textId="1D2D46B7" w:rsidR="00BE1C1F" w:rsidRDefault="00000000">
      <w:pPr>
        <w:pStyle w:val="TOC2"/>
        <w:tabs>
          <w:tab w:val="right" w:leader="dot" w:pos="9060"/>
        </w:tabs>
        <w:rPr>
          <w:noProof/>
          <w:kern w:val="2"/>
          <w:sz w:val="24"/>
          <w:szCs w:val="24"/>
          <w:lang w:eastAsia="en-AU"/>
          <w14:ligatures w14:val="standardContextual"/>
        </w:rPr>
      </w:pPr>
      <w:hyperlink w:anchor="_Toc175314878" w:history="1">
        <w:r w:rsidR="00BE1C1F" w:rsidRPr="006A036B">
          <w:rPr>
            <w:rStyle w:val="Hyperlink"/>
            <w:noProof/>
          </w:rPr>
          <w:t>Unit content</w:t>
        </w:r>
        <w:r w:rsidR="00BE1C1F">
          <w:rPr>
            <w:noProof/>
            <w:webHidden/>
          </w:rPr>
          <w:tab/>
        </w:r>
        <w:r w:rsidR="00BE1C1F">
          <w:rPr>
            <w:noProof/>
            <w:webHidden/>
          </w:rPr>
          <w:fldChar w:fldCharType="begin"/>
        </w:r>
        <w:r w:rsidR="00BE1C1F">
          <w:rPr>
            <w:noProof/>
            <w:webHidden/>
          </w:rPr>
          <w:instrText xml:space="preserve"> PAGEREF _Toc175314878 \h </w:instrText>
        </w:r>
        <w:r w:rsidR="00BE1C1F">
          <w:rPr>
            <w:noProof/>
            <w:webHidden/>
          </w:rPr>
        </w:r>
        <w:r w:rsidR="00BE1C1F">
          <w:rPr>
            <w:noProof/>
            <w:webHidden/>
          </w:rPr>
          <w:fldChar w:fldCharType="separate"/>
        </w:r>
        <w:r w:rsidR="00BE1C1F">
          <w:rPr>
            <w:noProof/>
            <w:webHidden/>
          </w:rPr>
          <w:t>11</w:t>
        </w:r>
        <w:r w:rsidR="00BE1C1F">
          <w:rPr>
            <w:noProof/>
            <w:webHidden/>
          </w:rPr>
          <w:fldChar w:fldCharType="end"/>
        </w:r>
      </w:hyperlink>
    </w:p>
    <w:p w14:paraId="20022B20" w14:textId="638D7A76" w:rsidR="00BE1C1F" w:rsidRDefault="00000000">
      <w:pPr>
        <w:pStyle w:val="TOC1"/>
        <w:rPr>
          <w:b w:val="0"/>
          <w:kern w:val="2"/>
          <w:sz w:val="24"/>
          <w:szCs w:val="24"/>
          <w:lang w:eastAsia="en-AU"/>
          <w14:ligatures w14:val="standardContextual"/>
        </w:rPr>
      </w:pPr>
      <w:hyperlink w:anchor="_Toc175314879" w:history="1">
        <w:r w:rsidR="00BE1C1F" w:rsidRPr="006A036B">
          <w:rPr>
            <w:rStyle w:val="Hyperlink"/>
          </w:rPr>
          <w:t>Assessment</w:t>
        </w:r>
        <w:r w:rsidR="00BE1C1F">
          <w:rPr>
            <w:webHidden/>
          </w:rPr>
          <w:tab/>
        </w:r>
        <w:r w:rsidR="00BE1C1F">
          <w:rPr>
            <w:webHidden/>
          </w:rPr>
          <w:fldChar w:fldCharType="begin"/>
        </w:r>
        <w:r w:rsidR="00BE1C1F">
          <w:rPr>
            <w:webHidden/>
          </w:rPr>
          <w:instrText xml:space="preserve"> PAGEREF _Toc175314879 \h </w:instrText>
        </w:r>
        <w:r w:rsidR="00BE1C1F">
          <w:rPr>
            <w:webHidden/>
          </w:rPr>
        </w:r>
        <w:r w:rsidR="00BE1C1F">
          <w:rPr>
            <w:webHidden/>
          </w:rPr>
          <w:fldChar w:fldCharType="separate"/>
        </w:r>
        <w:r w:rsidR="00BE1C1F">
          <w:rPr>
            <w:webHidden/>
          </w:rPr>
          <w:t>15</w:t>
        </w:r>
        <w:r w:rsidR="00BE1C1F">
          <w:rPr>
            <w:webHidden/>
          </w:rPr>
          <w:fldChar w:fldCharType="end"/>
        </w:r>
      </w:hyperlink>
    </w:p>
    <w:p w14:paraId="0E3D3ED9" w14:textId="10F75EF0" w:rsidR="00BE1C1F" w:rsidRDefault="00000000">
      <w:pPr>
        <w:pStyle w:val="TOC2"/>
        <w:tabs>
          <w:tab w:val="right" w:leader="dot" w:pos="9060"/>
        </w:tabs>
        <w:rPr>
          <w:noProof/>
          <w:kern w:val="2"/>
          <w:sz w:val="24"/>
          <w:szCs w:val="24"/>
          <w:lang w:eastAsia="en-AU"/>
          <w14:ligatures w14:val="standardContextual"/>
        </w:rPr>
      </w:pPr>
      <w:hyperlink w:anchor="_Toc175314880" w:history="1">
        <w:r w:rsidR="00BE1C1F" w:rsidRPr="006A036B">
          <w:rPr>
            <w:rStyle w:val="Hyperlink"/>
            <w:noProof/>
          </w:rPr>
          <w:t>School-based assessment</w:t>
        </w:r>
        <w:r w:rsidR="00BE1C1F">
          <w:rPr>
            <w:noProof/>
            <w:webHidden/>
          </w:rPr>
          <w:tab/>
        </w:r>
        <w:r w:rsidR="00BE1C1F">
          <w:rPr>
            <w:noProof/>
            <w:webHidden/>
          </w:rPr>
          <w:fldChar w:fldCharType="begin"/>
        </w:r>
        <w:r w:rsidR="00BE1C1F">
          <w:rPr>
            <w:noProof/>
            <w:webHidden/>
          </w:rPr>
          <w:instrText xml:space="preserve"> PAGEREF _Toc175314880 \h </w:instrText>
        </w:r>
        <w:r w:rsidR="00BE1C1F">
          <w:rPr>
            <w:noProof/>
            <w:webHidden/>
          </w:rPr>
        </w:r>
        <w:r w:rsidR="00BE1C1F">
          <w:rPr>
            <w:noProof/>
            <w:webHidden/>
          </w:rPr>
          <w:fldChar w:fldCharType="separate"/>
        </w:r>
        <w:r w:rsidR="00BE1C1F">
          <w:rPr>
            <w:noProof/>
            <w:webHidden/>
          </w:rPr>
          <w:t>16</w:t>
        </w:r>
        <w:r w:rsidR="00BE1C1F">
          <w:rPr>
            <w:noProof/>
            <w:webHidden/>
          </w:rPr>
          <w:fldChar w:fldCharType="end"/>
        </w:r>
      </w:hyperlink>
    </w:p>
    <w:p w14:paraId="5EA0C49A" w14:textId="246E9414" w:rsidR="00BE1C1F" w:rsidRDefault="00000000">
      <w:pPr>
        <w:pStyle w:val="TOC2"/>
        <w:tabs>
          <w:tab w:val="right" w:leader="dot" w:pos="9060"/>
        </w:tabs>
        <w:rPr>
          <w:noProof/>
          <w:kern w:val="2"/>
          <w:sz w:val="24"/>
          <w:szCs w:val="24"/>
          <w:lang w:eastAsia="en-AU"/>
          <w14:ligatures w14:val="standardContextual"/>
        </w:rPr>
      </w:pPr>
      <w:hyperlink w:anchor="_Toc175314881" w:history="1">
        <w:r w:rsidR="00BE1C1F" w:rsidRPr="006A036B">
          <w:rPr>
            <w:rStyle w:val="Hyperlink"/>
            <w:noProof/>
          </w:rPr>
          <w:t>Assessment table – Year 11</w:t>
        </w:r>
        <w:r w:rsidR="00BE1C1F">
          <w:rPr>
            <w:noProof/>
            <w:webHidden/>
          </w:rPr>
          <w:tab/>
        </w:r>
        <w:r w:rsidR="00BE1C1F">
          <w:rPr>
            <w:noProof/>
            <w:webHidden/>
          </w:rPr>
          <w:fldChar w:fldCharType="begin"/>
        </w:r>
        <w:r w:rsidR="00BE1C1F">
          <w:rPr>
            <w:noProof/>
            <w:webHidden/>
          </w:rPr>
          <w:instrText xml:space="preserve"> PAGEREF _Toc175314881 \h </w:instrText>
        </w:r>
        <w:r w:rsidR="00BE1C1F">
          <w:rPr>
            <w:noProof/>
            <w:webHidden/>
          </w:rPr>
        </w:r>
        <w:r w:rsidR="00BE1C1F">
          <w:rPr>
            <w:noProof/>
            <w:webHidden/>
          </w:rPr>
          <w:fldChar w:fldCharType="separate"/>
        </w:r>
        <w:r w:rsidR="00BE1C1F">
          <w:rPr>
            <w:noProof/>
            <w:webHidden/>
          </w:rPr>
          <w:t>17</w:t>
        </w:r>
        <w:r w:rsidR="00BE1C1F">
          <w:rPr>
            <w:noProof/>
            <w:webHidden/>
          </w:rPr>
          <w:fldChar w:fldCharType="end"/>
        </w:r>
      </w:hyperlink>
    </w:p>
    <w:p w14:paraId="58A32382" w14:textId="1664470C" w:rsidR="00BE1C1F" w:rsidRDefault="00000000">
      <w:pPr>
        <w:pStyle w:val="TOC2"/>
        <w:tabs>
          <w:tab w:val="right" w:leader="dot" w:pos="9060"/>
        </w:tabs>
        <w:rPr>
          <w:noProof/>
          <w:kern w:val="2"/>
          <w:sz w:val="24"/>
          <w:szCs w:val="24"/>
          <w:lang w:eastAsia="en-AU"/>
          <w14:ligatures w14:val="standardContextual"/>
        </w:rPr>
      </w:pPr>
      <w:hyperlink w:anchor="_Toc175314882" w:history="1">
        <w:r w:rsidR="00BE1C1F" w:rsidRPr="006A036B">
          <w:rPr>
            <w:rStyle w:val="Hyperlink"/>
            <w:noProof/>
          </w:rPr>
          <w:t>Reporting</w:t>
        </w:r>
        <w:r w:rsidR="00BE1C1F">
          <w:rPr>
            <w:noProof/>
            <w:webHidden/>
          </w:rPr>
          <w:tab/>
        </w:r>
        <w:r w:rsidR="00BE1C1F">
          <w:rPr>
            <w:noProof/>
            <w:webHidden/>
          </w:rPr>
          <w:fldChar w:fldCharType="begin"/>
        </w:r>
        <w:r w:rsidR="00BE1C1F">
          <w:rPr>
            <w:noProof/>
            <w:webHidden/>
          </w:rPr>
          <w:instrText xml:space="preserve"> PAGEREF _Toc175314882 \h </w:instrText>
        </w:r>
        <w:r w:rsidR="00BE1C1F">
          <w:rPr>
            <w:noProof/>
            <w:webHidden/>
          </w:rPr>
        </w:r>
        <w:r w:rsidR="00BE1C1F">
          <w:rPr>
            <w:noProof/>
            <w:webHidden/>
          </w:rPr>
          <w:fldChar w:fldCharType="separate"/>
        </w:r>
        <w:r w:rsidR="00BE1C1F">
          <w:rPr>
            <w:noProof/>
            <w:webHidden/>
          </w:rPr>
          <w:t>18</w:t>
        </w:r>
        <w:r w:rsidR="00BE1C1F">
          <w:rPr>
            <w:noProof/>
            <w:webHidden/>
          </w:rPr>
          <w:fldChar w:fldCharType="end"/>
        </w:r>
      </w:hyperlink>
    </w:p>
    <w:p w14:paraId="05960AB9" w14:textId="1FE184C6" w:rsidR="00BE1C1F" w:rsidRDefault="00000000">
      <w:pPr>
        <w:pStyle w:val="TOC1"/>
        <w:rPr>
          <w:b w:val="0"/>
          <w:kern w:val="2"/>
          <w:sz w:val="24"/>
          <w:szCs w:val="24"/>
          <w:lang w:eastAsia="en-AU"/>
          <w14:ligatures w14:val="standardContextual"/>
        </w:rPr>
      </w:pPr>
      <w:hyperlink w:anchor="_Toc175314883" w:history="1">
        <w:r w:rsidR="00BE1C1F" w:rsidRPr="006A036B">
          <w:rPr>
            <w:rStyle w:val="Hyperlink"/>
          </w:rPr>
          <w:t>Appendix 1 – Grade descriptions Year 11</w:t>
        </w:r>
        <w:r w:rsidR="00BE1C1F">
          <w:rPr>
            <w:webHidden/>
          </w:rPr>
          <w:tab/>
        </w:r>
        <w:r w:rsidR="00BE1C1F">
          <w:rPr>
            <w:webHidden/>
          </w:rPr>
          <w:fldChar w:fldCharType="begin"/>
        </w:r>
        <w:r w:rsidR="00BE1C1F">
          <w:rPr>
            <w:webHidden/>
          </w:rPr>
          <w:instrText xml:space="preserve"> PAGEREF _Toc175314883 \h </w:instrText>
        </w:r>
        <w:r w:rsidR="00BE1C1F">
          <w:rPr>
            <w:webHidden/>
          </w:rPr>
        </w:r>
        <w:r w:rsidR="00BE1C1F">
          <w:rPr>
            <w:webHidden/>
          </w:rPr>
          <w:fldChar w:fldCharType="separate"/>
        </w:r>
        <w:r w:rsidR="00BE1C1F">
          <w:rPr>
            <w:webHidden/>
          </w:rPr>
          <w:t>19</w:t>
        </w:r>
        <w:r w:rsidR="00BE1C1F">
          <w:rPr>
            <w:webHidden/>
          </w:rPr>
          <w:fldChar w:fldCharType="end"/>
        </w:r>
      </w:hyperlink>
    </w:p>
    <w:p w14:paraId="3DF6AB3D" w14:textId="6825FC2C" w:rsidR="00D66B40" w:rsidRDefault="00D43E6C" w:rsidP="00D66B40">
      <w:r>
        <w:fldChar w:fldCharType="end"/>
      </w:r>
    </w:p>
    <w:p w14:paraId="4A48AFC2" w14:textId="77777777" w:rsidR="00D66B40" w:rsidRDefault="00D66B40" w:rsidP="00D66B40">
      <w:pPr>
        <w:sectPr w:rsidR="00D66B40" w:rsidSect="002C7AF8">
          <w:footerReference w:type="even" r:id="rId10"/>
          <w:pgSz w:w="11906" w:h="16838"/>
          <w:pgMar w:top="1644" w:right="1418" w:bottom="1276" w:left="1418" w:header="680" w:footer="567" w:gutter="0"/>
          <w:pgNumType w:start="1"/>
          <w:cols w:space="709"/>
          <w:docGrid w:linePitch="360"/>
        </w:sectPr>
      </w:pPr>
    </w:p>
    <w:p w14:paraId="1B19C2F5" w14:textId="3ECA1C71" w:rsidR="000D3832" w:rsidRPr="001D5CDA" w:rsidRDefault="00D66B40" w:rsidP="00D66B40">
      <w:pPr>
        <w:pStyle w:val="SyllabusHeading1"/>
      </w:pPr>
      <w:bookmarkStart w:id="2" w:name="_Toc347908199"/>
      <w:bookmarkStart w:id="3" w:name="_Toc173315821"/>
      <w:bookmarkStart w:id="4" w:name="_Toc175314864"/>
      <w:r>
        <w:lastRenderedPageBreak/>
        <w:t>R</w:t>
      </w:r>
      <w:r w:rsidR="000D3832" w:rsidRPr="001D5CDA">
        <w:t>ationale</w:t>
      </w:r>
      <w:bookmarkEnd w:id="2"/>
      <w:bookmarkEnd w:id="3"/>
      <w:bookmarkEnd w:id="4"/>
    </w:p>
    <w:p w14:paraId="3DC87C10" w14:textId="2C3D79EB" w:rsidR="005747C5" w:rsidRPr="00272401" w:rsidRDefault="005747C5" w:rsidP="001D5CDA">
      <w:r w:rsidRPr="00272401">
        <w:t>Australian First Nations Peoples’ histories and cultures are fundamental to the development of Australian identity an</w:t>
      </w:r>
      <w:r>
        <w:t xml:space="preserve">d the formation of </w:t>
      </w:r>
      <w:r w:rsidRPr="00272401">
        <w:t xml:space="preserve">Australian </w:t>
      </w:r>
      <w:r>
        <w:t>society. The recognition of Australia’s First Nations P</w:t>
      </w:r>
      <w:r w:rsidRPr="00272401">
        <w:t>eople</w:t>
      </w:r>
      <w:r>
        <w:t>s</w:t>
      </w:r>
      <w:r w:rsidRPr="00272401">
        <w:t xml:space="preserve"> as the oldest living continuous cultures in the world provides a logical starting point for </w:t>
      </w:r>
      <w:r>
        <w:t>this course. S</w:t>
      </w:r>
      <w:r w:rsidRPr="00272401">
        <w:t>tudents explore and investigate the concept of culture, the diversity of cultural expressions and how these cultural expressions continue, maintain, share and revitalise First Nations Peoples</w:t>
      </w:r>
      <w:r>
        <w:t>’</w:t>
      </w:r>
      <w:r w:rsidRPr="00272401">
        <w:t xml:space="preserve"> cultural knowledge and enrich t</w:t>
      </w:r>
      <w:r>
        <w:t>he identity of all Australians.</w:t>
      </w:r>
    </w:p>
    <w:p w14:paraId="4F4C4EA6" w14:textId="77777777" w:rsidR="005747C5" w:rsidRPr="00272401" w:rsidRDefault="005747C5" w:rsidP="001D5CDA">
      <w:r w:rsidRPr="00272401">
        <w:t>Students learn about the diversity of First Nations Peoples. They explore a wide range of political, social, historical, legal</w:t>
      </w:r>
      <w:r>
        <w:t>, economic</w:t>
      </w:r>
      <w:r w:rsidRPr="00272401">
        <w:t xml:space="preserve"> and environmental issues from an intercultural perspective. They analyse First Nations Peoples’ experiences in Australian society, using a range of approaches. These include comparative studies, investigating the ex</w:t>
      </w:r>
      <w:r>
        <w:t>periences of First Nations Peoples’</w:t>
      </w:r>
      <w:r w:rsidRPr="00272401">
        <w:t xml:space="preserve"> communities </w:t>
      </w:r>
      <w:r>
        <w:t xml:space="preserve">within Australia and </w:t>
      </w:r>
      <w:r w:rsidRPr="00272401">
        <w:t>elsewhere in the world. The importance of ethical considerations in the investigation of cultural and social issues is emphasised.</w:t>
      </w:r>
    </w:p>
    <w:p w14:paraId="3D72122B" w14:textId="26529691" w:rsidR="005747C5" w:rsidRPr="00272401" w:rsidRDefault="005747C5" w:rsidP="001D5CDA">
      <w:r w:rsidRPr="00272401">
        <w:t xml:space="preserve">The </w:t>
      </w:r>
      <w:r>
        <w:t>Aboriginal</w:t>
      </w:r>
      <w:r w:rsidRPr="00272401">
        <w:t xml:space="preserve"> and Intercultural Studies </w:t>
      </w:r>
      <w:r>
        <w:t>ATAR</w:t>
      </w:r>
      <w:r w:rsidRPr="00272401">
        <w:t xml:space="preserve"> course provides</w:t>
      </w:r>
      <w:r>
        <w:t xml:space="preserve"> opportunities</w:t>
      </w:r>
      <w:r w:rsidRPr="00272401">
        <w:t xml:space="preserve"> for </w:t>
      </w:r>
      <w:r w:rsidRPr="00BA223C">
        <w:t xml:space="preserve">students </w:t>
      </w:r>
      <w:r>
        <w:t xml:space="preserve">from all cultures </w:t>
      </w:r>
      <w:r w:rsidRPr="00BA223C">
        <w:t>to explore and involve themselves in active reconciliation. This course affirms the cultural experience and identity of Australian First Nations students. All students h</w:t>
      </w:r>
      <w:r>
        <w:t>ave opportunities to learn from</w:t>
      </w:r>
      <w:r w:rsidRPr="00BA223C">
        <w:t xml:space="preserve"> Austra</w:t>
      </w:r>
      <w:r>
        <w:t>lian First Nations Peoples and/</w:t>
      </w:r>
      <w:r w:rsidRPr="00BA223C">
        <w:t>or through sources of First Nations Peoples</w:t>
      </w:r>
      <w:r>
        <w:t>’</w:t>
      </w:r>
      <w:r w:rsidRPr="00BA223C">
        <w:t xml:space="preserve"> voices and perspectives.</w:t>
      </w:r>
    </w:p>
    <w:p w14:paraId="3C471DED" w14:textId="6DA083AE" w:rsidR="00616036" w:rsidRDefault="005747C5" w:rsidP="001D5CDA">
      <w:r w:rsidRPr="00446D0F">
        <w:t xml:space="preserve">Understanding and valuing cultural diversity are key skills both for citizenship in contemporary multicultural Australia and for participation in an increasingly global community. The </w:t>
      </w:r>
      <w:r w:rsidRPr="00446D0F">
        <w:rPr>
          <w:iCs/>
        </w:rPr>
        <w:t>A</w:t>
      </w:r>
      <w:r>
        <w:rPr>
          <w:iCs/>
        </w:rPr>
        <w:t>boriginal</w:t>
      </w:r>
      <w:r w:rsidRPr="00446D0F">
        <w:rPr>
          <w:iCs/>
        </w:rPr>
        <w:t xml:space="preserve"> and Intercultural Studies</w:t>
      </w:r>
      <w:r w:rsidRPr="00446D0F">
        <w:t xml:space="preserve"> </w:t>
      </w:r>
      <w:r>
        <w:t xml:space="preserve">ATAR </w:t>
      </w:r>
      <w:r w:rsidRPr="00446D0F">
        <w:t>course is intended to equip students with the knowledge, skills and values to be active citizens at the local, national and global levels. These skills are also highly valued in today’s workplaces. The ability to work effectively in a culturally diverse environment is important in a wide range of vocational contexts.</w:t>
      </w:r>
    </w:p>
    <w:p w14:paraId="6E40BACD" w14:textId="54B3FA56" w:rsidR="00220381" w:rsidRPr="00A66782" w:rsidRDefault="00220381" w:rsidP="00A66782">
      <w:r>
        <w:br w:type="page"/>
      </w:r>
    </w:p>
    <w:p w14:paraId="40FB68D4" w14:textId="77777777" w:rsidR="005747C5" w:rsidRPr="007A0D1C" w:rsidRDefault="005747C5" w:rsidP="006D4895">
      <w:pPr>
        <w:pStyle w:val="SyllabusHeading1"/>
      </w:pPr>
      <w:bookmarkStart w:id="5" w:name="_Toc32576610"/>
      <w:bookmarkStart w:id="6" w:name="_Toc76735161"/>
      <w:bookmarkStart w:id="7" w:name="_Toc114664259"/>
      <w:bookmarkStart w:id="8" w:name="_Toc173315822"/>
      <w:bookmarkStart w:id="9" w:name="_Toc175314865"/>
      <w:bookmarkStart w:id="10" w:name="_Toc347908200"/>
      <w:r w:rsidRPr="007A0D1C">
        <w:lastRenderedPageBreak/>
        <w:t>Aims</w:t>
      </w:r>
      <w:bookmarkEnd w:id="5"/>
      <w:bookmarkEnd w:id="6"/>
      <w:bookmarkEnd w:id="7"/>
      <w:bookmarkEnd w:id="8"/>
      <w:bookmarkEnd w:id="9"/>
    </w:p>
    <w:p w14:paraId="07F1662F" w14:textId="0278AE97" w:rsidR="005747C5" w:rsidRPr="005940F2" w:rsidRDefault="005747C5" w:rsidP="005940F2">
      <w:r w:rsidRPr="005940F2">
        <w:t xml:space="preserve">The Aboriginal and Intercultural Studies </w:t>
      </w:r>
      <w:r w:rsidR="007F2BBD" w:rsidRPr="005940F2">
        <w:t>ATAR</w:t>
      </w:r>
      <w:r w:rsidRPr="005940F2">
        <w:t xml:space="preserve"> course enables students to:</w:t>
      </w:r>
    </w:p>
    <w:p w14:paraId="52E9D265" w14:textId="0CD4DCAA" w:rsidR="005747C5" w:rsidRPr="00795F9D" w:rsidRDefault="005747C5" w:rsidP="00795F9D">
      <w:pPr>
        <w:pStyle w:val="SyllabusListParagraph"/>
      </w:pPr>
      <w:r w:rsidRPr="00795F9D">
        <w:t>develop and further build knowledge and understanding of Australian First Nations Peoples as being the oldest living continuous cultures in the world</w:t>
      </w:r>
    </w:p>
    <w:p w14:paraId="6F3944CE" w14:textId="77777777" w:rsidR="005747C5" w:rsidRPr="00795F9D" w:rsidRDefault="005747C5" w:rsidP="00795F9D">
      <w:pPr>
        <w:pStyle w:val="SyllabusListParagraph"/>
      </w:pPr>
      <w:r w:rsidRPr="00795F9D">
        <w:t>develop and further build an awareness of the ways First Nations Peoples’ identities are expressed through unique ways of being, knowing and doing</w:t>
      </w:r>
    </w:p>
    <w:p w14:paraId="0311840E" w14:textId="77777777" w:rsidR="005747C5" w:rsidRPr="00795F9D" w:rsidRDefault="005747C5" w:rsidP="00795F9D">
      <w:pPr>
        <w:pStyle w:val="SyllabusListParagraph"/>
      </w:pPr>
      <w:r w:rsidRPr="00795F9D">
        <w:t>develop and further build knowledge and understanding that there are different and changing perspectives of history and that these inform and influence people’s actions</w:t>
      </w:r>
    </w:p>
    <w:p w14:paraId="5203D23E" w14:textId="77777777" w:rsidR="005747C5" w:rsidRPr="00795F9D" w:rsidRDefault="005747C5" w:rsidP="00795F9D">
      <w:pPr>
        <w:pStyle w:val="SyllabusListParagraph"/>
      </w:pPr>
      <w:r w:rsidRPr="00795F9D">
        <w:t>develop and further build knowledge and understanding that members of different cultures have different world views as a result of their beliefs, values, practices and experiences</w:t>
      </w:r>
    </w:p>
    <w:p w14:paraId="77A58776" w14:textId="77777777" w:rsidR="005747C5" w:rsidRPr="00795F9D" w:rsidRDefault="005747C5" w:rsidP="00795F9D">
      <w:pPr>
        <w:pStyle w:val="SyllabusListParagraph"/>
      </w:pPr>
      <w:r w:rsidRPr="00795F9D">
        <w:t>acknowledge and celebrate the diversity and richness of Australian First Nations Peoples’ histories and cultures</w:t>
      </w:r>
    </w:p>
    <w:p w14:paraId="244AC323" w14:textId="77777777" w:rsidR="005747C5" w:rsidRPr="00795F9D" w:rsidRDefault="005747C5" w:rsidP="00795F9D">
      <w:pPr>
        <w:pStyle w:val="SyllabusListParagraph"/>
      </w:pPr>
      <w:r w:rsidRPr="00795F9D">
        <w:t>develop critical thinking skills, including ethical research skills</w:t>
      </w:r>
    </w:p>
    <w:p w14:paraId="632CE690" w14:textId="77777777" w:rsidR="005747C5" w:rsidRPr="00795F9D" w:rsidRDefault="005747C5" w:rsidP="00795F9D">
      <w:pPr>
        <w:pStyle w:val="SyllabusListParagraph"/>
      </w:pPr>
      <w:r w:rsidRPr="00795F9D">
        <w:t>develop empathy and respect for the ways people think, feel and act</w:t>
      </w:r>
    </w:p>
    <w:p w14:paraId="577BFE90" w14:textId="77777777" w:rsidR="005747C5" w:rsidRPr="00795F9D" w:rsidRDefault="005747C5" w:rsidP="00795F9D">
      <w:pPr>
        <w:pStyle w:val="SyllabusListParagraph"/>
      </w:pPr>
      <w:r w:rsidRPr="00795F9D">
        <w:t>become active and informed advocates for a just and inclusive world</w:t>
      </w:r>
    </w:p>
    <w:p w14:paraId="279F645F" w14:textId="1FD06F5D" w:rsidR="005747C5" w:rsidRPr="00795F9D" w:rsidRDefault="005747C5" w:rsidP="00795F9D">
      <w:pPr>
        <w:pStyle w:val="SyllabusListParagraph"/>
      </w:pPr>
      <w:r w:rsidRPr="00795F9D">
        <w:t>engage in reconciliation, respect and recognition of the world’s oldest continuous living cultures.</w:t>
      </w:r>
      <w:bookmarkEnd w:id="10"/>
    </w:p>
    <w:p w14:paraId="75EC891B" w14:textId="102636B7" w:rsidR="004C3D18" w:rsidRPr="00C44608" w:rsidRDefault="004C3D18" w:rsidP="00B70AA7">
      <w:pPr>
        <w:pStyle w:val="SyllabusListParagraph"/>
      </w:pPr>
      <w:bookmarkStart w:id="11" w:name="_Toc359483727"/>
      <w:bookmarkStart w:id="12" w:name="_Toc347908207"/>
      <w:bookmarkStart w:id="13" w:name="_Toc347908206"/>
      <w:r w:rsidRPr="00C44608">
        <w:br w:type="page"/>
      </w:r>
    </w:p>
    <w:p w14:paraId="0E54D0DD" w14:textId="7D794F43" w:rsidR="00943A44" w:rsidRPr="00A93F91" w:rsidRDefault="00943A44" w:rsidP="006D4895">
      <w:pPr>
        <w:pStyle w:val="SyllabusHeading1"/>
      </w:pPr>
      <w:bookmarkStart w:id="14" w:name="_Toc173315823"/>
      <w:bookmarkStart w:id="15" w:name="_Toc175314866"/>
      <w:r w:rsidRPr="00A93F91">
        <w:lastRenderedPageBreak/>
        <w:t>Organisation</w:t>
      </w:r>
      <w:bookmarkEnd w:id="11"/>
      <w:bookmarkEnd w:id="14"/>
      <w:bookmarkEnd w:id="15"/>
    </w:p>
    <w:p w14:paraId="66DD7218" w14:textId="77777777" w:rsidR="008F2FF8" w:rsidRPr="004C3D18" w:rsidRDefault="008F2FF8" w:rsidP="00795F9D">
      <w:pPr>
        <w:rPr>
          <w:rFonts w:ascii="Calibri" w:hAnsi="Calibri" w:cs="Calibri"/>
        </w:rPr>
      </w:pPr>
      <w:bookmarkStart w:id="16" w:name="_Toc359483728"/>
      <w:r w:rsidRPr="004C3D18">
        <w:rPr>
          <w:rFonts w:ascii="Calibri" w:hAnsi="Calibri" w:cs="Calibri"/>
        </w:rPr>
        <w:t xml:space="preserve">This course is organised into a Year 11 syllabus and a Year 12 syllabus. The cognitive complexity of the syllabus </w:t>
      </w:r>
      <w:r w:rsidRPr="00795F9D">
        <w:t>content</w:t>
      </w:r>
      <w:r w:rsidRPr="004C3D18">
        <w:rPr>
          <w:rFonts w:ascii="Calibri" w:hAnsi="Calibri" w:cs="Calibri"/>
        </w:rPr>
        <w:t xml:space="preserve"> increases from Year 11 to Year 12.</w:t>
      </w:r>
    </w:p>
    <w:p w14:paraId="586EEB51" w14:textId="41D6D91B" w:rsidR="00943A44" w:rsidRPr="007A0D1C" w:rsidRDefault="00943A44" w:rsidP="006D4895">
      <w:pPr>
        <w:pStyle w:val="SyllabusHeading2"/>
      </w:pPr>
      <w:bookmarkStart w:id="17" w:name="_Toc173315824"/>
      <w:bookmarkStart w:id="18" w:name="_Toc175314867"/>
      <w:r w:rsidRPr="007A0D1C">
        <w:t>Structure of the syllabus</w:t>
      </w:r>
      <w:bookmarkEnd w:id="16"/>
      <w:bookmarkEnd w:id="17"/>
      <w:bookmarkEnd w:id="18"/>
    </w:p>
    <w:p w14:paraId="32467225" w14:textId="298B1FB6" w:rsidR="002C61E6" w:rsidRPr="00924D3A" w:rsidRDefault="00943A44" w:rsidP="00795F9D">
      <w:pPr>
        <w:rPr>
          <w:rFonts w:ascii="Calibri" w:hAnsi="Calibri" w:cs="Calibri"/>
        </w:rPr>
      </w:pPr>
      <w:r w:rsidRPr="00924D3A">
        <w:rPr>
          <w:rFonts w:ascii="Calibri" w:hAnsi="Calibri" w:cs="Calibri"/>
        </w:rPr>
        <w:t>The Year 11 syllabus is divided into two units</w:t>
      </w:r>
      <w:r w:rsidR="00B60430" w:rsidRPr="00924D3A">
        <w:rPr>
          <w:rFonts w:ascii="Calibri" w:hAnsi="Calibri" w:cs="Calibri"/>
        </w:rPr>
        <w:t>,</w:t>
      </w:r>
      <w:r w:rsidRPr="00924D3A">
        <w:rPr>
          <w:rFonts w:ascii="Calibri" w:hAnsi="Calibri" w:cs="Calibri"/>
        </w:rPr>
        <w:t xml:space="preserve"> each of one semester duration</w:t>
      </w:r>
      <w:r w:rsidR="00B60430" w:rsidRPr="00924D3A">
        <w:rPr>
          <w:rFonts w:ascii="Calibri" w:hAnsi="Calibri" w:cs="Calibri"/>
        </w:rPr>
        <w:t>,</w:t>
      </w:r>
      <w:r w:rsidRPr="00924D3A">
        <w:rPr>
          <w:rFonts w:ascii="Calibri" w:hAnsi="Calibri" w:cs="Calibri"/>
        </w:rPr>
        <w:t xml:space="preserve"> which are typically delivered as a pair.</w:t>
      </w:r>
      <w:r w:rsidR="002C61E6" w:rsidRPr="00924D3A">
        <w:rPr>
          <w:rFonts w:ascii="Calibri" w:hAnsi="Calibri" w:cs="Calibri"/>
        </w:rPr>
        <w:t xml:space="preserve"> </w:t>
      </w:r>
      <w:r w:rsidR="002C61E6" w:rsidRPr="00795F9D">
        <w:t>The</w:t>
      </w:r>
      <w:r w:rsidR="002C61E6" w:rsidRPr="00924D3A">
        <w:rPr>
          <w:rFonts w:ascii="Calibri" w:hAnsi="Calibri" w:cs="Calibri"/>
        </w:rPr>
        <w:t xml:space="preserve"> notional </w:t>
      </w:r>
      <w:r w:rsidR="003D3E71" w:rsidRPr="00924D3A">
        <w:rPr>
          <w:rFonts w:ascii="Calibri" w:hAnsi="Calibri" w:cs="Calibri"/>
        </w:rPr>
        <w:t>time</w:t>
      </w:r>
      <w:r w:rsidR="002C61E6" w:rsidRPr="00924D3A">
        <w:rPr>
          <w:rFonts w:ascii="Calibri" w:hAnsi="Calibri" w:cs="Calibri"/>
        </w:rPr>
        <w:t xml:space="preserve"> for each unit </w:t>
      </w:r>
      <w:r w:rsidR="003D3E71" w:rsidRPr="00924D3A">
        <w:rPr>
          <w:rFonts w:ascii="Calibri" w:hAnsi="Calibri" w:cs="Calibri"/>
        </w:rPr>
        <w:t>is</w:t>
      </w:r>
      <w:r w:rsidR="002C61E6" w:rsidRPr="00924D3A">
        <w:rPr>
          <w:rFonts w:ascii="Calibri" w:hAnsi="Calibri" w:cs="Calibri"/>
        </w:rPr>
        <w:t xml:space="preserve"> 55 class contact hours.</w:t>
      </w:r>
    </w:p>
    <w:p w14:paraId="5395C89C" w14:textId="6A53BD1E" w:rsidR="00943A44" w:rsidRPr="00A93F91" w:rsidRDefault="00943A44" w:rsidP="006D4895">
      <w:pPr>
        <w:pStyle w:val="SyllabusHeading3"/>
      </w:pPr>
      <w:r w:rsidRPr="00A93F91">
        <w:t>Unit 1</w:t>
      </w:r>
    </w:p>
    <w:p w14:paraId="77ADB83A" w14:textId="7D058B42" w:rsidR="003A6F8D" w:rsidRPr="003A6F8D" w:rsidRDefault="003A6F8D" w:rsidP="00795F9D">
      <w:pPr>
        <w:rPr>
          <w:rFonts w:cs="Times New Roman"/>
        </w:rPr>
      </w:pPr>
      <w:r w:rsidRPr="003A6F8D">
        <w:rPr>
          <w:rFonts w:cs="Times New Roman"/>
        </w:rPr>
        <w:t xml:space="preserve">This unit enables students to explore the diversity of the histories and cultures of </w:t>
      </w:r>
      <w:r w:rsidRPr="0010526A">
        <w:rPr>
          <w:rFonts w:cs="Times New Roman"/>
        </w:rPr>
        <w:t>First Nations Peoples</w:t>
      </w:r>
      <w:r>
        <w:rPr>
          <w:rFonts w:cs="Times New Roman"/>
        </w:rPr>
        <w:t xml:space="preserve"> both in Australia and globally. S</w:t>
      </w:r>
      <w:r w:rsidRPr="0010526A">
        <w:rPr>
          <w:rFonts w:cs="Times New Roman"/>
        </w:rPr>
        <w:t xml:space="preserve">tudents examine </w:t>
      </w:r>
      <w:r w:rsidRPr="003A6F8D">
        <w:rPr>
          <w:rFonts w:cs="Times New Roman"/>
        </w:rPr>
        <w:t>the continuity and resiliency of First Nations Peoples’ cultural heritage and</w:t>
      </w:r>
      <w:r w:rsidRPr="0010526A">
        <w:rPr>
          <w:rFonts w:cs="Times New Roman"/>
        </w:rPr>
        <w:t xml:space="preserve"> explore the experiences and impact of invasion and colonisation o</w:t>
      </w:r>
      <w:r>
        <w:rPr>
          <w:rFonts w:cs="Times New Roman"/>
        </w:rPr>
        <w:t>n</w:t>
      </w:r>
      <w:r w:rsidRPr="0010526A">
        <w:rPr>
          <w:rFonts w:cs="Times New Roman"/>
        </w:rPr>
        <w:t xml:space="preserve"> First Nations Peoples locally, nationally, and globally.</w:t>
      </w:r>
    </w:p>
    <w:p w14:paraId="48B9A423" w14:textId="6CB48718" w:rsidR="00943A44" w:rsidRPr="00924D3A" w:rsidRDefault="00943A44" w:rsidP="006D4895">
      <w:pPr>
        <w:pStyle w:val="SyllabusHeading3"/>
      </w:pPr>
      <w:r w:rsidRPr="00924D3A">
        <w:t>Unit 2</w:t>
      </w:r>
    </w:p>
    <w:p w14:paraId="1FAECEC3" w14:textId="6673044F" w:rsidR="003A6F8D" w:rsidRPr="008464E6" w:rsidRDefault="003A6F8D" w:rsidP="003A6F8D">
      <w:pPr>
        <w:spacing w:before="120"/>
        <w:rPr>
          <w:rFonts w:cstheme="minorHAnsi"/>
        </w:rPr>
      </w:pPr>
      <w:bookmarkStart w:id="19" w:name="_Toc359483729"/>
      <w:r w:rsidRPr="006D766E">
        <w:rPr>
          <w:rFonts w:cs="Calibri"/>
        </w:rPr>
        <w:t xml:space="preserve">This unit enables students to explore </w:t>
      </w:r>
      <w:r w:rsidRPr="0010526A">
        <w:rPr>
          <w:rFonts w:cs="Calibri"/>
        </w:rPr>
        <w:t xml:space="preserve">the distinctiveness and diversity of Australian First Nations Peoples’ cultural expressions. </w:t>
      </w:r>
      <w:r w:rsidR="006D766E">
        <w:rPr>
          <w:rFonts w:cs="Calibri"/>
        </w:rPr>
        <w:t>Students</w:t>
      </w:r>
      <w:r w:rsidRPr="0010526A">
        <w:rPr>
          <w:rFonts w:cs="Calibri"/>
        </w:rPr>
        <w:t xml:space="preserve"> </w:t>
      </w:r>
      <w:r w:rsidR="006D766E">
        <w:rPr>
          <w:rFonts w:cs="Calibri"/>
        </w:rPr>
        <w:t>examine</w:t>
      </w:r>
      <w:r w:rsidRPr="0010526A">
        <w:rPr>
          <w:rFonts w:cs="Calibri"/>
        </w:rPr>
        <w:t xml:space="preserve"> how First Nations Peoples</w:t>
      </w:r>
      <w:r w:rsidR="006D766E">
        <w:rPr>
          <w:rFonts w:cs="Calibri"/>
        </w:rPr>
        <w:t xml:space="preserve"> </w:t>
      </w:r>
      <w:r w:rsidRPr="0010526A">
        <w:rPr>
          <w:rFonts w:cs="Calibri"/>
        </w:rPr>
        <w:t xml:space="preserve">create cultural expressions </w:t>
      </w:r>
      <w:r w:rsidR="006D766E">
        <w:rPr>
          <w:rFonts w:cs="Calibri"/>
        </w:rPr>
        <w:t>which</w:t>
      </w:r>
      <w:r w:rsidRPr="0010526A">
        <w:rPr>
          <w:rFonts w:cs="Calibri"/>
        </w:rPr>
        <w:t xml:space="preserve"> challenge and communicate ideas and perspectives. Students explore the cultural protocols which exist to protect First Nation Peoples’ cultur</w:t>
      </w:r>
      <w:r>
        <w:rPr>
          <w:rFonts w:cs="Calibri"/>
        </w:rPr>
        <w:t>al expressions.</w:t>
      </w:r>
      <w:r w:rsidRPr="0010526A">
        <w:rPr>
          <w:rFonts w:cs="Calibri"/>
        </w:rPr>
        <w:t xml:space="preserve"> </w:t>
      </w:r>
    </w:p>
    <w:p w14:paraId="231DA0A4" w14:textId="77777777" w:rsidR="00B71C2D" w:rsidRPr="00924D3A" w:rsidRDefault="00B71C2D" w:rsidP="00795F9D">
      <w:pPr>
        <w:rPr>
          <w:rFonts w:ascii="Calibri" w:hAnsi="Calibri" w:cs="Calibri"/>
        </w:rPr>
      </w:pPr>
      <w:r w:rsidRPr="00924D3A">
        <w:rPr>
          <w:rFonts w:ascii="Calibri" w:hAnsi="Calibri" w:cs="Calibri"/>
        </w:rPr>
        <w:t xml:space="preserve">Each unit </w:t>
      </w:r>
      <w:r w:rsidRPr="00795F9D">
        <w:t>includes</w:t>
      </w:r>
      <w:r w:rsidRPr="00924D3A">
        <w:rPr>
          <w:rFonts w:ascii="Calibri" w:hAnsi="Calibri" w:cs="Calibri"/>
        </w:rPr>
        <w:t>:</w:t>
      </w:r>
    </w:p>
    <w:p w14:paraId="42A877FD" w14:textId="77777777" w:rsidR="009D793E" w:rsidRPr="00795F9D" w:rsidRDefault="009D793E" w:rsidP="00795F9D">
      <w:pPr>
        <w:pStyle w:val="SyllabusListParagraph"/>
      </w:pPr>
      <w:r w:rsidRPr="00795F9D">
        <w:t>a unit description – a short description of the focus of the unit</w:t>
      </w:r>
    </w:p>
    <w:p w14:paraId="540FF887" w14:textId="77777777" w:rsidR="00565DF1" w:rsidRPr="00795F9D" w:rsidRDefault="009D793E" w:rsidP="00795F9D">
      <w:pPr>
        <w:pStyle w:val="SyllabusListParagraph"/>
      </w:pPr>
      <w:r w:rsidRPr="00795F9D">
        <w:t>unit content – the content to be taught and learned</w:t>
      </w:r>
      <w:r w:rsidR="00652BC5" w:rsidRPr="00795F9D">
        <w:t>.</w:t>
      </w:r>
    </w:p>
    <w:p w14:paraId="1454A5B0" w14:textId="77777777" w:rsidR="00AF5724" w:rsidRPr="0039470D" w:rsidRDefault="00AF5724" w:rsidP="006D4895">
      <w:pPr>
        <w:pStyle w:val="SyllabusHeading2"/>
      </w:pPr>
      <w:bookmarkStart w:id="20" w:name="_Toc32576613"/>
      <w:bookmarkStart w:id="21" w:name="_Toc76735164"/>
      <w:bookmarkStart w:id="22" w:name="_Toc114664262"/>
      <w:bookmarkStart w:id="23" w:name="_Toc173315825"/>
      <w:bookmarkStart w:id="24" w:name="_Toc175314868"/>
      <w:r w:rsidRPr="0039470D">
        <w:t>Organisation of content</w:t>
      </w:r>
      <w:bookmarkEnd w:id="20"/>
      <w:bookmarkEnd w:id="21"/>
      <w:bookmarkEnd w:id="22"/>
      <w:bookmarkEnd w:id="23"/>
      <w:bookmarkEnd w:id="24"/>
    </w:p>
    <w:p w14:paraId="33812F42" w14:textId="4C6515E0" w:rsidR="00AF5724" w:rsidRPr="004D37B4" w:rsidRDefault="00AF5724" w:rsidP="00795F9D">
      <w:r w:rsidRPr="004D37B4">
        <w:t>The unit content that is listed after ‘e.g.’ is provided as suggested examples to guide teachers on relevant topics, which could be used to teach the content descriptions; teachers are not restricted to just the listed examples. Unit content that is referred to in a content description after ‘including’ is assessable content.</w:t>
      </w:r>
    </w:p>
    <w:p w14:paraId="0CF12154" w14:textId="61896DB4" w:rsidR="00AF5724" w:rsidRDefault="00AF5724" w:rsidP="006D4895">
      <w:pPr>
        <w:pStyle w:val="SyllabusHeading2"/>
      </w:pPr>
      <w:bookmarkStart w:id="25" w:name="_Toc173315826"/>
      <w:bookmarkStart w:id="26" w:name="_Toc175314869"/>
      <w:r>
        <w:t>Progression from the Year</w:t>
      </w:r>
      <w:r w:rsidR="007F2BBD">
        <w:t>s</w:t>
      </w:r>
      <w:r w:rsidR="004D37B4">
        <w:t xml:space="preserve"> </w:t>
      </w:r>
      <w:r>
        <w:t>7–</w:t>
      </w:r>
      <w:r w:rsidRPr="00565DF1">
        <w:t>10 curriculum</w:t>
      </w:r>
      <w:bookmarkEnd w:id="25"/>
      <w:bookmarkEnd w:id="26"/>
    </w:p>
    <w:p w14:paraId="0E1AE5F5" w14:textId="5DFBF85C" w:rsidR="00AF5724" w:rsidRDefault="00565DF1" w:rsidP="00795F9D">
      <w:r>
        <w:t xml:space="preserve">This syllabus continues to develop student learning in </w:t>
      </w:r>
      <w:r w:rsidR="003E394E">
        <w:t>Australian First Nations Peoples’</w:t>
      </w:r>
      <w:r>
        <w:t xml:space="preserve"> histories and cultures</w:t>
      </w:r>
      <w:r w:rsidR="003E394E">
        <w:t>,</w:t>
      </w:r>
      <w:r>
        <w:t xml:space="preserve"> which occurs in the Year</w:t>
      </w:r>
      <w:r w:rsidR="004D37B4">
        <w:t>s</w:t>
      </w:r>
      <w:r>
        <w:t xml:space="preserve"> 7 to 10 </w:t>
      </w:r>
      <w:r w:rsidR="006A622E">
        <w:t xml:space="preserve">History and Geography </w:t>
      </w:r>
      <w:r w:rsidR="006A622E" w:rsidRPr="004D37B4">
        <w:t>curricula</w:t>
      </w:r>
      <w:r>
        <w:t xml:space="preserve">. </w:t>
      </w:r>
      <w:r w:rsidR="003E394E">
        <w:t xml:space="preserve">The </w:t>
      </w:r>
      <w:r>
        <w:t xml:space="preserve">Aboriginal and Torres Strait Islander histories and cultures cross-curriculum priority </w:t>
      </w:r>
      <w:r w:rsidR="003E394E">
        <w:t xml:space="preserve">continues </w:t>
      </w:r>
      <w:r>
        <w:t>across all year levels.</w:t>
      </w:r>
    </w:p>
    <w:p w14:paraId="60053485" w14:textId="77777777" w:rsidR="00565DF1" w:rsidRPr="00565DF1" w:rsidRDefault="00CB0B33" w:rsidP="006D4895">
      <w:pPr>
        <w:pStyle w:val="SyllabusHeading2"/>
      </w:pPr>
      <w:bookmarkStart w:id="27" w:name="_Toc173315827"/>
      <w:bookmarkStart w:id="28" w:name="_Toc175314870"/>
      <w:bookmarkStart w:id="29" w:name="_Toc347908213"/>
      <w:bookmarkEnd w:id="12"/>
      <w:bookmarkEnd w:id="13"/>
      <w:bookmarkEnd w:id="19"/>
      <w:r w:rsidRPr="00A93F91">
        <w:t xml:space="preserve">Representation of </w:t>
      </w:r>
      <w:r w:rsidR="000830BD">
        <w:t xml:space="preserve">the </w:t>
      </w:r>
      <w:r w:rsidRPr="00A93F91">
        <w:t>general capabilities</w:t>
      </w:r>
      <w:bookmarkEnd w:id="27"/>
      <w:bookmarkEnd w:id="28"/>
    </w:p>
    <w:p w14:paraId="42BCB5D2" w14:textId="77777777" w:rsidR="009D793E" w:rsidRPr="004C3D18" w:rsidRDefault="009D793E" w:rsidP="00795F9D">
      <w:pPr>
        <w:rPr>
          <w:rFonts w:ascii="Calibri" w:hAnsi="Calibri" w:cs="Calibri"/>
        </w:rPr>
      </w:pPr>
      <w:r w:rsidRPr="004C3D18">
        <w:rPr>
          <w:rFonts w:ascii="Calibri" w:hAnsi="Calibri" w:cs="Calibri"/>
        </w:rPr>
        <w:t xml:space="preserve">The general capabilities encompass the knowledge, skills, behaviours and dispositions that will assist students to live and work successfully in the twenty-first century. Teachers </w:t>
      </w:r>
      <w:r w:rsidR="00565DF1">
        <w:rPr>
          <w:rFonts w:ascii="Calibri" w:hAnsi="Calibri" w:cs="Calibri"/>
        </w:rPr>
        <w:t>may</w:t>
      </w:r>
      <w:r w:rsidRPr="004C3D18">
        <w:rPr>
          <w:rFonts w:ascii="Calibri" w:hAnsi="Calibri" w:cs="Calibri"/>
        </w:rPr>
        <w:t xml:space="preserve"> find opportunities to incorporate the capabilities into the teaching and learning program for </w:t>
      </w:r>
      <w:r w:rsidR="007C6DD9">
        <w:rPr>
          <w:rFonts w:ascii="Calibri" w:hAnsi="Calibri" w:cs="Calibri"/>
        </w:rPr>
        <w:t xml:space="preserve">the </w:t>
      </w:r>
      <w:r w:rsidR="006735A0" w:rsidRPr="004C3D18">
        <w:rPr>
          <w:rFonts w:ascii="Calibri" w:hAnsi="Calibri" w:cs="Calibri"/>
        </w:rPr>
        <w:t xml:space="preserve">Aboriginal and Intercultural </w:t>
      </w:r>
      <w:r w:rsidR="006735A0" w:rsidRPr="00795F9D">
        <w:t>Studies</w:t>
      </w:r>
      <w:r w:rsidR="007C6DD9">
        <w:rPr>
          <w:rFonts w:ascii="Calibri" w:hAnsi="Calibri" w:cs="Calibri"/>
        </w:rPr>
        <w:t xml:space="preserve"> ATAR course</w:t>
      </w:r>
      <w:r w:rsidR="006735A0" w:rsidRPr="004C3D18">
        <w:rPr>
          <w:rFonts w:ascii="Calibri" w:hAnsi="Calibri" w:cs="Calibri"/>
        </w:rPr>
        <w:t>.</w:t>
      </w:r>
      <w:r w:rsidRPr="004C3D18">
        <w:rPr>
          <w:rFonts w:ascii="Calibri" w:hAnsi="Calibri" w:cs="Calibri"/>
        </w:rPr>
        <w:t xml:space="preserve"> </w:t>
      </w:r>
      <w:r w:rsidR="004227E6">
        <w:rPr>
          <w:rFonts w:ascii="Calibri" w:hAnsi="Calibri" w:cs="Calibri"/>
        </w:rPr>
        <w:t>The general capabilities are not assessed unless they are identified within the specified unit content.</w:t>
      </w:r>
    </w:p>
    <w:p w14:paraId="5C981B85" w14:textId="77777777" w:rsidR="00426B9A" w:rsidRPr="00A93F91" w:rsidRDefault="00426B9A" w:rsidP="006D4895">
      <w:pPr>
        <w:pStyle w:val="SyllabusHeading3"/>
      </w:pPr>
      <w:r w:rsidRPr="00A93F91">
        <w:lastRenderedPageBreak/>
        <w:t>Literacy</w:t>
      </w:r>
    </w:p>
    <w:p w14:paraId="52649C2D" w14:textId="77777777" w:rsidR="006735A0" w:rsidRPr="00795F9D" w:rsidRDefault="006735A0" w:rsidP="00795F9D">
      <w:r w:rsidRPr="00795F9D">
        <w:t xml:space="preserve">Literacy presents those aspects of the Language and Literacy strands of the English curriculum that should also be applied in all other learning areas. While much of the explicit teaching of literacy occurs in the English learning area, it is strengthened, made specific and extended in other learning areas, such as Aboriginal and Intercultural Studies, as students engage in a range of learning activities with significant literacy demands. These literacy-rich situations are a part of learning in all curriculum areas. Paying attention to the literacy demands of </w:t>
      </w:r>
      <w:r w:rsidR="007C6DD9" w:rsidRPr="00795F9D">
        <w:t xml:space="preserve">the </w:t>
      </w:r>
      <w:r w:rsidRPr="00795F9D">
        <w:t xml:space="preserve">Aboriginal and Intercultural Studies </w:t>
      </w:r>
      <w:r w:rsidR="007C6DD9" w:rsidRPr="00795F9D">
        <w:t xml:space="preserve">ATAR course </w:t>
      </w:r>
      <w:r w:rsidRPr="00795F9D">
        <w:t>ensures that students’ literacy development is strengthened so that it supports subject-based learning.</w:t>
      </w:r>
    </w:p>
    <w:p w14:paraId="78C84289" w14:textId="18BB3BE0" w:rsidR="00426B9A" w:rsidRPr="00796D31" w:rsidRDefault="00426B9A" w:rsidP="006D4895">
      <w:pPr>
        <w:pStyle w:val="SyllabusHeading3"/>
      </w:pPr>
      <w:r w:rsidRPr="00796D31">
        <w:t>Numeracy</w:t>
      </w:r>
    </w:p>
    <w:p w14:paraId="35AD79F5" w14:textId="62729A0A" w:rsidR="00796D31" w:rsidRDefault="006735A0" w:rsidP="00795F9D">
      <w:pPr>
        <w:rPr>
          <w:rFonts w:ascii="Calibri" w:hAnsi="Calibri" w:cs="Calibri"/>
        </w:rPr>
      </w:pPr>
      <w:r w:rsidRPr="00795F9D">
        <w:t>Numeracy</w:t>
      </w:r>
      <w:r w:rsidRPr="004C3D18">
        <w:rPr>
          <w:rFonts w:ascii="Calibri" w:hAnsi="Calibri" w:cs="Calibri"/>
        </w:rPr>
        <w:t xml:space="preserve"> is useful in the inquiry process, which requires students to recognise patterns and relationships. Students have opportunities to support their views with data, some of which is numerical in nature. They develop numeracy capability when they analyse, interpret and draw conclusions from statistical information</w:t>
      </w:r>
      <w:r w:rsidR="001F76F9">
        <w:rPr>
          <w:rFonts w:ascii="Calibri" w:hAnsi="Calibri" w:cs="Calibri"/>
        </w:rPr>
        <w:t>;</w:t>
      </w:r>
      <w:r w:rsidRPr="004C3D18">
        <w:rPr>
          <w:rFonts w:ascii="Calibri" w:hAnsi="Calibri" w:cs="Calibri"/>
        </w:rPr>
        <w:t xml:space="preserve"> for example</w:t>
      </w:r>
      <w:r w:rsidR="001F76F9">
        <w:rPr>
          <w:rFonts w:ascii="Calibri" w:hAnsi="Calibri" w:cs="Calibri"/>
        </w:rPr>
        <w:t>,</w:t>
      </w:r>
      <w:r w:rsidRPr="004C3D18">
        <w:rPr>
          <w:rFonts w:ascii="Calibri" w:hAnsi="Calibri" w:cs="Calibri"/>
        </w:rPr>
        <w:t xml:space="preserve"> in relation to change over time.</w:t>
      </w:r>
    </w:p>
    <w:p w14:paraId="5B2C6CF7" w14:textId="61F4B31A" w:rsidR="00426B9A" w:rsidRPr="00AC4A4E" w:rsidRDefault="00426B9A" w:rsidP="00AC4A4E">
      <w:pPr>
        <w:pStyle w:val="SyllabusHeading3"/>
      </w:pPr>
      <w:r w:rsidRPr="00AC4A4E">
        <w:rPr>
          <w:rStyle w:val="Heading3Char"/>
          <w:b/>
          <w:bCs w:val="0"/>
          <w:sz w:val="28"/>
          <w:szCs w:val="22"/>
        </w:rPr>
        <w:t>Informatio</w:t>
      </w:r>
      <w:r w:rsidR="00B60430" w:rsidRPr="00AC4A4E">
        <w:rPr>
          <w:rStyle w:val="Heading3Char"/>
          <w:b/>
          <w:bCs w:val="0"/>
          <w:sz w:val="28"/>
          <w:szCs w:val="22"/>
        </w:rPr>
        <w:t xml:space="preserve">n and communication technology </w:t>
      </w:r>
      <w:r w:rsidRPr="00AC4A4E">
        <w:rPr>
          <w:rStyle w:val="Heading3Char"/>
          <w:b/>
          <w:bCs w:val="0"/>
          <w:sz w:val="28"/>
          <w:szCs w:val="22"/>
        </w:rPr>
        <w:t>capability</w:t>
      </w:r>
    </w:p>
    <w:p w14:paraId="525D2C13" w14:textId="4E10721D" w:rsidR="006735A0" w:rsidRPr="004C3D18" w:rsidRDefault="006735A0" w:rsidP="00795F9D">
      <w:pPr>
        <w:rPr>
          <w:rFonts w:ascii="Calibri" w:hAnsi="Calibri" w:cs="Calibri"/>
        </w:rPr>
      </w:pPr>
      <w:r w:rsidRPr="004C3D18">
        <w:rPr>
          <w:rFonts w:ascii="Calibri" w:hAnsi="Calibri" w:cs="Calibri"/>
        </w:rPr>
        <w:t xml:space="preserve">Information and </w:t>
      </w:r>
      <w:r w:rsidR="00B60430" w:rsidRPr="004C3D18">
        <w:rPr>
          <w:rFonts w:ascii="Calibri" w:hAnsi="Calibri" w:cs="Calibri"/>
        </w:rPr>
        <w:t>c</w:t>
      </w:r>
      <w:r w:rsidRPr="004C3D18">
        <w:rPr>
          <w:rFonts w:ascii="Calibri" w:hAnsi="Calibri" w:cs="Calibri"/>
        </w:rPr>
        <w:t xml:space="preserve">ommunication </w:t>
      </w:r>
      <w:r w:rsidR="00B60430" w:rsidRPr="004C3D18">
        <w:rPr>
          <w:rFonts w:ascii="Calibri" w:hAnsi="Calibri" w:cs="Calibri"/>
        </w:rPr>
        <w:t>t</w:t>
      </w:r>
      <w:r w:rsidRPr="004C3D18">
        <w:rPr>
          <w:rFonts w:ascii="Calibri" w:hAnsi="Calibri" w:cs="Calibri"/>
        </w:rPr>
        <w:t xml:space="preserve">echnology (ICT) capability is important in the inquiry process, particularly in relation to investigation, analysis and communication. Students use digital tools and strategies to locate, access, process </w:t>
      </w:r>
      <w:r w:rsidRPr="00795F9D">
        <w:t>and</w:t>
      </w:r>
      <w:r w:rsidRPr="004C3D18">
        <w:rPr>
          <w:rFonts w:ascii="Calibri" w:hAnsi="Calibri" w:cs="Calibri"/>
        </w:rPr>
        <w:t xml:space="preserve"> analyse information. They use ICT skills and understandings to investigate and identify different perspectives and sources of evidence and to communicate information. Students have opportunities to scrutinise websites and the perspectives they convey, including how and why such sites are constructed, the audiences they serve and their goals. They develop an understanding of the issues involved in the use of ICT when practising ethical scholarship as part of the inquiry process.</w:t>
      </w:r>
    </w:p>
    <w:p w14:paraId="5B70C7C4" w14:textId="1B83368E" w:rsidR="00426B9A" w:rsidRPr="00AC4A4E" w:rsidRDefault="00426B9A" w:rsidP="00AC4A4E">
      <w:pPr>
        <w:pStyle w:val="SyllabusHeading3"/>
      </w:pPr>
      <w:r w:rsidRPr="00AC4A4E">
        <w:rPr>
          <w:rStyle w:val="Heading3Char"/>
          <w:b/>
          <w:bCs w:val="0"/>
          <w:sz w:val="28"/>
          <w:szCs w:val="22"/>
        </w:rPr>
        <w:t>Critical and creative thinking</w:t>
      </w:r>
    </w:p>
    <w:p w14:paraId="10AC9581" w14:textId="07945E9F" w:rsidR="006735A0" w:rsidRPr="004C3D18" w:rsidRDefault="006735A0" w:rsidP="00795F9D">
      <w:pPr>
        <w:rPr>
          <w:rFonts w:ascii="Calibri" w:hAnsi="Calibri" w:cs="Calibri"/>
        </w:rPr>
      </w:pPr>
      <w:r w:rsidRPr="004C3D18">
        <w:rPr>
          <w:rFonts w:ascii="Calibri" w:hAnsi="Calibri" w:cs="Calibri"/>
        </w:rPr>
        <w:t xml:space="preserve">Critical and creative thinking is integral to the inquiry process. There are opportunities for students to delve deeply and </w:t>
      </w:r>
      <w:r w:rsidRPr="00795F9D">
        <w:t>broadly</w:t>
      </w:r>
      <w:r w:rsidRPr="004C3D18">
        <w:rPr>
          <w:rFonts w:ascii="Calibri" w:hAnsi="Calibri" w:cs="Calibri"/>
        </w:rPr>
        <w:t xml:space="preserve"> into the implications of any missing or questionable information in their investigation of issues. The demands of investigation include the ability to pose questions, interrogate, select and cross-reference sources, and develop interpretations based on an assessment of the evidence and reasoning. Students identify possible weaknesses in their own positions, and analyse, evaluate and synthesise alternative perspectives.</w:t>
      </w:r>
      <w:r w:rsidR="00F760F2">
        <w:rPr>
          <w:rFonts w:ascii="Calibri" w:hAnsi="Calibri" w:cs="Calibri"/>
        </w:rPr>
        <w:t xml:space="preserve"> </w:t>
      </w:r>
    </w:p>
    <w:p w14:paraId="47F02D89" w14:textId="2DCFE4A4" w:rsidR="00426B9A" w:rsidRPr="00AC4A4E" w:rsidRDefault="00426B9A" w:rsidP="00AC4A4E">
      <w:pPr>
        <w:pStyle w:val="SyllabusHeading3"/>
      </w:pPr>
      <w:r w:rsidRPr="00AC4A4E">
        <w:t>Personal and social capability</w:t>
      </w:r>
    </w:p>
    <w:p w14:paraId="640FB908" w14:textId="5C19AA2A" w:rsidR="004D6BFF" w:rsidRDefault="006735A0" w:rsidP="00795F9D">
      <w:pPr>
        <w:rPr>
          <w:rFonts w:ascii="Calibri" w:hAnsi="Calibri" w:cs="Calibri"/>
        </w:rPr>
      </w:pPr>
      <w:r w:rsidRPr="004C3D18">
        <w:rPr>
          <w:rFonts w:ascii="Calibri" w:hAnsi="Calibri" w:cs="Calibri"/>
        </w:rPr>
        <w:t xml:space="preserve">Personal and social capability </w:t>
      </w:r>
      <w:r w:rsidR="00203FF5">
        <w:rPr>
          <w:rFonts w:ascii="Calibri" w:hAnsi="Calibri" w:cs="Calibri"/>
        </w:rPr>
        <w:t>skills are developed and practis</w:t>
      </w:r>
      <w:r w:rsidRPr="004C3D18">
        <w:rPr>
          <w:rFonts w:ascii="Calibri" w:hAnsi="Calibri" w:cs="Calibri"/>
        </w:rPr>
        <w:t xml:space="preserve">ed in </w:t>
      </w:r>
      <w:r w:rsidR="00BD216C">
        <w:rPr>
          <w:rFonts w:ascii="Calibri" w:hAnsi="Calibri" w:cs="Calibri"/>
        </w:rPr>
        <w:t xml:space="preserve">the </w:t>
      </w:r>
      <w:r w:rsidRPr="004C3D18">
        <w:rPr>
          <w:rFonts w:ascii="Calibri" w:hAnsi="Calibri" w:cs="Calibri"/>
        </w:rPr>
        <w:t xml:space="preserve">Aboriginal and Intercultural Studies </w:t>
      </w:r>
      <w:r w:rsidR="00BD216C">
        <w:rPr>
          <w:rFonts w:ascii="Calibri" w:hAnsi="Calibri" w:cs="Calibri"/>
        </w:rPr>
        <w:t xml:space="preserve">ATAR course </w:t>
      </w:r>
      <w:r w:rsidRPr="004C3D18">
        <w:rPr>
          <w:rFonts w:ascii="Calibri" w:hAnsi="Calibri" w:cs="Calibri"/>
        </w:rPr>
        <w:t xml:space="preserve">by students </w:t>
      </w:r>
      <w:r w:rsidRPr="00795F9D">
        <w:t>enhancing</w:t>
      </w:r>
      <w:r w:rsidRPr="004C3D18">
        <w:rPr>
          <w:rFonts w:ascii="Calibri" w:hAnsi="Calibri" w:cs="Calibri"/>
        </w:rPr>
        <w:t xml:space="preserve"> their communication skills and participating in group</w:t>
      </w:r>
      <w:r w:rsidR="00C05D70">
        <w:rPr>
          <w:rFonts w:ascii="Calibri" w:hAnsi="Calibri" w:cs="Calibri"/>
        </w:rPr>
        <w:t xml:space="preserve"> </w:t>
      </w:r>
      <w:r w:rsidRPr="004C3D18">
        <w:rPr>
          <w:rFonts w:ascii="Calibri" w:hAnsi="Calibri" w:cs="Calibri"/>
        </w:rPr>
        <w:t xml:space="preserve">work. Students have opportunities to work both collaboratively in teams and also independently as part of their learning and research in </w:t>
      </w:r>
      <w:r w:rsidR="007C6DD9">
        <w:rPr>
          <w:rFonts w:ascii="Calibri" w:hAnsi="Calibri" w:cs="Calibri"/>
        </w:rPr>
        <w:t xml:space="preserve">the </w:t>
      </w:r>
      <w:r w:rsidRPr="004C3D18">
        <w:rPr>
          <w:rFonts w:ascii="Calibri" w:hAnsi="Calibri" w:cs="Calibri"/>
        </w:rPr>
        <w:t>Aboriginal and Intercultural Studies</w:t>
      </w:r>
      <w:r w:rsidR="007C6DD9" w:rsidRPr="007C6DD9">
        <w:rPr>
          <w:rFonts w:ascii="Calibri" w:hAnsi="Calibri" w:cs="Calibri"/>
        </w:rPr>
        <w:t xml:space="preserve"> </w:t>
      </w:r>
      <w:r w:rsidR="007C6DD9">
        <w:rPr>
          <w:rFonts w:ascii="Calibri" w:hAnsi="Calibri" w:cs="Calibri"/>
        </w:rPr>
        <w:t>ATAR course</w:t>
      </w:r>
      <w:r w:rsidRPr="004C3D18">
        <w:rPr>
          <w:rFonts w:ascii="Calibri" w:hAnsi="Calibri" w:cs="Calibri"/>
        </w:rPr>
        <w:t>.</w:t>
      </w:r>
      <w:r w:rsidR="00990915">
        <w:rPr>
          <w:rFonts w:ascii="Calibri" w:hAnsi="Calibri" w:cs="Calibri"/>
        </w:rPr>
        <w:t xml:space="preserve"> </w:t>
      </w:r>
      <w:r w:rsidRPr="004C3D18">
        <w:rPr>
          <w:rFonts w:ascii="Calibri" w:hAnsi="Calibri" w:cs="Calibri"/>
        </w:rPr>
        <w:t xml:space="preserve">Through the study of individuals and groups, students develop their ability to appreciate the perspectives and experiences of others. Students develop increasing social awareness through the study of relationships between individuals and diverse social groups in the modern world. </w:t>
      </w:r>
      <w:r w:rsidR="004D6BFF">
        <w:rPr>
          <w:rFonts w:ascii="Calibri" w:hAnsi="Calibri" w:cs="Calibri"/>
        </w:rPr>
        <w:br w:type="page"/>
      </w:r>
    </w:p>
    <w:p w14:paraId="4A3A670F" w14:textId="67F6A86F" w:rsidR="00426B9A" w:rsidRPr="006D4895" w:rsidRDefault="00194F1D" w:rsidP="00795F9D">
      <w:pPr>
        <w:pStyle w:val="SyllabusHeading3"/>
        <w:spacing w:after="80"/>
      </w:pPr>
      <w:r w:rsidRPr="006D4895">
        <w:lastRenderedPageBreak/>
        <w:t>Ethical understanding</w:t>
      </w:r>
    </w:p>
    <w:p w14:paraId="2FBA9137" w14:textId="77777777" w:rsidR="007F2BBD" w:rsidRPr="007F2BBD" w:rsidRDefault="006735A0" w:rsidP="00795F9D">
      <w:pPr>
        <w:spacing w:after="80"/>
        <w:rPr>
          <w:rFonts w:ascii="Calibri" w:hAnsi="Calibri" w:cs="Calibri"/>
        </w:rPr>
      </w:pPr>
      <w:r w:rsidRPr="004C3D18">
        <w:rPr>
          <w:rFonts w:ascii="Calibri" w:hAnsi="Calibri" w:cs="Calibri"/>
        </w:rPr>
        <w:t xml:space="preserve">Ethical understanding provides opportunities for students to explore and understand the diverse perspectives and circumstances that shaped the actions and possible motivations of people in the past compared </w:t>
      </w:r>
      <w:r w:rsidRPr="00795F9D">
        <w:t>with</w:t>
      </w:r>
      <w:r w:rsidRPr="004C3D18">
        <w:rPr>
          <w:rFonts w:ascii="Calibri" w:hAnsi="Calibri" w:cs="Calibri"/>
        </w:rPr>
        <w:t xml:space="preserve"> those of today. Students have opportunities both independently and collaboratively to explore the values, beliefs and principles that were the basis for the judg</w:t>
      </w:r>
      <w:r w:rsidR="00EC2A95">
        <w:rPr>
          <w:rFonts w:ascii="Calibri" w:hAnsi="Calibri" w:cs="Calibri"/>
        </w:rPr>
        <w:t>e</w:t>
      </w:r>
      <w:r w:rsidRPr="004C3D18">
        <w:rPr>
          <w:rFonts w:ascii="Calibri" w:hAnsi="Calibri" w:cs="Calibri"/>
        </w:rPr>
        <w:t>ments and actions of people in the past, and of those of today.</w:t>
      </w:r>
    </w:p>
    <w:p w14:paraId="5B8EC14F" w14:textId="7CA8ABB9" w:rsidR="00426B9A" w:rsidRPr="006D4895" w:rsidRDefault="00426B9A" w:rsidP="00795F9D">
      <w:pPr>
        <w:pStyle w:val="SyllabusHeading3"/>
        <w:spacing w:after="80"/>
      </w:pPr>
      <w:r w:rsidRPr="006D4895">
        <w:t>Intercultural understanding</w:t>
      </w:r>
    </w:p>
    <w:p w14:paraId="0E9ACA8B" w14:textId="37D3B6C1" w:rsidR="006735A0" w:rsidRPr="004C3D18" w:rsidRDefault="006735A0" w:rsidP="00315B44">
      <w:pPr>
        <w:rPr>
          <w:rFonts w:ascii="Calibri" w:hAnsi="Calibri" w:cs="Calibri"/>
        </w:rPr>
      </w:pPr>
      <w:r w:rsidRPr="004C3D18">
        <w:rPr>
          <w:rFonts w:ascii="Calibri" w:hAnsi="Calibri" w:cs="Calibri"/>
        </w:rPr>
        <w:t xml:space="preserve">Intercultural understanding is a vital part of learning in </w:t>
      </w:r>
      <w:r w:rsidR="007C6DD9">
        <w:rPr>
          <w:rFonts w:ascii="Calibri" w:hAnsi="Calibri" w:cs="Calibri"/>
        </w:rPr>
        <w:t xml:space="preserve">the </w:t>
      </w:r>
      <w:r w:rsidRPr="004C3D18">
        <w:rPr>
          <w:rFonts w:ascii="Calibri" w:hAnsi="Calibri" w:cs="Calibri"/>
        </w:rPr>
        <w:t>Aboriginal and Intercultural Studies</w:t>
      </w:r>
      <w:r w:rsidR="007C6DD9" w:rsidRPr="007C6DD9">
        <w:rPr>
          <w:rFonts w:ascii="Calibri" w:hAnsi="Calibri" w:cs="Calibri"/>
        </w:rPr>
        <w:t xml:space="preserve"> </w:t>
      </w:r>
      <w:r w:rsidR="007C6DD9">
        <w:rPr>
          <w:rFonts w:ascii="Calibri" w:hAnsi="Calibri" w:cs="Calibri"/>
        </w:rPr>
        <w:t>ATAR course</w:t>
      </w:r>
      <w:r w:rsidRPr="004C3D18">
        <w:rPr>
          <w:rFonts w:ascii="Calibri" w:hAnsi="Calibri" w:cs="Calibri"/>
        </w:rPr>
        <w:t xml:space="preserve">. Students explore the different beliefs and values of a range of cultural groups and develop an appreciation of the </w:t>
      </w:r>
      <w:r w:rsidRPr="00795F9D">
        <w:t>diversity</w:t>
      </w:r>
      <w:r w:rsidRPr="004C3D18">
        <w:rPr>
          <w:rFonts w:ascii="Calibri" w:hAnsi="Calibri" w:cs="Calibri"/>
        </w:rPr>
        <w:t xml:space="preserve"> in the modern world. They have opportunities to develop an understanding of the nature, causes and consequences of conflict, dispossession and interdependence. Students develop an understanding of different contemporary perspectives, the historical contexts for those perspectives, their influence on the relationships between different groups within society, and how they contribute to individual and group actions in the contemporary world.</w:t>
      </w:r>
    </w:p>
    <w:p w14:paraId="6358FDFA" w14:textId="77777777" w:rsidR="00CB0B33" w:rsidRPr="00A93F91" w:rsidRDefault="00CB0B33" w:rsidP="00315B44">
      <w:pPr>
        <w:pStyle w:val="SyllabusHeading2"/>
      </w:pPr>
      <w:bookmarkStart w:id="30" w:name="_Toc173315828"/>
      <w:bookmarkStart w:id="31" w:name="_Toc175314871"/>
      <w:r w:rsidRPr="00A93F91">
        <w:t xml:space="preserve">Representation of </w:t>
      </w:r>
      <w:r w:rsidR="000830BD">
        <w:t xml:space="preserve">the </w:t>
      </w:r>
      <w:r w:rsidRPr="00A93F91">
        <w:t>cross-curriculum priorities</w:t>
      </w:r>
      <w:bookmarkEnd w:id="30"/>
      <w:bookmarkEnd w:id="31"/>
    </w:p>
    <w:p w14:paraId="68144499" w14:textId="77777777" w:rsidR="00073439" w:rsidRPr="00552B03" w:rsidRDefault="00652BC5" w:rsidP="00795F9D">
      <w:pPr>
        <w:spacing w:after="80"/>
        <w:rPr>
          <w:rFonts w:ascii="Calibri" w:hAnsi="Calibri" w:cs="Calibri"/>
        </w:rPr>
      </w:pPr>
      <w:r w:rsidRPr="00552B03">
        <w:rPr>
          <w:rFonts w:ascii="Calibri" w:hAnsi="Calibri" w:cs="Calibri"/>
        </w:rPr>
        <w:t>The c</w:t>
      </w:r>
      <w:r w:rsidR="009D793E" w:rsidRPr="00552B03">
        <w:rPr>
          <w:rFonts w:ascii="Calibri" w:hAnsi="Calibri" w:cs="Calibri"/>
        </w:rPr>
        <w:t xml:space="preserve">ross-curriculum priorities address the contemporary issues which students face in a globalised world. Teachers </w:t>
      </w:r>
      <w:r w:rsidR="00F2734D" w:rsidRPr="00552B03">
        <w:rPr>
          <w:rFonts w:ascii="Calibri" w:hAnsi="Calibri" w:cs="Calibri"/>
        </w:rPr>
        <w:t>may</w:t>
      </w:r>
      <w:r w:rsidR="009D793E" w:rsidRPr="00552B03">
        <w:rPr>
          <w:rFonts w:ascii="Calibri" w:hAnsi="Calibri" w:cs="Calibri"/>
        </w:rPr>
        <w:t xml:space="preserve"> find opportunities to incorporate the priorities into the teaching and learning program for </w:t>
      </w:r>
      <w:r w:rsidR="007C6DD9" w:rsidRPr="00552B03">
        <w:rPr>
          <w:rFonts w:ascii="Calibri" w:hAnsi="Calibri" w:cs="Calibri"/>
        </w:rPr>
        <w:t xml:space="preserve">the </w:t>
      </w:r>
      <w:r w:rsidR="006735A0" w:rsidRPr="00552B03">
        <w:rPr>
          <w:rFonts w:ascii="Calibri" w:hAnsi="Calibri" w:cs="Calibri"/>
        </w:rPr>
        <w:t>Aboriginal and Intercultural Studies</w:t>
      </w:r>
      <w:r w:rsidR="007C6DD9" w:rsidRPr="00552B03">
        <w:rPr>
          <w:rFonts w:ascii="Calibri" w:hAnsi="Calibri" w:cs="Calibri"/>
        </w:rPr>
        <w:t xml:space="preserve"> ATAR course</w:t>
      </w:r>
      <w:r w:rsidR="006735A0" w:rsidRPr="00552B03">
        <w:rPr>
          <w:rFonts w:ascii="Calibri" w:hAnsi="Calibri" w:cs="Calibri"/>
        </w:rPr>
        <w:t>.</w:t>
      </w:r>
      <w:r w:rsidR="009D793E" w:rsidRPr="00552B03">
        <w:rPr>
          <w:rFonts w:ascii="Calibri" w:hAnsi="Calibri" w:cs="Calibri"/>
        </w:rPr>
        <w:t xml:space="preserve"> </w:t>
      </w:r>
      <w:r w:rsidR="00073439" w:rsidRPr="00552B03">
        <w:rPr>
          <w:rFonts w:ascii="Calibri" w:hAnsi="Calibri" w:cs="Calibri"/>
        </w:rPr>
        <w:t>The cross-curriculum priorities are not assessed unless they are identified within the specified unit content.</w:t>
      </w:r>
    </w:p>
    <w:p w14:paraId="6C98872F" w14:textId="3723FD95" w:rsidR="00426B9A" w:rsidRPr="006D4895" w:rsidRDefault="00426B9A" w:rsidP="00795F9D">
      <w:pPr>
        <w:pStyle w:val="SyllabusHeading3"/>
        <w:spacing w:after="80"/>
      </w:pPr>
      <w:r w:rsidRPr="006D4895">
        <w:t>Aboriginal and Torres Strait Islander histories and cultures</w:t>
      </w:r>
    </w:p>
    <w:p w14:paraId="3286FB9A" w14:textId="77777777" w:rsidR="006735A0" w:rsidRPr="004C3D18" w:rsidRDefault="006735A0" w:rsidP="00795F9D">
      <w:pPr>
        <w:spacing w:after="80"/>
        <w:rPr>
          <w:rFonts w:ascii="Calibri" w:hAnsi="Calibri" w:cs="Calibri"/>
        </w:rPr>
      </w:pPr>
      <w:r w:rsidRPr="004C3D18">
        <w:rPr>
          <w:rFonts w:ascii="Calibri" w:hAnsi="Calibri" w:cs="Calibri"/>
        </w:rPr>
        <w:t>The Aboriginal and Torres Strait Islander</w:t>
      </w:r>
      <w:r w:rsidR="00565DF1">
        <w:rPr>
          <w:rFonts w:ascii="Calibri" w:hAnsi="Calibri" w:cs="Calibri"/>
        </w:rPr>
        <w:t xml:space="preserve"> histories and cultures</w:t>
      </w:r>
      <w:r w:rsidRPr="004C3D18">
        <w:rPr>
          <w:rFonts w:ascii="Calibri" w:hAnsi="Calibri" w:cs="Calibri"/>
        </w:rPr>
        <w:t xml:space="preserve"> priority is integral to the Aboriginal and Intercultural </w:t>
      </w:r>
      <w:r w:rsidRPr="00795F9D">
        <w:t>Studies</w:t>
      </w:r>
      <w:r w:rsidRPr="004C3D18">
        <w:rPr>
          <w:rFonts w:ascii="Calibri" w:hAnsi="Calibri" w:cs="Calibri"/>
        </w:rPr>
        <w:t xml:space="preserve"> </w:t>
      </w:r>
      <w:r w:rsidR="007C6DD9">
        <w:rPr>
          <w:rFonts w:ascii="Calibri" w:hAnsi="Calibri" w:cs="Calibri"/>
        </w:rPr>
        <w:t xml:space="preserve">ATAR </w:t>
      </w:r>
      <w:r w:rsidRPr="004C3D18">
        <w:rPr>
          <w:rFonts w:ascii="Calibri" w:hAnsi="Calibri" w:cs="Calibri"/>
        </w:rPr>
        <w:t xml:space="preserve">course. </w:t>
      </w:r>
      <w:r w:rsidR="00565DF1">
        <w:rPr>
          <w:rFonts w:ascii="Calibri" w:hAnsi="Calibri" w:cs="Calibri"/>
        </w:rPr>
        <w:t>The course</w:t>
      </w:r>
      <w:r w:rsidRPr="004C3D18">
        <w:rPr>
          <w:rFonts w:ascii="Calibri" w:hAnsi="Calibri" w:cs="Calibri"/>
        </w:rPr>
        <w:t xml:space="preserve"> celebrates Aboriginal and Torres Strait Islander histories as part of the shared history belonging to all Australians.</w:t>
      </w:r>
    </w:p>
    <w:p w14:paraId="7F6F2194" w14:textId="77777777" w:rsidR="006735A0" w:rsidRPr="004C3D18" w:rsidRDefault="00B37051" w:rsidP="00795F9D">
      <w:pPr>
        <w:spacing w:after="80"/>
        <w:rPr>
          <w:rFonts w:ascii="Calibri" w:hAnsi="Calibri" w:cs="Calibri"/>
        </w:rPr>
      </w:pPr>
      <w:r>
        <w:rPr>
          <w:rFonts w:ascii="Calibri" w:hAnsi="Calibri" w:cs="Calibri"/>
        </w:rPr>
        <w:t>This course provides the opportunity to</w:t>
      </w:r>
      <w:r w:rsidR="006735A0" w:rsidRPr="004C3D18">
        <w:rPr>
          <w:rFonts w:ascii="Calibri" w:hAnsi="Calibri" w:cs="Calibri"/>
        </w:rPr>
        <w:t xml:space="preserve"> examine historical perspectives from an Aboriginal and Torres Strait Islander viewpoint</w:t>
      </w:r>
      <w:r>
        <w:rPr>
          <w:rFonts w:ascii="Calibri" w:hAnsi="Calibri" w:cs="Calibri"/>
        </w:rPr>
        <w:t xml:space="preserve"> through investigating</w:t>
      </w:r>
      <w:r w:rsidR="006735A0" w:rsidRPr="004C3D18">
        <w:rPr>
          <w:rFonts w:ascii="Calibri" w:hAnsi="Calibri" w:cs="Calibri"/>
        </w:rPr>
        <w:t xml:space="preserve"> key policies and political movements over the last two </w:t>
      </w:r>
      <w:r w:rsidR="006735A0" w:rsidRPr="00795F9D">
        <w:t>centuries</w:t>
      </w:r>
      <w:r w:rsidR="006735A0" w:rsidRPr="004C3D18">
        <w:rPr>
          <w:rFonts w:ascii="Calibri" w:hAnsi="Calibri" w:cs="Calibri"/>
        </w:rPr>
        <w:t xml:space="preserve">. Students </w:t>
      </w:r>
      <w:r>
        <w:rPr>
          <w:rFonts w:ascii="Calibri" w:hAnsi="Calibri" w:cs="Calibri"/>
        </w:rPr>
        <w:t>have the opportunity to</w:t>
      </w:r>
      <w:r w:rsidR="006735A0" w:rsidRPr="004C3D18">
        <w:rPr>
          <w:rFonts w:ascii="Calibri" w:hAnsi="Calibri" w:cs="Calibri"/>
        </w:rPr>
        <w:t xml:space="preserve"> develop an awareness of the significant roles of Aboriginal and Torres Strait </w:t>
      </w:r>
      <w:r w:rsidR="007C6DD9">
        <w:rPr>
          <w:rFonts w:ascii="Calibri" w:hAnsi="Calibri" w:cs="Calibri"/>
        </w:rPr>
        <w:t>I</w:t>
      </w:r>
      <w:r w:rsidR="006735A0" w:rsidRPr="004C3D18">
        <w:rPr>
          <w:rFonts w:ascii="Calibri" w:hAnsi="Calibri" w:cs="Calibri"/>
        </w:rPr>
        <w:t xml:space="preserve">slander </w:t>
      </w:r>
      <w:r w:rsidR="007C6DD9">
        <w:rPr>
          <w:rFonts w:ascii="Calibri" w:hAnsi="Calibri" w:cs="Calibri"/>
        </w:rPr>
        <w:t>P</w:t>
      </w:r>
      <w:r w:rsidR="006735A0" w:rsidRPr="004C3D18">
        <w:rPr>
          <w:rFonts w:ascii="Calibri" w:hAnsi="Calibri" w:cs="Calibri"/>
        </w:rPr>
        <w:t>eople</w:t>
      </w:r>
      <w:r w:rsidR="007C6DD9">
        <w:rPr>
          <w:rFonts w:ascii="Calibri" w:hAnsi="Calibri" w:cs="Calibri"/>
        </w:rPr>
        <w:t>s</w:t>
      </w:r>
      <w:r w:rsidR="006735A0" w:rsidRPr="004C3D18">
        <w:rPr>
          <w:rFonts w:ascii="Calibri" w:hAnsi="Calibri" w:cs="Calibri"/>
        </w:rPr>
        <w:t xml:space="preserve"> in Australian society.</w:t>
      </w:r>
    </w:p>
    <w:p w14:paraId="6568146A" w14:textId="7AC4165E" w:rsidR="00426B9A" w:rsidRPr="006D4895" w:rsidRDefault="00426B9A" w:rsidP="00795F9D">
      <w:pPr>
        <w:pStyle w:val="SyllabusHeading3"/>
        <w:spacing w:after="80"/>
      </w:pPr>
      <w:r w:rsidRPr="006D4895">
        <w:t>Asia and Australia</w:t>
      </w:r>
      <w:r w:rsidR="007F2BBD" w:rsidRPr="006D4895">
        <w:t>’</w:t>
      </w:r>
      <w:r w:rsidRPr="006D4895">
        <w:t>s engagement with Asia</w:t>
      </w:r>
    </w:p>
    <w:p w14:paraId="64E404D7" w14:textId="77777777" w:rsidR="006735A0" w:rsidRPr="00795F9D" w:rsidRDefault="006735A0" w:rsidP="00795F9D">
      <w:pPr>
        <w:spacing w:after="80"/>
      </w:pPr>
      <w:r w:rsidRPr="004C3D18">
        <w:rPr>
          <w:rFonts w:ascii="Calibri" w:hAnsi="Calibri" w:cs="Calibri"/>
        </w:rPr>
        <w:t>Asia and Australia’s engagement with Asia reinforces understanding of the diversity of cultures and peoples living in Australia, fosters social inclusion and cohesion, and allows consideration of a variety of perspectives.</w:t>
      </w:r>
    </w:p>
    <w:p w14:paraId="1A9AA03F" w14:textId="4F9AFACD" w:rsidR="00426B9A" w:rsidRPr="006D4895" w:rsidRDefault="00426B9A" w:rsidP="00795F9D">
      <w:pPr>
        <w:pStyle w:val="SyllabusHeading3"/>
        <w:spacing w:after="80"/>
      </w:pPr>
      <w:r w:rsidRPr="006D4895">
        <w:t>Sustainability</w:t>
      </w:r>
    </w:p>
    <w:p w14:paraId="2A249182" w14:textId="571EE6B3" w:rsidR="00DC3AEA" w:rsidRDefault="006735A0" w:rsidP="00795F9D">
      <w:pPr>
        <w:spacing w:after="80"/>
      </w:pPr>
      <w:r w:rsidRPr="004C3D18">
        <w:rPr>
          <w:rFonts w:ascii="Calibri" w:hAnsi="Calibri" w:cs="Calibri"/>
        </w:rPr>
        <w:t xml:space="preserve">Sustainability addresses the ongoing capacity of Earth to maintain all life. The Aboriginal and Intercultural Studies </w:t>
      </w:r>
      <w:r w:rsidR="007C6DD9">
        <w:rPr>
          <w:rFonts w:ascii="Calibri" w:hAnsi="Calibri" w:cs="Calibri"/>
        </w:rPr>
        <w:t xml:space="preserve">ATAR </w:t>
      </w:r>
      <w:r w:rsidRPr="004C3D18">
        <w:rPr>
          <w:rFonts w:ascii="Calibri" w:hAnsi="Calibri" w:cs="Calibri"/>
        </w:rPr>
        <w:t xml:space="preserve">course examines the beliefs, values and traditions that have influenced the complex </w:t>
      </w:r>
      <w:r w:rsidRPr="00795F9D">
        <w:t>interrelations</w:t>
      </w:r>
      <w:r w:rsidRPr="004C3D18">
        <w:rPr>
          <w:rFonts w:ascii="Calibri" w:hAnsi="Calibri" w:cs="Calibri"/>
        </w:rPr>
        <w:t xml:space="preserve"> between people and their environment (</w:t>
      </w:r>
      <w:r w:rsidR="007C6DD9">
        <w:rPr>
          <w:rFonts w:ascii="Calibri" w:hAnsi="Calibri" w:cs="Calibri"/>
        </w:rPr>
        <w:t>C</w:t>
      </w:r>
      <w:r w:rsidRPr="004C3D18">
        <w:rPr>
          <w:rFonts w:ascii="Calibri" w:hAnsi="Calibri" w:cs="Calibri"/>
        </w:rPr>
        <w:t>ountry/</w:t>
      </w:r>
      <w:r w:rsidR="007C6DD9">
        <w:rPr>
          <w:rFonts w:ascii="Calibri" w:hAnsi="Calibri" w:cs="Calibri"/>
        </w:rPr>
        <w:t>L</w:t>
      </w:r>
      <w:r w:rsidRPr="004C3D18">
        <w:rPr>
          <w:rFonts w:ascii="Calibri" w:hAnsi="Calibri" w:cs="Calibri"/>
        </w:rPr>
        <w:t>and/</w:t>
      </w:r>
      <w:r w:rsidR="007C6DD9">
        <w:rPr>
          <w:rFonts w:ascii="Calibri" w:hAnsi="Calibri" w:cs="Calibri"/>
        </w:rPr>
        <w:t>W</w:t>
      </w:r>
      <w:r w:rsidRPr="004C3D18">
        <w:rPr>
          <w:rFonts w:ascii="Calibri" w:hAnsi="Calibri" w:cs="Calibri"/>
        </w:rPr>
        <w:t>ater). These beliefs, values and traditions provide the basis for exploring long</w:t>
      </w:r>
      <w:r w:rsidR="00E65CF7">
        <w:rPr>
          <w:rFonts w:ascii="Calibri" w:hAnsi="Calibri" w:cs="Calibri"/>
        </w:rPr>
        <w:t>-term</w:t>
      </w:r>
      <w:r w:rsidRPr="004C3D18">
        <w:rPr>
          <w:rFonts w:ascii="Calibri" w:hAnsi="Calibri" w:cs="Calibri"/>
        </w:rPr>
        <w:t xml:space="preserve"> and short-term human impacts or consequences on the natural environment in a range of cultural contexts. This</w:t>
      </w:r>
      <w:r w:rsidR="007C6DD9">
        <w:rPr>
          <w:rFonts w:ascii="Calibri" w:hAnsi="Calibri" w:cs="Calibri"/>
        </w:rPr>
        <w:t>,</w:t>
      </w:r>
      <w:r w:rsidRPr="004C3D18">
        <w:rPr>
          <w:rFonts w:ascii="Calibri" w:hAnsi="Calibri" w:cs="Calibri"/>
        </w:rPr>
        <w:t xml:space="preserve"> in turn</w:t>
      </w:r>
      <w:r w:rsidR="007C6DD9">
        <w:rPr>
          <w:rFonts w:ascii="Calibri" w:hAnsi="Calibri" w:cs="Calibri"/>
        </w:rPr>
        <w:t>,</w:t>
      </w:r>
      <w:r w:rsidRPr="004C3D18">
        <w:rPr>
          <w:rFonts w:ascii="Calibri" w:hAnsi="Calibri" w:cs="Calibri"/>
        </w:rPr>
        <w:t xml:space="preserve"> forms the basis for developing and articulating values pertaining to ecological sustainability.</w:t>
      </w:r>
      <w:r w:rsidR="00DC3AEA">
        <w:br w:type="page"/>
      </w:r>
    </w:p>
    <w:p w14:paraId="5AF383FA" w14:textId="13217472" w:rsidR="00AF5724" w:rsidRPr="00AF5724" w:rsidRDefault="00AF5724" w:rsidP="006D4895">
      <w:pPr>
        <w:pStyle w:val="SyllabusHeading1"/>
      </w:pPr>
      <w:bookmarkStart w:id="32" w:name="_Toc114664266"/>
      <w:bookmarkStart w:id="33" w:name="_Toc173315829"/>
      <w:bookmarkStart w:id="34" w:name="_Toc175314872"/>
      <w:r w:rsidRPr="00AF5724">
        <w:lastRenderedPageBreak/>
        <w:t>Principles and protocols for teaching and learning</w:t>
      </w:r>
      <w:bookmarkEnd w:id="32"/>
      <w:bookmarkEnd w:id="33"/>
      <w:bookmarkEnd w:id="34"/>
    </w:p>
    <w:p w14:paraId="4B1AF54C" w14:textId="78611973" w:rsidR="00AF5724" w:rsidRPr="00AF5724" w:rsidRDefault="00AF5724" w:rsidP="00B70AA7">
      <w:pPr>
        <w:spacing w:before="120"/>
        <w:rPr>
          <w:rFonts w:eastAsia="MS PGothic" w:cs="Mangal"/>
        </w:rPr>
      </w:pPr>
      <w:r w:rsidRPr="00AF5724">
        <w:rPr>
          <w:rFonts w:eastAsia="MS PGothic" w:cs="Mangal"/>
        </w:rPr>
        <w:t>The following principles and protocols should be used in the development and delivery of this course</w:t>
      </w:r>
      <w:r w:rsidR="006B540C">
        <w:rPr>
          <w:rFonts w:eastAsia="MS PGothic" w:cs="Mangal"/>
        </w:rPr>
        <w:t>.</w:t>
      </w:r>
    </w:p>
    <w:p w14:paraId="64413887" w14:textId="77777777" w:rsidR="00AF5724" w:rsidRPr="00AF5724" w:rsidRDefault="00AF5724" w:rsidP="00B70AA7">
      <w:pPr>
        <w:spacing w:before="120"/>
        <w:rPr>
          <w:rFonts w:eastAsia="Franklin Gothic Book" w:cs="Calibri"/>
          <w:lang w:eastAsia="en-AU"/>
        </w:rPr>
      </w:pPr>
      <w:r w:rsidRPr="00AF5724">
        <w:rPr>
          <w:rFonts w:eastAsia="Franklin Gothic Book" w:cs="Calibri"/>
          <w:lang w:eastAsia="en-AU"/>
        </w:rPr>
        <w:t>Cultural safety and responsiveness</w:t>
      </w:r>
    </w:p>
    <w:p w14:paraId="35227DAB" w14:textId="16D4263D" w:rsidR="00AF5724" w:rsidRPr="00795F9D" w:rsidRDefault="00AF5724" w:rsidP="00795F9D">
      <w:pPr>
        <w:pStyle w:val="SyllabusListParagraph"/>
      </w:pPr>
      <w:r w:rsidRPr="00795F9D">
        <w:t>Recognise and engage with local community members, Elders and/or First Nations Peoples educators.</w:t>
      </w:r>
    </w:p>
    <w:p w14:paraId="073BCECF" w14:textId="3A29FDC0" w:rsidR="00AF5724" w:rsidRPr="00795F9D" w:rsidRDefault="00AF5724" w:rsidP="00795F9D">
      <w:pPr>
        <w:pStyle w:val="SyllabusListParagraph"/>
      </w:pPr>
      <w:r w:rsidRPr="00795F9D">
        <w:t xml:space="preserve">Use credible resources produced by or developed in consultation with First Nations Peoples, which provide an active First Nations </w:t>
      </w:r>
      <w:r w:rsidR="00DD446C" w:rsidRPr="00795F9D">
        <w:t>Peoples</w:t>
      </w:r>
      <w:r w:rsidR="0098192E">
        <w:t>’</w:t>
      </w:r>
      <w:r w:rsidRPr="00795F9D">
        <w:t xml:space="preserve"> voice and a range of perspectives.</w:t>
      </w:r>
    </w:p>
    <w:p w14:paraId="1C798BD5" w14:textId="1678A9F6" w:rsidR="00AF5724" w:rsidRPr="00795F9D" w:rsidRDefault="00AF5724" w:rsidP="00795F9D">
      <w:pPr>
        <w:pStyle w:val="SyllabusListParagraph"/>
      </w:pPr>
      <w:r w:rsidRPr="00795F9D">
        <w:t>Respect and acknowledge that ownership and teaching of First Nations Peoples</w:t>
      </w:r>
      <w:r w:rsidR="0098192E">
        <w:t>’</w:t>
      </w:r>
      <w:r w:rsidRPr="00795F9D">
        <w:t xml:space="preserve"> histories and cultures (e.g. traditional practices, spiritual and sacred knowledge) remains with First Nations families and communities.</w:t>
      </w:r>
    </w:p>
    <w:p w14:paraId="7DF6196E" w14:textId="4D9DE4CD" w:rsidR="00AF5724" w:rsidRPr="00795F9D" w:rsidRDefault="00AF5724" w:rsidP="00795F9D">
      <w:pPr>
        <w:pStyle w:val="SyllabusListParagraph"/>
      </w:pPr>
      <w:r w:rsidRPr="00795F9D">
        <w:t>Build on the knowledge, skills and prior experiences that Australian First Nation</w:t>
      </w:r>
      <w:r w:rsidR="00C05D70">
        <w:t>s</w:t>
      </w:r>
      <w:r w:rsidRPr="00795F9D">
        <w:t xml:space="preserve"> students bring with them to the classroom to ensure learning is relevant, connected and appropriate to achieve education success.</w:t>
      </w:r>
    </w:p>
    <w:p w14:paraId="653A93DC" w14:textId="77777777" w:rsidR="00AF5724" w:rsidRPr="00795F9D" w:rsidRDefault="00AF5724" w:rsidP="00795F9D">
      <w:pPr>
        <w:pStyle w:val="SyllabusListParagraph"/>
      </w:pPr>
      <w:r w:rsidRPr="00795F9D">
        <w:t>Recognise and acknowledge that Australia’s First Nations Peoples form significant, diverse and resilient living communities within contemporary society.</w:t>
      </w:r>
    </w:p>
    <w:p w14:paraId="1347455A" w14:textId="62F95F4A" w:rsidR="00AF5724" w:rsidRPr="00795F9D" w:rsidRDefault="00AF5724" w:rsidP="00795F9D">
      <w:pPr>
        <w:pStyle w:val="SyllabusListParagraph"/>
      </w:pPr>
      <w:r w:rsidRPr="00795F9D">
        <w:t>Create welcoming and supportive learning environments that respect the cultures, languages, experiences and world</w:t>
      </w:r>
      <w:r w:rsidR="00B16304">
        <w:t xml:space="preserve"> </w:t>
      </w:r>
      <w:r w:rsidRPr="00795F9D">
        <w:t>views of all students.</w:t>
      </w:r>
    </w:p>
    <w:p w14:paraId="303C4CC9" w14:textId="77777777" w:rsidR="00AF5724" w:rsidRPr="00795F9D" w:rsidRDefault="00AF5724" w:rsidP="00795F9D">
      <w:pPr>
        <w:pStyle w:val="SyllabusListParagraph"/>
      </w:pPr>
      <w:r w:rsidRPr="00795F9D">
        <w:t>Have the confidence and capability to pursue teaching and learning about, and with, Australian First Nations Peoples.</w:t>
      </w:r>
    </w:p>
    <w:p w14:paraId="0CF1F8D0" w14:textId="125D5A8E" w:rsidR="00BD216C" w:rsidRPr="00AF5724" w:rsidRDefault="00AF5724" w:rsidP="00B70AA7">
      <w:pPr>
        <w:spacing w:before="120"/>
        <w:rPr>
          <w:rFonts w:eastAsia="MS PGothic" w:cs="Mangal"/>
        </w:rPr>
      </w:pPr>
      <w:r w:rsidRPr="00AF5724">
        <w:rPr>
          <w:rFonts w:eastAsia="MS PGothic" w:cs="Mangal"/>
        </w:rPr>
        <w:t>Teaching and learning program</w:t>
      </w:r>
    </w:p>
    <w:p w14:paraId="53AEE36B" w14:textId="48008093" w:rsidR="00BD216C" w:rsidRPr="00795F9D" w:rsidRDefault="00BD216C" w:rsidP="00795F9D">
      <w:pPr>
        <w:pStyle w:val="SyllabusListParagraph"/>
      </w:pPr>
      <w:bookmarkStart w:id="35" w:name="_Hlk138058500"/>
      <w:r w:rsidRPr="00795F9D">
        <w:t>The teaching and learning program of the course</w:t>
      </w:r>
      <w:r w:rsidR="00B30716" w:rsidRPr="00795F9D">
        <w:t>,</w:t>
      </w:r>
      <w:r w:rsidRPr="00795F9D">
        <w:t xml:space="preserve"> </w:t>
      </w:r>
      <w:r w:rsidR="00B30716" w:rsidRPr="00795F9D">
        <w:t>where appropriate</w:t>
      </w:r>
      <w:r w:rsidR="008F0755" w:rsidRPr="00795F9D">
        <w:t>,</w:t>
      </w:r>
      <w:r w:rsidR="00B30716" w:rsidRPr="00795F9D">
        <w:t xml:space="preserve"> should</w:t>
      </w:r>
      <w:r w:rsidRPr="00795F9D">
        <w:t xml:space="preserve"> be contextualised for the community in which the course is being delivered.</w:t>
      </w:r>
    </w:p>
    <w:bookmarkEnd w:id="35"/>
    <w:p w14:paraId="20BD70E4" w14:textId="2378284D" w:rsidR="00AF5724" w:rsidRPr="00795F9D" w:rsidRDefault="00AF5724" w:rsidP="00795F9D">
      <w:pPr>
        <w:pStyle w:val="SyllabusListParagraph"/>
      </w:pPr>
      <w:r w:rsidRPr="00795F9D">
        <w:t>While the course uses the terms ‘First Nations Australians’ and ‘Australian First Nations Peoples,’ it is important to use the language and terms preferred in a particular area or location.</w:t>
      </w:r>
    </w:p>
    <w:p w14:paraId="1EA09DE4" w14:textId="24FF383E" w:rsidR="00AF5724" w:rsidRPr="00795F9D" w:rsidRDefault="00AF5724" w:rsidP="00795F9D">
      <w:pPr>
        <w:pStyle w:val="SyllabusListParagraph"/>
      </w:pPr>
      <w:r w:rsidRPr="00795F9D">
        <w:t xml:space="preserve">In this course, the term Australian First Nations Peoples includes both Aboriginal Peoples and Torres Strait Islander Peoples. The term First Nations Peoples is inclusive of both Australian First Nations Peoples and First Nations Peoples from countries other than Australia. </w:t>
      </w:r>
      <w:r w:rsidR="004304C1" w:rsidRPr="00795F9D">
        <w:t>T</w:t>
      </w:r>
      <w:r w:rsidRPr="00795F9D">
        <w:t xml:space="preserve">he </w:t>
      </w:r>
      <w:r w:rsidR="004304C1" w:rsidRPr="00795F9D">
        <w:t xml:space="preserve">term Indigenous is used only when in direct relation to a policy or in reference to a specific text which uses </w:t>
      </w:r>
      <w:r w:rsidR="00F44BA0" w:rsidRPr="00795F9D">
        <w:t>the term Indigenous in the title of the policy and/or document.</w:t>
      </w:r>
    </w:p>
    <w:p w14:paraId="12D5FD1C" w14:textId="77777777" w:rsidR="00AF5724" w:rsidRPr="00795F9D" w:rsidRDefault="00AF5724" w:rsidP="00795F9D">
      <w:pPr>
        <w:pStyle w:val="SyllabusListParagraph"/>
      </w:pPr>
      <w:r w:rsidRPr="00795F9D">
        <w:t>Include where possible, and within the bounds of the syllabus, case studies, examples and issues that align with the locality of the school delivering the course.</w:t>
      </w:r>
    </w:p>
    <w:p w14:paraId="365BE760" w14:textId="77777777" w:rsidR="00AF5724" w:rsidRPr="00795F9D" w:rsidRDefault="00AF5724" w:rsidP="00795F9D">
      <w:pPr>
        <w:pStyle w:val="SyllabusListParagraph"/>
      </w:pPr>
      <w:r w:rsidRPr="00795F9D">
        <w:t>Ensure that learning is built on and includes local, regional and national cultural knowledge and experience of Australian First Nations Peoples in partnership with local communities.</w:t>
      </w:r>
    </w:p>
    <w:p w14:paraId="5108E76A" w14:textId="3C2418C3" w:rsidR="00BD216C" w:rsidRDefault="00AF5724" w:rsidP="00795F9D">
      <w:pPr>
        <w:pStyle w:val="SyllabusListParagraph"/>
      </w:pPr>
      <w:r w:rsidRPr="00795F9D">
        <w:t>Use other courses students are undertaking (e.g. EALD, VET courses such as Coastal and Land Management, Indigenous Rangers programs etc.) for cross-curricular learning opportunities, encouraging and supporting students to connect cultural, societal and historical knowledge.</w:t>
      </w:r>
      <w:r w:rsidR="00BD216C">
        <w:br w:type="page"/>
      </w:r>
    </w:p>
    <w:p w14:paraId="5E18DB21" w14:textId="63FBE18E" w:rsidR="00AF5724" w:rsidRPr="00827DBC" w:rsidRDefault="00AF5724" w:rsidP="00FE26F0">
      <w:r w:rsidRPr="00AF5724">
        <w:lastRenderedPageBreak/>
        <w:t>When selecting resources, teachers need to:</w:t>
      </w:r>
    </w:p>
    <w:p w14:paraId="7A9B57D4" w14:textId="0343A69B" w:rsidR="00AF5724" w:rsidRPr="00795F9D" w:rsidRDefault="00AF5724" w:rsidP="00795F9D">
      <w:pPr>
        <w:pStyle w:val="SyllabusListParagraph"/>
      </w:pPr>
      <w:r w:rsidRPr="00795F9D">
        <w:t>consult with local community members and/or First Nations Peoples educators, if possible, about the terminology, resources and texts that can or cannot be used, and whether they may be accessed by some or all students</w:t>
      </w:r>
    </w:p>
    <w:p w14:paraId="5CC98B79" w14:textId="4509DBED" w:rsidR="00AF5724" w:rsidRPr="00795F9D" w:rsidRDefault="00AF5724" w:rsidP="00795F9D">
      <w:pPr>
        <w:pStyle w:val="SyllabusListParagraph"/>
      </w:pPr>
      <w:r w:rsidRPr="00795F9D">
        <w:t xml:space="preserve">use respectful and inclusive language and terminology, such as those included in </w:t>
      </w:r>
      <w:r w:rsidRPr="00795F9D">
        <w:rPr>
          <w:i/>
          <w:iCs/>
        </w:rPr>
        <w:t>A guide to using respectful and inclusive language and terminology</w:t>
      </w:r>
      <w:r w:rsidR="00EE280D">
        <w:br/>
      </w:r>
      <w:hyperlink r:id="rId11" w:history="1">
        <w:r w:rsidR="003B1A32" w:rsidRPr="003B1A32">
          <w:rPr>
            <w:rStyle w:val="Hyperlink"/>
          </w:rPr>
          <w:t>https://www.narragunnawali.org.au/about/terminology-guide</w:t>
        </w:r>
      </w:hyperlink>
    </w:p>
    <w:p w14:paraId="090F3EF0" w14:textId="45D5B022" w:rsidR="00AF5724" w:rsidRPr="00795F9D" w:rsidRDefault="00AF5724" w:rsidP="00795F9D">
      <w:pPr>
        <w:pStyle w:val="SyllabusListParagraph"/>
      </w:pPr>
      <w:r w:rsidRPr="00795F9D">
        <w:t xml:space="preserve">analyse the resources using a framework of questions, such as those listed in </w:t>
      </w:r>
      <w:r w:rsidR="004F031D">
        <w:rPr>
          <w:i/>
          <w:iCs/>
        </w:rPr>
        <w:t>Subject Guides</w:t>
      </w:r>
      <w:r w:rsidRPr="00795F9D">
        <w:t xml:space="preserve"> </w:t>
      </w:r>
      <w:hyperlink r:id="rId12" w:history="1">
        <w:r w:rsidR="003B1A32" w:rsidRPr="00845297">
          <w:rPr>
            <w:rStyle w:val="Hyperlink"/>
          </w:rPr>
          <w:t>https://www.narragunnawali.org.au/about/subject-guides</w:t>
        </w:r>
      </w:hyperlink>
      <w:r w:rsidRPr="00795F9D">
        <w:t>.</w:t>
      </w:r>
    </w:p>
    <w:p w14:paraId="718964B2" w14:textId="6138F463" w:rsidR="00AF5724" w:rsidRDefault="00AF5724" w:rsidP="00B70AA7">
      <w:r>
        <w:br w:type="page"/>
      </w:r>
    </w:p>
    <w:p w14:paraId="562F2A72" w14:textId="0D7773B3" w:rsidR="00416C3D" w:rsidRPr="00A93F91" w:rsidRDefault="000933B2" w:rsidP="006D4895">
      <w:pPr>
        <w:pStyle w:val="SyllabusHeading1"/>
      </w:pPr>
      <w:bookmarkStart w:id="36" w:name="_Toc173315830"/>
      <w:bookmarkStart w:id="37" w:name="_Toc175314873"/>
      <w:bookmarkEnd w:id="29"/>
      <w:r>
        <w:lastRenderedPageBreak/>
        <w:t>Unit 1</w:t>
      </w:r>
      <w:bookmarkEnd w:id="36"/>
      <w:bookmarkEnd w:id="37"/>
    </w:p>
    <w:p w14:paraId="6A7C493A" w14:textId="497AEB3A" w:rsidR="00540775" w:rsidRPr="00A93F91" w:rsidRDefault="00540775" w:rsidP="006D4895">
      <w:pPr>
        <w:pStyle w:val="SyllabusHeading2"/>
      </w:pPr>
      <w:bookmarkStart w:id="38" w:name="_Toc173315831"/>
      <w:bookmarkStart w:id="39" w:name="_Toc175314874"/>
      <w:r w:rsidRPr="00A93F91">
        <w:t>Unit description</w:t>
      </w:r>
      <w:bookmarkEnd w:id="38"/>
      <w:bookmarkEnd w:id="39"/>
    </w:p>
    <w:p w14:paraId="0953AD70" w14:textId="4B72A8B8" w:rsidR="00384076" w:rsidRDefault="00443748" w:rsidP="00751318">
      <w:pPr>
        <w:rPr>
          <w:rFonts w:cs="Times New Roman"/>
        </w:rPr>
      </w:pPr>
      <w:bookmarkStart w:id="40" w:name="_Toc347908214"/>
      <w:r w:rsidRPr="0010526A">
        <w:rPr>
          <w:rFonts w:cs="Times New Roman"/>
        </w:rPr>
        <w:t>The focus for this unit is to develop knowledge and understanding of Australia</w:t>
      </w:r>
      <w:r w:rsidR="006A0AFB" w:rsidRPr="0010526A">
        <w:rPr>
          <w:rFonts w:cs="Times New Roman"/>
        </w:rPr>
        <w:t>n</w:t>
      </w:r>
      <w:r w:rsidRPr="0010526A">
        <w:rPr>
          <w:rFonts w:cs="Times New Roman"/>
        </w:rPr>
        <w:t xml:space="preserve"> First Nations Peoples as being the oldest living continuous cultures in the world.</w:t>
      </w:r>
      <w:r w:rsidR="006F700D" w:rsidRPr="0010526A">
        <w:rPr>
          <w:rFonts w:cs="Times New Roman"/>
        </w:rPr>
        <w:t xml:space="preserve"> </w:t>
      </w:r>
      <w:r w:rsidR="00F07994">
        <w:rPr>
          <w:rFonts w:cs="Times New Roman"/>
        </w:rPr>
        <w:t>The unit begins with a</w:t>
      </w:r>
      <w:r w:rsidR="00DB1BBF">
        <w:rPr>
          <w:rFonts w:cs="Times New Roman"/>
        </w:rPr>
        <w:t>n</w:t>
      </w:r>
      <w:r w:rsidR="00F07994">
        <w:rPr>
          <w:rFonts w:cs="Times New Roman"/>
        </w:rPr>
        <w:t xml:space="preserve"> overview exploring the </w:t>
      </w:r>
      <w:r w:rsidR="00E835B0">
        <w:rPr>
          <w:rFonts w:cs="Times New Roman"/>
        </w:rPr>
        <w:t>g</w:t>
      </w:r>
      <w:r w:rsidR="00F07994">
        <w:rPr>
          <w:rFonts w:cs="Times New Roman"/>
        </w:rPr>
        <w:t xml:space="preserve">lobal </w:t>
      </w:r>
      <w:r w:rsidR="00E21CE3">
        <w:rPr>
          <w:rFonts w:cs="Times New Roman"/>
        </w:rPr>
        <w:t>diversity</w:t>
      </w:r>
      <w:r w:rsidR="00F07994">
        <w:rPr>
          <w:rFonts w:cs="Times New Roman"/>
        </w:rPr>
        <w:t xml:space="preserve"> of First Nations Peoples. </w:t>
      </w:r>
      <w:r w:rsidR="006F700D" w:rsidRPr="0010526A">
        <w:rPr>
          <w:rFonts w:cs="Times New Roman"/>
        </w:rPr>
        <w:t>With this focus</w:t>
      </w:r>
      <w:r w:rsidR="00DB1BBF">
        <w:rPr>
          <w:rFonts w:cs="Times New Roman"/>
        </w:rPr>
        <w:t>,</w:t>
      </w:r>
      <w:r w:rsidR="006F700D" w:rsidRPr="0010526A">
        <w:rPr>
          <w:rFonts w:cs="Times New Roman"/>
        </w:rPr>
        <w:t xml:space="preserve"> students examine factors that contribute to a group, or individual, identity</w:t>
      </w:r>
      <w:r w:rsidR="0010526A" w:rsidRPr="0010526A">
        <w:rPr>
          <w:rFonts w:cs="Times New Roman"/>
        </w:rPr>
        <w:t xml:space="preserve"> </w:t>
      </w:r>
      <w:r w:rsidR="006F700D" w:rsidRPr="0010526A">
        <w:rPr>
          <w:rFonts w:cs="Times New Roman"/>
        </w:rPr>
        <w:t>and develop an awareness of the ways First Nations Peoples’ identities are expressed through unique ways of being, knowing and doing.</w:t>
      </w:r>
      <w:r w:rsidR="00E305A3" w:rsidRPr="0010526A">
        <w:rPr>
          <w:rFonts w:cs="Times New Roman"/>
        </w:rPr>
        <w:t xml:space="preserve"> Students investigate</w:t>
      </w:r>
      <w:r w:rsidR="00384076">
        <w:rPr>
          <w:rFonts w:cs="Times New Roman"/>
        </w:rPr>
        <w:t xml:space="preserve"> the ways </w:t>
      </w:r>
      <w:r w:rsidR="00384076" w:rsidRPr="00384076">
        <w:rPr>
          <w:rFonts w:cs="Times New Roman"/>
        </w:rPr>
        <w:t>First Nations Australians demonstrate resilience in the</w:t>
      </w:r>
      <w:r w:rsidR="00384076">
        <w:rPr>
          <w:rFonts w:cs="Times New Roman"/>
        </w:rPr>
        <w:t xml:space="preserve"> </w:t>
      </w:r>
      <w:r w:rsidR="00384076" w:rsidRPr="00384076">
        <w:rPr>
          <w:rFonts w:cs="Times New Roman"/>
        </w:rPr>
        <w:t>maintenance, practice and revitalisation of culture despite the many historic and</w:t>
      </w:r>
      <w:r w:rsidR="00384076">
        <w:rPr>
          <w:rFonts w:cs="Times New Roman"/>
        </w:rPr>
        <w:t xml:space="preserve"> </w:t>
      </w:r>
      <w:r w:rsidR="00384076" w:rsidRPr="00384076">
        <w:rPr>
          <w:rFonts w:cs="Times New Roman"/>
        </w:rPr>
        <w:t>enduring impacts of colonisation, and continue to celebrate and share the past,</w:t>
      </w:r>
      <w:r w:rsidR="00384076">
        <w:rPr>
          <w:rFonts w:cs="Times New Roman"/>
        </w:rPr>
        <w:t xml:space="preserve"> </w:t>
      </w:r>
      <w:r w:rsidR="00384076" w:rsidRPr="00384076">
        <w:rPr>
          <w:rFonts w:cs="Times New Roman"/>
        </w:rPr>
        <w:t>present and future manifestations of their cultures.</w:t>
      </w:r>
    </w:p>
    <w:p w14:paraId="7E3792EB" w14:textId="77777777" w:rsidR="00D65C5C" w:rsidRPr="00A93F91" w:rsidRDefault="00D65C5C" w:rsidP="006D4895">
      <w:pPr>
        <w:pStyle w:val="SyllabusHeading2"/>
      </w:pPr>
      <w:bookmarkStart w:id="41" w:name="_Toc358372276"/>
      <w:bookmarkStart w:id="42" w:name="_Toc173315832"/>
      <w:bookmarkStart w:id="43" w:name="_Toc175314875"/>
      <w:bookmarkEnd w:id="40"/>
      <w:r w:rsidRPr="00A93F91">
        <w:t>Unit content</w:t>
      </w:r>
      <w:bookmarkEnd w:id="41"/>
      <w:bookmarkEnd w:id="42"/>
      <w:bookmarkEnd w:id="43"/>
    </w:p>
    <w:p w14:paraId="350C3AC2" w14:textId="77777777" w:rsidR="00D65C5C" w:rsidRDefault="00D65C5C" w:rsidP="00470573">
      <w:pPr>
        <w:rPr>
          <w:rFonts w:ascii="Calibri" w:hAnsi="Calibri" w:cs="Calibri"/>
        </w:rPr>
      </w:pPr>
      <w:r w:rsidRPr="00434AF8">
        <w:rPr>
          <w:rFonts w:ascii="Calibri" w:hAnsi="Calibri" w:cs="Calibri"/>
        </w:rPr>
        <w:t xml:space="preserve">This unit includes the knowledge, </w:t>
      </w:r>
      <w:r w:rsidRPr="00470573">
        <w:t>understandings</w:t>
      </w:r>
      <w:r w:rsidRPr="00434AF8">
        <w:rPr>
          <w:rFonts w:ascii="Calibri" w:hAnsi="Calibri" w:cs="Calibri"/>
        </w:rPr>
        <w:t xml:space="preserve"> and skills described below.</w:t>
      </w:r>
    </w:p>
    <w:p w14:paraId="444DD23C" w14:textId="59E0E922" w:rsidR="003F2E4D" w:rsidRDefault="003F2E4D" w:rsidP="006D4895">
      <w:pPr>
        <w:pStyle w:val="SyllabusHeading4"/>
      </w:pPr>
      <w:r w:rsidRPr="00A65F2D">
        <w:t>Overview of</w:t>
      </w:r>
      <w:r>
        <w:t xml:space="preserve"> the diversity of</w:t>
      </w:r>
      <w:r w:rsidRPr="00A65F2D">
        <w:t xml:space="preserve"> First Nations Peoples</w:t>
      </w:r>
    </w:p>
    <w:p w14:paraId="58E8FA6E" w14:textId="77777777" w:rsidR="00361496" w:rsidRPr="00470573" w:rsidRDefault="00361496" w:rsidP="00470573">
      <w:pPr>
        <w:pStyle w:val="SyllabusListParagraph"/>
      </w:pPr>
      <w:r w:rsidRPr="00470573">
        <w:t>define the following key terms and concepts as they relate to, and by privileging, First Nations Peoples’ voices and perspectives</w:t>
      </w:r>
    </w:p>
    <w:p w14:paraId="7CDC4312" w14:textId="3547AF9E" w:rsidR="00361496" w:rsidRPr="00470573" w:rsidRDefault="006A4B90" w:rsidP="00470573">
      <w:pPr>
        <w:pStyle w:val="SyllabusListParagraph"/>
        <w:numPr>
          <w:ilvl w:val="1"/>
          <w:numId w:val="16"/>
        </w:numPr>
      </w:pPr>
      <w:bookmarkStart w:id="44" w:name="_Hlk152235284"/>
      <w:r>
        <w:t>c</w:t>
      </w:r>
      <w:r w:rsidR="00361496" w:rsidRPr="00470573">
        <w:t>ulture</w:t>
      </w:r>
    </w:p>
    <w:p w14:paraId="29060612" w14:textId="7B2C128B" w:rsidR="00361496" w:rsidRPr="00470573" w:rsidRDefault="006A4B90" w:rsidP="00470573">
      <w:pPr>
        <w:pStyle w:val="SyllabusListParagraph"/>
        <w:numPr>
          <w:ilvl w:val="1"/>
          <w:numId w:val="16"/>
        </w:numPr>
      </w:pPr>
      <w:r>
        <w:t>i</w:t>
      </w:r>
      <w:r w:rsidR="00361496" w:rsidRPr="00470573">
        <w:t>dentity</w:t>
      </w:r>
    </w:p>
    <w:p w14:paraId="6723B62E" w14:textId="3354B473" w:rsidR="00361496" w:rsidRPr="00470573" w:rsidRDefault="006A4B90" w:rsidP="00470573">
      <w:pPr>
        <w:pStyle w:val="SyllabusListParagraph"/>
        <w:numPr>
          <w:ilvl w:val="1"/>
          <w:numId w:val="16"/>
        </w:numPr>
      </w:pPr>
      <w:r>
        <w:t>h</w:t>
      </w:r>
      <w:r w:rsidR="00361496" w:rsidRPr="00470573">
        <w:t>eritage</w:t>
      </w:r>
    </w:p>
    <w:p w14:paraId="34BD1C24" w14:textId="7799F5AD" w:rsidR="00361496" w:rsidRPr="00470573" w:rsidRDefault="006A4B90" w:rsidP="00470573">
      <w:pPr>
        <w:pStyle w:val="SyllabusListParagraph"/>
        <w:numPr>
          <w:ilvl w:val="1"/>
          <w:numId w:val="16"/>
        </w:numPr>
      </w:pPr>
      <w:r>
        <w:t>c</w:t>
      </w:r>
      <w:r w:rsidR="00361496" w:rsidRPr="00470573">
        <w:t>olon</w:t>
      </w:r>
      <w:r w:rsidR="003E60FF" w:rsidRPr="00470573">
        <w:t>isation</w:t>
      </w:r>
    </w:p>
    <w:bookmarkEnd w:id="44"/>
    <w:p w14:paraId="55ED6239" w14:textId="5685D9BA" w:rsidR="00361496" w:rsidRPr="00470573" w:rsidRDefault="005D5ABB" w:rsidP="00470573">
      <w:pPr>
        <w:pStyle w:val="SyllabusListParagraph"/>
      </w:pPr>
      <w:r w:rsidRPr="00470573">
        <w:t>who are</w:t>
      </w:r>
      <w:r w:rsidR="00361496" w:rsidRPr="00470573">
        <w:t xml:space="preserve"> </w:t>
      </w:r>
      <w:r w:rsidR="00224BAC" w:rsidRPr="00470573">
        <w:t>First Nation</w:t>
      </w:r>
      <w:r w:rsidR="005D7245">
        <w:t>s</w:t>
      </w:r>
      <w:r w:rsidR="00F07994" w:rsidRPr="00470573">
        <w:t xml:space="preserve"> (Indigenous)</w:t>
      </w:r>
      <w:r w:rsidR="00361496" w:rsidRPr="00470573">
        <w:t xml:space="preserve"> </w:t>
      </w:r>
      <w:r w:rsidR="00224BAC" w:rsidRPr="00470573">
        <w:t>P</w:t>
      </w:r>
      <w:r w:rsidR="00361496" w:rsidRPr="00470573">
        <w:t>eoples and groups according to the United Nations</w:t>
      </w:r>
    </w:p>
    <w:p w14:paraId="0EDE1A0C" w14:textId="7EFEB29D" w:rsidR="00361496" w:rsidRPr="00470573" w:rsidRDefault="00361496" w:rsidP="00470573">
      <w:pPr>
        <w:pStyle w:val="SyllabusListParagraph"/>
      </w:pPr>
      <w:bookmarkStart w:id="45" w:name="_Hlk152235343"/>
      <w:r w:rsidRPr="00470573">
        <w:t>demographics</w:t>
      </w:r>
      <w:bookmarkEnd w:id="45"/>
      <w:r w:rsidRPr="00470573">
        <w:t xml:space="preserve"> of</w:t>
      </w:r>
      <w:r w:rsidR="00224BAC" w:rsidRPr="00470573">
        <w:t xml:space="preserve"> First Nation</w:t>
      </w:r>
      <w:r w:rsidR="005D7245">
        <w:t>s</w:t>
      </w:r>
      <w:r w:rsidR="00224BAC" w:rsidRPr="00470573">
        <w:t xml:space="preserve"> Peoples</w:t>
      </w:r>
      <w:r w:rsidRPr="00470573">
        <w:t xml:space="preserve"> globally, including portion of the population, number of distinct groups and languages</w:t>
      </w:r>
    </w:p>
    <w:p w14:paraId="799A0311" w14:textId="5BE9A3E1" w:rsidR="00361496" w:rsidRPr="00470573" w:rsidRDefault="00361496" w:rsidP="00470573">
      <w:pPr>
        <w:pStyle w:val="SyllabusListParagraph"/>
      </w:pPr>
      <w:r w:rsidRPr="00470573">
        <w:t>cultural rights of First Nations Peoples, includ</w:t>
      </w:r>
      <w:r w:rsidR="00224BAC" w:rsidRPr="00470573">
        <w:t>ed in</w:t>
      </w:r>
    </w:p>
    <w:p w14:paraId="247492AC" w14:textId="77777777" w:rsidR="00361496" w:rsidRPr="00470573" w:rsidRDefault="00361496" w:rsidP="00470573">
      <w:pPr>
        <w:pStyle w:val="SyllabusListParagraph"/>
        <w:numPr>
          <w:ilvl w:val="1"/>
          <w:numId w:val="16"/>
        </w:numPr>
        <w:rPr>
          <w:i/>
          <w:iCs/>
        </w:rPr>
      </w:pPr>
      <w:r w:rsidRPr="00470573">
        <w:t>Section 28 of the </w:t>
      </w:r>
      <w:r w:rsidRPr="00470573">
        <w:rPr>
          <w:i/>
          <w:iCs/>
        </w:rPr>
        <w:t>Human Rights Act 2019</w:t>
      </w:r>
    </w:p>
    <w:p w14:paraId="272B8EC0" w14:textId="6266AF20" w:rsidR="00361496" w:rsidRPr="00470573" w:rsidRDefault="00361496" w:rsidP="00470573">
      <w:pPr>
        <w:pStyle w:val="SyllabusListParagraph"/>
        <w:numPr>
          <w:ilvl w:val="1"/>
          <w:numId w:val="16"/>
        </w:numPr>
        <w:rPr>
          <w:i/>
          <w:iCs/>
        </w:rPr>
      </w:pPr>
      <w:r w:rsidRPr="00470573">
        <w:t>Article</w:t>
      </w:r>
      <w:r w:rsidR="006A4B90">
        <w:t>s</w:t>
      </w:r>
      <w:r w:rsidRPr="00470573">
        <w:t xml:space="preserve"> 2, 8, 11, 12 and 13 of the </w:t>
      </w:r>
      <w:r w:rsidRPr="00470573">
        <w:rPr>
          <w:i/>
          <w:iCs/>
        </w:rPr>
        <w:t>United Nations Declaration on the Rights of Indigenous Peoples</w:t>
      </w:r>
    </w:p>
    <w:p w14:paraId="01915748" w14:textId="60FF4C8E" w:rsidR="00361496" w:rsidRPr="00470573" w:rsidRDefault="00361496" w:rsidP="00470573">
      <w:pPr>
        <w:pStyle w:val="SyllabusListParagraph"/>
      </w:pPr>
      <w:r w:rsidRPr="00470573">
        <w:t>the diversity of Australian First Nations Peoples including</w:t>
      </w:r>
    </w:p>
    <w:p w14:paraId="3FCE1C9B" w14:textId="4687BBA0" w:rsidR="00361496" w:rsidRPr="00470573" w:rsidRDefault="00361496" w:rsidP="00470573">
      <w:pPr>
        <w:pStyle w:val="SyllabusListParagraph"/>
        <w:numPr>
          <w:ilvl w:val="1"/>
          <w:numId w:val="16"/>
        </w:numPr>
      </w:pPr>
      <w:r w:rsidRPr="00470573">
        <w:t>number of distinct groups and languages</w:t>
      </w:r>
    </w:p>
    <w:p w14:paraId="612C29AB" w14:textId="77777777" w:rsidR="00361496" w:rsidRPr="00470573" w:rsidRDefault="00361496" w:rsidP="00470573">
      <w:pPr>
        <w:pStyle w:val="SyllabusListParagraph"/>
        <w:numPr>
          <w:ilvl w:val="1"/>
          <w:numId w:val="16"/>
        </w:numPr>
      </w:pPr>
      <w:bookmarkStart w:id="46" w:name="_Hlk152235326"/>
      <w:r w:rsidRPr="00470573">
        <w:t>population distribution</w:t>
      </w:r>
    </w:p>
    <w:bookmarkEnd w:id="46"/>
    <w:p w14:paraId="1FBDFC6F" w14:textId="77777777" w:rsidR="00F55B41" w:rsidRPr="00470573" w:rsidRDefault="00F55B41" w:rsidP="00470573">
      <w:pPr>
        <w:pStyle w:val="SyllabusListParagraph"/>
      </w:pPr>
      <w:r w:rsidRPr="00470573">
        <w:t>evidence of Australian First Nations Peoples being the oldest, continuous living cultures in the world, including scientific and archaeological evidence</w:t>
      </w:r>
    </w:p>
    <w:p w14:paraId="4780ABC1" w14:textId="2751381D" w:rsidR="006D4895" w:rsidRPr="00470573" w:rsidRDefault="009D4530" w:rsidP="00B31F93">
      <w:pPr>
        <w:pStyle w:val="SyllabusListParagraph"/>
      </w:pPr>
      <w:r w:rsidRPr="00470573">
        <w:t xml:space="preserve">evidence of changing societal attitudes to valuing First Nations Peoples’ unique ways of knowing, being and doing (e.g. </w:t>
      </w:r>
      <w:r w:rsidR="007C0642" w:rsidRPr="00470573">
        <w:t xml:space="preserve">language revitalisation, </w:t>
      </w:r>
      <w:r w:rsidR="00157BFF" w:rsidRPr="00470573">
        <w:t xml:space="preserve">use of </w:t>
      </w:r>
      <w:r w:rsidR="00187765" w:rsidRPr="00470573">
        <w:t>First Nations Peoples</w:t>
      </w:r>
      <w:r w:rsidR="0071226A">
        <w:t>’</w:t>
      </w:r>
      <w:r w:rsidR="00187765" w:rsidRPr="00470573">
        <w:t xml:space="preserve"> knowledge</w:t>
      </w:r>
      <w:r w:rsidR="00157BFF" w:rsidRPr="00470573">
        <w:t xml:space="preserve"> and practices</w:t>
      </w:r>
      <w:r w:rsidR="00FF60C7" w:rsidRPr="00470573">
        <w:t>)</w:t>
      </w:r>
      <w:r w:rsidR="006D4895" w:rsidRPr="00470573">
        <w:br w:type="page"/>
      </w:r>
    </w:p>
    <w:p w14:paraId="0D1A637F" w14:textId="3F38EB3B" w:rsidR="00361496" w:rsidRPr="00A65F2D" w:rsidRDefault="00361496" w:rsidP="00DA4B39">
      <w:pPr>
        <w:pStyle w:val="SyllabusHeading4"/>
      </w:pPr>
      <w:r w:rsidRPr="00A65F2D">
        <w:lastRenderedPageBreak/>
        <w:t>Depth Study One</w:t>
      </w:r>
    </w:p>
    <w:p w14:paraId="4867A919" w14:textId="430DA49C" w:rsidR="00361496" w:rsidRPr="00A65F2D" w:rsidRDefault="00361496" w:rsidP="00E3783B">
      <w:pPr>
        <w:rPr>
          <w:rFonts w:cs="Times New Roman"/>
        </w:rPr>
      </w:pPr>
      <w:r w:rsidRPr="00A65F2D">
        <w:rPr>
          <w:rFonts w:cs="Times New Roman"/>
        </w:rPr>
        <w:t>Through community experiences and/or secondary sources, and by privileging First Nations Peoples’ voices and perspectives, students investigate the cultural</w:t>
      </w:r>
      <w:r w:rsidR="00615D07">
        <w:rPr>
          <w:rFonts w:cs="Times New Roman"/>
        </w:rPr>
        <w:t xml:space="preserve"> diversity and</w:t>
      </w:r>
      <w:r w:rsidRPr="00A65F2D">
        <w:rPr>
          <w:rFonts w:cs="Times New Roman"/>
        </w:rPr>
        <w:t xml:space="preserve"> identit</w:t>
      </w:r>
      <w:r w:rsidR="00615D07">
        <w:rPr>
          <w:rFonts w:cs="Times New Roman"/>
        </w:rPr>
        <w:t xml:space="preserve">ies </w:t>
      </w:r>
      <w:r w:rsidRPr="00A65F2D">
        <w:rPr>
          <w:rFonts w:cs="Times New Roman"/>
        </w:rPr>
        <w:t xml:space="preserve">of </w:t>
      </w:r>
      <w:r w:rsidRPr="00615D07">
        <w:rPr>
          <w:rFonts w:cs="Times New Roman"/>
          <w:b/>
          <w:bCs/>
        </w:rPr>
        <w:t>one</w:t>
      </w:r>
      <w:r w:rsidRPr="00A65F2D">
        <w:rPr>
          <w:rFonts w:cs="Times New Roman"/>
        </w:rPr>
        <w:t xml:space="preserve"> Western Australian First Nations People</w:t>
      </w:r>
      <w:r w:rsidRPr="00615D07">
        <w:rPr>
          <w:rFonts w:cs="Times New Roman"/>
        </w:rPr>
        <w:t xml:space="preserve"> and</w:t>
      </w:r>
      <w:r w:rsidRPr="00A65F2D">
        <w:rPr>
          <w:rFonts w:cs="Times New Roman"/>
        </w:rPr>
        <w:t xml:space="preserve"> </w:t>
      </w:r>
      <w:r w:rsidRPr="00615D07">
        <w:rPr>
          <w:rFonts w:cs="Times New Roman"/>
          <w:b/>
          <w:bCs/>
        </w:rPr>
        <w:t>one</w:t>
      </w:r>
      <w:r w:rsidRPr="00A65F2D">
        <w:rPr>
          <w:rFonts w:cs="Times New Roman"/>
        </w:rPr>
        <w:t xml:space="preserve"> </w:t>
      </w:r>
      <w:r w:rsidR="00615D07">
        <w:rPr>
          <w:rFonts w:cs="Times New Roman"/>
        </w:rPr>
        <w:t>Torres Strait Islander</w:t>
      </w:r>
      <w:r w:rsidRPr="00A65F2D">
        <w:rPr>
          <w:rFonts w:cs="Times New Roman"/>
        </w:rPr>
        <w:t xml:space="preserve"> First Nations People</w:t>
      </w:r>
      <w:r>
        <w:rPr>
          <w:rFonts w:cs="Times New Roman"/>
        </w:rPr>
        <w:t>.</w:t>
      </w:r>
    </w:p>
    <w:p w14:paraId="4BCEF322" w14:textId="60C720CE" w:rsidR="00361496" w:rsidRDefault="00361496" w:rsidP="00361496">
      <w:pPr>
        <w:ind w:right="-26"/>
        <w:rPr>
          <w:rFonts w:cs="Times New Roman"/>
        </w:rPr>
      </w:pPr>
      <w:r w:rsidRPr="00A65F2D">
        <w:rPr>
          <w:rFonts w:cs="Times New Roman"/>
        </w:rPr>
        <w:t xml:space="preserve">For the </w:t>
      </w:r>
      <w:r w:rsidRPr="00A65F2D">
        <w:rPr>
          <w:rFonts w:cs="Times New Roman"/>
          <w:b/>
        </w:rPr>
        <w:t>two</w:t>
      </w:r>
      <w:r w:rsidRPr="00A65F2D">
        <w:rPr>
          <w:rFonts w:cs="Times New Roman"/>
        </w:rPr>
        <w:t xml:space="preserve"> selected </w:t>
      </w:r>
      <w:r w:rsidR="00AE2F17">
        <w:rPr>
          <w:rFonts w:cs="Times New Roman"/>
        </w:rPr>
        <w:t xml:space="preserve">Australian </w:t>
      </w:r>
      <w:r w:rsidRPr="00A65F2D">
        <w:rPr>
          <w:rFonts w:cs="Times New Roman"/>
        </w:rPr>
        <w:t xml:space="preserve">First Nations Peoples, students </w:t>
      </w:r>
      <w:r w:rsidR="00DF0246">
        <w:rPr>
          <w:rFonts w:cs="Times New Roman"/>
        </w:rPr>
        <w:t>investigate</w:t>
      </w:r>
      <w:r w:rsidRPr="00A65F2D">
        <w:rPr>
          <w:rFonts w:cs="Times New Roman"/>
        </w:rPr>
        <w:t xml:space="preserve">: </w:t>
      </w:r>
    </w:p>
    <w:p w14:paraId="6F413175" w14:textId="60C60AE2" w:rsidR="00FC5F6D" w:rsidRPr="00470573" w:rsidRDefault="00535DE4" w:rsidP="00470573">
      <w:pPr>
        <w:pStyle w:val="SyllabusListParagraph"/>
      </w:pPr>
      <w:r w:rsidRPr="00470573">
        <w:t>l</w:t>
      </w:r>
      <w:r w:rsidR="00FC5F6D" w:rsidRPr="00470573">
        <w:t>ocation</w:t>
      </w:r>
    </w:p>
    <w:p w14:paraId="5D522B07" w14:textId="09C171B1" w:rsidR="00361496" w:rsidRPr="00470573" w:rsidRDefault="00361496" w:rsidP="00470573">
      <w:pPr>
        <w:pStyle w:val="SyllabusListParagraph"/>
      </w:pPr>
      <w:r w:rsidRPr="00470573">
        <w:t xml:space="preserve">cultural identity, including </w:t>
      </w:r>
    </w:p>
    <w:p w14:paraId="344996EB" w14:textId="53816DA9" w:rsidR="00361496" w:rsidRPr="00470573" w:rsidRDefault="00361496" w:rsidP="00470573">
      <w:pPr>
        <w:pStyle w:val="SyllabusListParagraph"/>
        <w:numPr>
          <w:ilvl w:val="1"/>
          <w:numId w:val="17"/>
        </w:numPr>
      </w:pPr>
      <w:r w:rsidRPr="00470573">
        <w:t>language</w:t>
      </w:r>
    </w:p>
    <w:p w14:paraId="062F7404" w14:textId="77777777" w:rsidR="00361496" w:rsidRPr="00470573" w:rsidRDefault="00361496" w:rsidP="00470573">
      <w:pPr>
        <w:pStyle w:val="SyllabusListParagraph"/>
        <w:numPr>
          <w:ilvl w:val="1"/>
          <w:numId w:val="17"/>
        </w:numPr>
      </w:pPr>
      <w:r w:rsidRPr="00470573">
        <w:t>spiritual beliefs</w:t>
      </w:r>
    </w:p>
    <w:p w14:paraId="65826B3B" w14:textId="7E1075D4" w:rsidR="00361496" w:rsidRPr="00470573" w:rsidRDefault="00361496" w:rsidP="00470573">
      <w:pPr>
        <w:pStyle w:val="SyllabusListParagraph"/>
        <w:numPr>
          <w:ilvl w:val="1"/>
          <w:numId w:val="17"/>
        </w:numPr>
      </w:pPr>
      <w:r w:rsidRPr="00470573">
        <w:t xml:space="preserve">Dreaming stories, </w:t>
      </w:r>
      <w:r w:rsidR="00AE2F17">
        <w:t>songlines</w:t>
      </w:r>
      <w:r w:rsidRPr="00470573">
        <w:t xml:space="preserve"> and ancestors</w:t>
      </w:r>
    </w:p>
    <w:p w14:paraId="5758B5F6" w14:textId="2758D43F" w:rsidR="00361496" w:rsidRPr="00470573" w:rsidRDefault="00361496" w:rsidP="00470573">
      <w:pPr>
        <w:pStyle w:val="SyllabusListParagraph"/>
        <w:numPr>
          <w:ilvl w:val="1"/>
          <w:numId w:val="17"/>
        </w:numPr>
      </w:pPr>
      <w:r w:rsidRPr="00470573">
        <w:t>kinship and family structures</w:t>
      </w:r>
    </w:p>
    <w:p w14:paraId="4545F63D" w14:textId="289C5FB6" w:rsidR="009B01EA" w:rsidRPr="00470573" w:rsidRDefault="009B01EA" w:rsidP="00470573">
      <w:pPr>
        <w:pStyle w:val="SyllabusListParagraph"/>
        <w:numPr>
          <w:ilvl w:val="1"/>
          <w:numId w:val="17"/>
        </w:numPr>
      </w:pPr>
      <w:r w:rsidRPr="00470573">
        <w:t>leadership and decision-making processes</w:t>
      </w:r>
      <w:r w:rsidR="00891EAF" w:rsidRPr="00470573">
        <w:t>, including the role of the Elders</w:t>
      </w:r>
    </w:p>
    <w:p w14:paraId="01497E0E" w14:textId="15D3454A" w:rsidR="00361496" w:rsidRPr="00470573" w:rsidRDefault="00361496" w:rsidP="00470573">
      <w:pPr>
        <w:pStyle w:val="SyllabusListParagraph"/>
        <w:numPr>
          <w:ilvl w:val="1"/>
          <w:numId w:val="17"/>
        </w:numPr>
      </w:pPr>
      <w:r w:rsidRPr="00470573">
        <w:t>connection to and care of Country</w:t>
      </w:r>
    </w:p>
    <w:p w14:paraId="7B7590D6" w14:textId="77777777" w:rsidR="00361496" w:rsidRPr="00470573" w:rsidRDefault="00361496" w:rsidP="00470573">
      <w:pPr>
        <w:pStyle w:val="SyllabusListParagraph"/>
        <w:numPr>
          <w:ilvl w:val="1"/>
          <w:numId w:val="17"/>
        </w:numPr>
      </w:pPr>
      <w:r w:rsidRPr="00470573">
        <w:t>places of significance and why they are significant</w:t>
      </w:r>
    </w:p>
    <w:p w14:paraId="684252F5" w14:textId="460BBC09" w:rsidR="00361496" w:rsidRPr="00470573" w:rsidRDefault="00361496" w:rsidP="00470573">
      <w:pPr>
        <w:pStyle w:val="SyllabusListParagraph"/>
      </w:pPr>
      <w:r w:rsidRPr="00470573">
        <w:t>perspectives and experiences of ‘invasion and colonisation’, for three of the following</w:t>
      </w:r>
    </w:p>
    <w:p w14:paraId="53757810" w14:textId="77777777" w:rsidR="00361496" w:rsidRPr="00470573" w:rsidRDefault="00361496" w:rsidP="00470573">
      <w:pPr>
        <w:pStyle w:val="SyllabusListParagraph"/>
        <w:numPr>
          <w:ilvl w:val="1"/>
          <w:numId w:val="17"/>
        </w:numPr>
      </w:pPr>
      <w:r w:rsidRPr="00470573">
        <w:t>frontier wars</w:t>
      </w:r>
    </w:p>
    <w:p w14:paraId="5C8BEFB4" w14:textId="77777777" w:rsidR="00361496" w:rsidRPr="00470573" w:rsidRDefault="00361496" w:rsidP="00470573">
      <w:pPr>
        <w:pStyle w:val="SyllabusListParagraph"/>
        <w:numPr>
          <w:ilvl w:val="1"/>
          <w:numId w:val="17"/>
        </w:numPr>
      </w:pPr>
      <w:r w:rsidRPr="00470573">
        <w:t>massacres</w:t>
      </w:r>
    </w:p>
    <w:p w14:paraId="7F77A9D3" w14:textId="77777777" w:rsidR="00361496" w:rsidRPr="00470573" w:rsidRDefault="00361496" w:rsidP="00470573">
      <w:pPr>
        <w:pStyle w:val="SyllabusListParagraph"/>
        <w:numPr>
          <w:ilvl w:val="1"/>
          <w:numId w:val="17"/>
        </w:numPr>
      </w:pPr>
      <w:r w:rsidRPr="00470573">
        <w:t>methods of dispossession and removal from Country</w:t>
      </w:r>
    </w:p>
    <w:p w14:paraId="2CBAF0E6" w14:textId="77777777" w:rsidR="00361496" w:rsidRPr="00470573" w:rsidRDefault="00361496" w:rsidP="00470573">
      <w:pPr>
        <w:pStyle w:val="SyllabusListParagraph"/>
        <w:numPr>
          <w:ilvl w:val="1"/>
          <w:numId w:val="17"/>
        </w:numPr>
      </w:pPr>
      <w:r w:rsidRPr="00470573">
        <w:t>interruption to language and culture</w:t>
      </w:r>
    </w:p>
    <w:p w14:paraId="1AB87B1A" w14:textId="77777777" w:rsidR="00361496" w:rsidRPr="00470573" w:rsidRDefault="00361496" w:rsidP="00470573">
      <w:pPr>
        <w:pStyle w:val="SyllabusListParagraph"/>
        <w:numPr>
          <w:ilvl w:val="1"/>
          <w:numId w:val="17"/>
        </w:numPr>
      </w:pPr>
      <w:r w:rsidRPr="00470573">
        <w:t>relationship between First Nations Peoples and colonisers</w:t>
      </w:r>
    </w:p>
    <w:p w14:paraId="395C383A" w14:textId="7B8A63CB" w:rsidR="00361496" w:rsidRPr="00470573" w:rsidRDefault="0016144B" w:rsidP="00470573">
      <w:pPr>
        <w:pStyle w:val="SyllabusListParagraph"/>
      </w:pPr>
      <w:r w:rsidRPr="00470573">
        <w:t xml:space="preserve">the </w:t>
      </w:r>
      <w:r w:rsidR="00AA0D3C" w:rsidRPr="00470573">
        <w:t xml:space="preserve">evidence of the </w:t>
      </w:r>
      <w:r w:rsidR="00F07994" w:rsidRPr="00470573">
        <w:t>continuous</w:t>
      </w:r>
      <w:r w:rsidR="0065449A" w:rsidRPr="00470573">
        <w:t xml:space="preserve"> </w:t>
      </w:r>
      <w:r w:rsidR="00384076" w:rsidRPr="00470573">
        <w:t>practice and revitalisation of</w:t>
      </w:r>
      <w:r w:rsidR="00E835B0" w:rsidRPr="00470573">
        <w:t xml:space="preserve"> the selected</w:t>
      </w:r>
      <w:r w:rsidRPr="00470573">
        <w:t xml:space="preserve"> First Nations </w:t>
      </w:r>
      <w:r w:rsidR="008A759A" w:rsidRPr="00470573">
        <w:t>P</w:t>
      </w:r>
      <w:r w:rsidRPr="00470573">
        <w:t>eoples</w:t>
      </w:r>
      <w:r w:rsidR="00CB54D4">
        <w:t>’</w:t>
      </w:r>
      <w:r w:rsidRPr="00470573">
        <w:t xml:space="preserve"> </w:t>
      </w:r>
      <w:r w:rsidR="000F0978" w:rsidRPr="00470573">
        <w:t>cultural identity</w:t>
      </w:r>
      <w:bookmarkStart w:id="47" w:name="_Hlk144122093"/>
      <w:r w:rsidR="0071226A">
        <w:t>.</w:t>
      </w:r>
    </w:p>
    <w:p w14:paraId="21E5D5CD" w14:textId="5327599C" w:rsidR="00361496" w:rsidRPr="00A65F2D" w:rsidRDefault="00361496" w:rsidP="00DA4B39">
      <w:pPr>
        <w:pStyle w:val="SyllabusHeading4"/>
      </w:pPr>
      <w:r w:rsidRPr="00A65F2D">
        <w:t xml:space="preserve">Depth Study </w:t>
      </w:r>
      <w:r>
        <w:t>Two</w:t>
      </w:r>
    </w:p>
    <w:p w14:paraId="4E040736" w14:textId="77777777" w:rsidR="00353016" w:rsidRPr="00810350" w:rsidRDefault="00353016" w:rsidP="00353016">
      <w:pPr>
        <w:spacing w:after="0"/>
        <w:ind w:right="-26"/>
        <w:rPr>
          <w:rFonts w:cs="Times New Roman"/>
        </w:rPr>
      </w:pPr>
      <w:bookmarkStart w:id="48" w:name="_Hlk144122069"/>
      <w:r w:rsidRPr="00810350">
        <w:rPr>
          <w:rFonts w:cs="Times New Roman"/>
        </w:rPr>
        <w:t>Through community experiences and/or secondary sources, and by privileging First Nations Peoples’</w:t>
      </w:r>
    </w:p>
    <w:p w14:paraId="2C1FC915" w14:textId="19C9EB83" w:rsidR="00D67BA8" w:rsidRDefault="00353016" w:rsidP="00470573">
      <w:pPr>
        <w:rPr>
          <w:rFonts w:cs="Times New Roman"/>
        </w:rPr>
      </w:pPr>
      <w:r w:rsidRPr="00810350">
        <w:rPr>
          <w:rFonts w:cs="Times New Roman"/>
        </w:rPr>
        <w:t>voices and perspective</w:t>
      </w:r>
      <w:r w:rsidRPr="009962AC">
        <w:rPr>
          <w:rFonts w:cs="Times New Roman"/>
        </w:rPr>
        <w:t xml:space="preserve">s, students </w:t>
      </w:r>
      <w:r w:rsidRPr="00470573">
        <w:t>investigate</w:t>
      </w:r>
      <w:r w:rsidRPr="009962AC">
        <w:rPr>
          <w:rFonts w:cs="Times New Roman"/>
        </w:rPr>
        <w:t xml:space="preserve"> </w:t>
      </w:r>
      <w:r w:rsidR="00BD7F73" w:rsidRPr="009962AC">
        <w:rPr>
          <w:rFonts w:cs="Times New Roman"/>
        </w:rPr>
        <w:t xml:space="preserve">the </w:t>
      </w:r>
      <w:r w:rsidR="00F07994" w:rsidRPr="009962AC">
        <w:rPr>
          <w:rFonts w:cs="Times New Roman"/>
        </w:rPr>
        <w:t>importance</w:t>
      </w:r>
      <w:r w:rsidR="00BD7F73" w:rsidRPr="009962AC">
        <w:rPr>
          <w:rFonts w:cs="Times New Roman"/>
        </w:rPr>
        <w:t xml:space="preserve"> and pro</w:t>
      </w:r>
      <w:r w:rsidR="009962AC" w:rsidRPr="009962AC">
        <w:rPr>
          <w:rFonts w:cs="Times New Roman"/>
        </w:rPr>
        <w:t>t</w:t>
      </w:r>
      <w:r w:rsidR="00BD7F73" w:rsidRPr="009962AC">
        <w:rPr>
          <w:rFonts w:cs="Times New Roman"/>
        </w:rPr>
        <w:t xml:space="preserve">ection of Australian </w:t>
      </w:r>
      <w:r w:rsidRPr="009962AC">
        <w:rPr>
          <w:rFonts w:cs="Times New Roman"/>
        </w:rPr>
        <w:t xml:space="preserve">First Nations </w:t>
      </w:r>
      <w:r w:rsidR="002511DD" w:rsidRPr="009962AC">
        <w:rPr>
          <w:rFonts w:cs="Times New Roman"/>
        </w:rPr>
        <w:t>P</w:t>
      </w:r>
      <w:r w:rsidRPr="009962AC">
        <w:rPr>
          <w:rFonts w:cs="Times New Roman"/>
        </w:rPr>
        <w:t>eoples</w:t>
      </w:r>
      <w:r w:rsidR="0071226A">
        <w:rPr>
          <w:rFonts w:cs="Times New Roman"/>
        </w:rPr>
        <w:t>’</w:t>
      </w:r>
      <w:r w:rsidR="001C1E2D" w:rsidRPr="009962AC">
        <w:rPr>
          <w:rFonts w:cs="Times New Roman"/>
        </w:rPr>
        <w:t xml:space="preserve"> </w:t>
      </w:r>
      <w:r w:rsidR="00BD7F73" w:rsidRPr="009962AC">
        <w:rPr>
          <w:rFonts w:cs="Times New Roman"/>
        </w:rPr>
        <w:t>cultural heritage</w:t>
      </w:r>
      <w:r w:rsidR="0071226A">
        <w:rPr>
          <w:rFonts w:cs="Times New Roman"/>
        </w:rPr>
        <w:t>, including:</w:t>
      </w:r>
    </w:p>
    <w:p w14:paraId="486AA38F" w14:textId="579A6A0E" w:rsidR="009962AC" w:rsidRPr="00470573" w:rsidRDefault="00157BFF" w:rsidP="00470573">
      <w:pPr>
        <w:pStyle w:val="SyllabusListParagraph"/>
      </w:pPr>
      <w:r w:rsidRPr="00470573">
        <w:t>Australian First Nations Peoples’ tangible and intangible cultural heritage</w:t>
      </w:r>
    </w:p>
    <w:p w14:paraId="72088C89" w14:textId="548D9BAF" w:rsidR="00157BFF" w:rsidRPr="00470573" w:rsidRDefault="0013065D" w:rsidP="00470573">
      <w:pPr>
        <w:pStyle w:val="SyllabusListParagraph"/>
      </w:pPr>
      <w:r w:rsidRPr="00470573">
        <w:t>t</w:t>
      </w:r>
      <w:r w:rsidR="00157BFF" w:rsidRPr="00470573">
        <w:t>he importance of protecting Australian First Nations Peoples</w:t>
      </w:r>
      <w:r w:rsidR="0071226A">
        <w:t>’</w:t>
      </w:r>
      <w:r w:rsidR="00157BFF" w:rsidRPr="00470573">
        <w:t xml:space="preserve"> cultural heritage</w:t>
      </w:r>
    </w:p>
    <w:p w14:paraId="670A9DC0" w14:textId="746E41B4" w:rsidR="00281AD1" w:rsidRPr="00470573" w:rsidRDefault="0013065D" w:rsidP="00470573">
      <w:pPr>
        <w:pStyle w:val="SyllabusListParagraph"/>
      </w:pPr>
      <w:r w:rsidRPr="00470573">
        <w:rPr>
          <w:b/>
          <w:bCs/>
        </w:rPr>
        <w:t>o</w:t>
      </w:r>
      <w:r w:rsidR="00157BFF" w:rsidRPr="00470573">
        <w:rPr>
          <w:b/>
          <w:bCs/>
        </w:rPr>
        <w:t>ne</w:t>
      </w:r>
      <w:r w:rsidR="00157BFF" w:rsidRPr="00470573">
        <w:t xml:space="preserve"> example of the destruction of Australian First Nations Peoples</w:t>
      </w:r>
      <w:r w:rsidR="0071226A">
        <w:t>’</w:t>
      </w:r>
      <w:r w:rsidR="00157BFF" w:rsidRPr="00470573">
        <w:t xml:space="preserve"> cultural heritage, including</w:t>
      </w:r>
    </w:p>
    <w:p w14:paraId="2E2792C9" w14:textId="11FA90B1" w:rsidR="00281AD1" w:rsidRPr="00470573" w:rsidRDefault="00BD7F73" w:rsidP="00470573">
      <w:pPr>
        <w:pStyle w:val="SyllabusListParagraph"/>
        <w:numPr>
          <w:ilvl w:val="1"/>
          <w:numId w:val="18"/>
        </w:numPr>
      </w:pPr>
      <w:r w:rsidRPr="00470573">
        <w:t>why and how it happened</w:t>
      </w:r>
    </w:p>
    <w:p w14:paraId="3CAF0102" w14:textId="6515D789" w:rsidR="00281AD1" w:rsidRPr="00470573" w:rsidRDefault="00281AD1" w:rsidP="00470573">
      <w:pPr>
        <w:pStyle w:val="SyllabusListParagraph"/>
        <w:numPr>
          <w:ilvl w:val="1"/>
          <w:numId w:val="18"/>
        </w:numPr>
      </w:pPr>
      <w:r w:rsidRPr="00470573">
        <w:t>actions taken by the government</w:t>
      </w:r>
      <w:r w:rsidR="00BD7F73" w:rsidRPr="00470573">
        <w:t xml:space="preserve"> </w:t>
      </w:r>
      <w:r w:rsidR="00F07994" w:rsidRPr="00470573">
        <w:t>following</w:t>
      </w:r>
      <w:r w:rsidR="00BD7F73" w:rsidRPr="00470573">
        <w:t xml:space="preserve"> the destruction</w:t>
      </w:r>
    </w:p>
    <w:p w14:paraId="664F3F8A" w14:textId="300581EB" w:rsidR="00157BFF" w:rsidRPr="00470573" w:rsidRDefault="00281AD1" w:rsidP="00470573">
      <w:pPr>
        <w:pStyle w:val="SyllabusListParagraph"/>
        <w:numPr>
          <w:ilvl w:val="1"/>
          <w:numId w:val="18"/>
        </w:numPr>
      </w:pPr>
      <w:r w:rsidRPr="00470573">
        <w:t>local</w:t>
      </w:r>
      <w:r w:rsidR="00BD7F73" w:rsidRPr="00470573">
        <w:t>,</w:t>
      </w:r>
      <w:r w:rsidRPr="00470573">
        <w:t xml:space="preserve"> national and</w:t>
      </w:r>
      <w:r w:rsidR="00BD7F73" w:rsidRPr="00470573">
        <w:t>/or</w:t>
      </w:r>
      <w:r w:rsidRPr="00470573">
        <w:t xml:space="preserve"> global </w:t>
      </w:r>
      <w:r w:rsidR="00BD7F73" w:rsidRPr="00470573">
        <w:t>reaction to the destruction</w:t>
      </w:r>
    </w:p>
    <w:p w14:paraId="2419DF5D" w14:textId="75423A56" w:rsidR="00E24151" w:rsidRPr="00706ACB" w:rsidRDefault="003A3D29" w:rsidP="00FE26F0">
      <w:pPr>
        <w:pStyle w:val="SyllabusListParagraph"/>
        <w:pageBreakBefore/>
        <w:spacing w:after="60"/>
        <w:ind w:left="357" w:hanging="357"/>
      </w:pPr>
      <w:r w:rsidRPr="00706ACB">
        <w:lastRenderedPageBreak/>
        <w:t xml:space="preserve">the </w:t>
      </w:r>
      <w:r w:rsidRPr="00706ACB">
        <w:rPr>
          <w:i/>
          <w:iCs/>
        </w:rPr>
        <w:t>Aboriginal Heritage Act 1972</w:t>
      </w:r>
      <w:r w:rsidR="00CB54D4">
        <w:rPr>
          <w:i/>
          <w:iCs/>
        </w:rPr>
        <w:t xml:space="preserve"> </w:t>
      </w:r>
      <w:r w:rsidR="00CB54D4" w:rsidRPr="00B94EB5">
        <w:t>(</w:t>
      </w:r>
      <w:r w:rsidR="00326C95" w:rsidRPr="00B94EB5">
        <w:t>WA</w:t>
      </w:r>
      <w:r w:rsidR="00CB54D4">
        <w:t>)</w:t>
      </w:r>
      <w:r w:rsidR="00FC3A0E">
        <w:rPr>
          <w:b/>
          <w:bCs/>
        </w:rPr>
        <w:t>,</w:t>
      </w:r>
      <w:r w:rsidR="00FC3A0E" w:rsidRPr="00706ACB">
        <w:t xml:space="preserve"> including</w:t>
      </w:r>
    </w:p>
    <w:p w14:paraId="759BD35B" w14:textId="20050C22" w:rsidR="00781B5F" w:rsidRPr="00706ACB" w:rsidRDefault="00781B5F" w:rsidP="00FE26F0">
      <w:pPr>
        <w:pStyle w:val="SyllabusListParagraph"/>
        <w:numPr>
          <w:ilvl w:val="0"/>
          <w:numId w:val="33"/>
        </w:numPr>
        <w:spacing w:after="60"/>
      </w:pPr>
      <w:r w:rsidRPr="00706ACB">
        <w:t xml:space="preserve">the </w:t>
      </w:r>
      <w:r w:rsidR="00D6270A">
        <w:t>p</w:t>
      </w:r>
      <w:r w:rsidR="000824D9">
        <w:t>urpose</w:t>
      </w:r>
      <w:r w:rsidR="000941B0">
        <w:t xml:space="preserve"> of the Act</w:t>
      </w:r>
    </w:p>
    <w:p w14:paraId="3B76A78D" w14:textId="73D278CB" w:rsidR="00E24151" w:rsidRPr="00706ACB" w:rsidRDefault="00FC3A0E" w:rsidP="00FE26F0">
      <w:pPr>
        <w:pStyle w:val="SyllabusListParagraph"/>
        <w:numPr>
          <w:ilvl w:val="0"/>
          <w:numId w:val="33"/>
        </w:numPr>
        <w:spacing w:after="60"/>
      </w:pPr>
      <w:r w:rsidRPr="00706ACB">
        <w:t>the</w:t>
      </w:r>
      <w:r w:rsidR="00C26894">
        <w:t xml:space="preserve"> </w:t>
      </w:r>
      <w:r w:rsidR="00AB52EE">
        <w:t xml:space="preserve">background </w:t>
      </w:r>
      <w:r w:rsidR="000941B0">
        <w:t xml:space="preserve">and perspectives </w:t>
      </w:r>
      <w:r w:rsidR="00AB52EE">
        <w:t>on the</w:t>
      </w:r>
      <w:r w:rsidRPr="00706ACB">
        <w:t xml:space="preserve"> </w:t>
      </w:r>
      <w:r w:rsidRPr="00706ACB">
        <w:rPr>
          <w:i/>
          <w:iCs/>
        </w:rPr>
        <w:t xml:space="preserve">Aboriginal Heritage Act </w:t>
      </w:r>
      <w:r w:rsidR="000C60E9" w:rsidRPr="00706ACB">
        <w:rPr>
          <w:i/>
          <w:iCs/>
        </w:rPr>
        <w:t>2021</w:t>
      </w:r>
      <w:r w:rsidR="000C60E9" w:rsidRPr="00706ACB">
        <w:t xml:space="preserve"> </w:t>
      </w:r>
      <w:r w:rsidR="00CB54D4" w:rsidRPr="00F52996">
        <w:t>(WA</w:t>
      </w:r>
      <w:r w:rsidR="00CB54D4">
        <w:t xml:space="preserve">) </w:t>
      </w:r>
      <w:r w:rsidR="00F55442">
        <w:t xml:space="preserve">and why it was </w:t>
      </w:r>
      <w:r w:rsidR="000C60E9" w:rsidRPr="00706ACB">
        <w:t xml:space="preserve">repealed </w:t>
      </w:r>
    </w:p>
    <w:p w14:paraId="316E3EB1" w14:textId="4B099AB6" w:rsidR="00B926F5" w:rsidRPr="00781B5F" w:rsidRDefault="0001727E" w:rsidP="00FE26F0">
      <w:pPr>
        <w:pStyle w:val="SyllabusListParagraph"/>
        <w:numPr>
          <w:ilvl w:val="0"/>
          <w:numId w:val="33"/>
        </w:numPr>
        <w:spacing w:after="60"/>
      </w:pPr>
      <w:r>
        <w:t xml:space="preserve">key changes and </w:t>
      </w:r>
      <w:r w:rsidR="00B34B1F" w:rsidRPr="00706ACB">
        <w:t>amendments to the 1972 Act</w:t>
      </w:r>
    </w:p>
    <w:p w14:paraId="652361D5" w14:textId="77FE1F4D" w:rsidR="00E873E0" w:rsidRPr="00B9787C" w:rsidRDefault="00E873E0" w:rsidP="00FE26F0">
      <w:pPr>
        <w:pStyle w:val="SyllabusListParagraph"/>
        <w:spacing w:after="60"/>
      </w:pPr>
      <w:r w:rsidRPr="00706ACB">
        <w:t xml:space="preserve">the contribution </w:t>
      </w:r>
      <w:r w:rsidR="00E92C2B">
        <w:t xml:space="preserve">of </w:t>
      </w:r>
      <w:r w:rsidRPr="00706ACB">
        <w:t>A</w:t>
      </w:r>
      <w:r w:rsidR="001D71EC" w:rsidRPr="00706ACB">
        <w:t>ustralian First Nations Peoples</w:t>
      </w:r>
      <w:r w:rsidRPr="00706ACB">
        <w:t xml:space="preserve"> </w:t>
      </w:r>
      <w:r w:rsidR="00B9787C" w:rsidRPr="00B9787C">
        <w:t>tourism</w:t>
      </w:r>
      <w:r w:rsidR="00245398">
        <w:t xml:space="preserve"> </w:t>
      </w:r>
      <w:r w:rsidR="00903122">
        <w:t xml:space="preserve">in </w:t>
      </w:r>
      <w:r w:rsidR="00B9787C" w:rsidRPr="00B9787C">
        <w:t>promoting</w:t>
      </w:r>
      <w:r w:rsidR="001D71EC" w:rsidRPr="00706ACB">
        <w:t xml:space="preserve"> and showcasing </w:t>
      </w:r>
      <w:r w:rsidR="000F729D">
        <w:t xml:space="preserve">their </w:t>
      </w:r>
      <w:r w:rsidR="00487734" w:rsidRPr="00706ACB">
        <w:t>cultural heritage</w:t>
      </w:r>
      <w:r w:rsidR="00DE4B28">
        <w:t xml:space="preserve">, including </w:t>
      </w:r>
      <w:r w:rsidR="00B245A9" w:rsidRPr="00B94EB5">
        <w:rPr>
          <w:b/>
          <w:bCs/>
        </w:rPr>
        <w:t>two</w:t>
      </w:r>
      <w:r w:rsidR="00B245A9">
        <w:t xml:space="preserve"> specific examples of Aboriginal</w:t>
      </w:r>
      <w:r w:rsidR="00CB54D4">
        <w:t>-</w:t>
      </w:r>
      <w:r w:rsidR="007533D9">
        <w:t xml:space="preserve">owned </w:t>
      </w:r>
      <w:r w:rsidR="00F95689">
        <w:t xml:space="preserve">cultural </w:t>
      </w:r>
      <w:r w:rsidR="007533D9">
        <w:t>tourism experiences</w:t>
      </w:r>
    </w:p>
    <w:bookmarkEnd w:id="47"/>
    <w:bookmarkEnd w:id="48"/>
    <w:p w14:paraId="2670FA1E" w14:textId="27B90DA4" w:rsidR="00A41F21" w:rsidRDefault="00A41F21" w:rsidP="006D4895">
      <w:pPr>
        <w:pStyle w:val="SyllabusHeading3"/>
      </w:pPr>
      <w:r w:rsidRPr="00B764C6">
        <w:t>Intercultural Skills</w:t>
      </w:r>
    </w:p>
    <w:p w14:paraId="5738257E" w14:textId="77777777" w:rsidR="00A41F21" w:rsidRPr="00901BD7" w:rsidRDefault="00A41F21" w:rsidP="00FE26F0">
      <w:pPr>
        <w:pStyle w:val="SyllabusHeading4"/>
        <w:spacing w:after="0" w:line="264" w:lineRule="auto"/>
      </w:pPr>
      <w:r w:rsidRPr="00901BD7">
        <w:t>Research</w:t>
      </w:r>
    </w:p>
    <w:p w14:paraId="20032F63" w14:textId="7889F77E" w:rsidR="00A41F21" w:rsidRPr="00C91E9C" w:rsidRDefault="009D2369" w:rsidP="00FE26F0">
      <w:pPr>
        <w:pStyle w:val="SyllabusListParagraph"/>
        <w:spacing w:after="60" w:line="264" w:lineRule="auto"/>
      </w:pPr>
      <w:r w:rsidRPr="00C91E9C">
        <w:t xml:space="preserve">develop and modify a range of </w:t>
      </w:r>
      <w:r w:rsidR="00A41F21" w:rsidRPr="00C91E9C">
        <w:t xml:space="preserve">focus questions to investigate a specific topic/issue </w:t>
      </w:r>
    </w:p>
    <w:p w14:paraId="353DAFEC" w14:textId="77777777" w:rsidR="00A41F21" w:rsidRPr="00C91E9C" w:rsidRDefault="00A41F21" w:rsidP="00FE26F0">
      <w:pPr>
        <w:pStyle w:val="SyllabusListParagraph"/>
        <w:spacing w:after="60" w:line="264" w:lineRule="auto"/>
      </w:pPr>
      <w:r w:rsidRPr="00C91E9C">
        <w:t>plan an inquiry with clearly defined aims, using appropriate methodologies</w:t>
      </w:r>
    </w:p>
    <w:p w14:paraId="1A92CB1A" w14:textId="6DB22B0D" w:rsidR="00A41F21" w:rsidRPr="00C91E9C" w:rsidRDefault="00A41F21" w:rsidP="00FE26F0">
      <w:pPr>
        <w:pStyle w:val="SyllabusListParagraph"/>
        <w:spacing w:after="60" w:line="264" w:lineRule="auto"/>
      </w:pPr>
      <w:r w:rsidRPr="00C91E9C">
        <w:t xml:space="preserve">collect, record and </w:t>
      </w:r>
      <w:r w:rsidR="009D2369" w:rsidRPr="00C91E9C">
        <w:t>compare</w:t>
      </w:r>
      <w:r w:rsidRPr="00C91E9C">
        <w:t xml:space="preserve"> information and/or data from relevant culturally responsive resources</w:t>
      </w:r>
    </w:p>
    <w:p w14:paraId="1EA5534D" w14:textId="4D9956E1" w:rsidR="0038634F" w:rsidRPr="00C91E9C" w:rsidRDefault="0038634F" w:rsidP="00FE26F0">
      <w:pPr>
        <w:pStyle w:val="SyllabusListParagraph"/>
        <w:spacing w:after="60" w:line="264" w:lineRule="auto"/>
      </w:pPr>
      <w:r w:rsidRPr="00C91E9C">
        <w:t>identify and practise ethical scholarship when conducting research, including respecting variation between cultural groups of processes and protocols for collecting information</w:t>
      </w:r>
    </w:p>
    <w:p w14:paraId="0C865A2C" w14:textId="77777777" w:rsidR="00A41F21" w:rsidRPr="00901BD7" w:rsidRDefault="00A41F21" w:rsidP="00FE26F0">
      <w:pPr>
        <w:pStyle w:val="SyllabusHeading4"/>
        <w:spacing w:after="60" w:line="264" w:lineRule="auto"/>
      </w:pPr>
      <w:r w:rsidRPr="00901BD7">
        <w:t>Analysis and use of sources</w:t>
      </w:r>
    </w:p>
    <w:p w14:paraId="193E0687" w14:textId="2F43AEA5" w:rsidR="00A41F21" w:rsidRPr="00C91E9C" w:rsidRDefault="00A41F21" w:rsidP="00FE26F0">
      <w:pPr>
        <w:pStyle w:val="SyllabusListParagraph"/>
        <w:spacing w:after="60" w:line="264" w:lineRule="auto"/>
      </w:pPr>
      <w:r w:rsidRPr="00C91E9C">
        <w:t>identify the origin, purpose and context of</w:t>
      </w:r>
      <w:r w:rsidR="005A5182" w:rsidRPr="00C91E9C">
        <w:t xml:space="preserve"> a variety of</w:t>
      </w:r>
      <w:r w:rsidRPr="00C91E9C">
        <w:t xml:space="preserve"> sources</w:t>
      </w:r>
    </w:p>
    <w:p w14:paraId="7B8D39E3" w14:textId="37629243" w:rsidR="00A41F21" w:rsidRPr="00C91E9C" w:rsidRDefault="00A41F21" w:rsidP="00FE26F0">
      <w:pPr>
        <w:pStyle w:val="SyllabusListParagraph"/>
        <w:spacing w:after="60" w:line="264" w:lineRule="auto"/>
      </w:pPr>
      <w:r w:rsidRPr="00C91E9C">
        <w:t xml:space="preserve">evaluate the reliability, </w:t>
      </w:r>
      <w:r w:rsidR="00EF7B78" w:rsidRPr="00C91E9C">
        <w:t xml:space="preserve">bias </w:t>
      </w:r>
      <w:r w:rsidRPr="00C91E9C">
        <w:t>and usefulness of different sources</w:t>
      </w:r>
    </w:p>
    <w:p w14:paraId="73F2B94A" w14:textId="1D7AECE1" w:rsidR="00A41F21" w:rsidRPr="00C91E9C" w:rsidRDefault="00A41F21" w:rsidP="00FE26F0">
      <w:pPr>
        <w:pStyle w:val="SyllabusListParagraph"/>
        <w:spacing w:after="60" w:line="264" w:lineRule="auto"/>
      </w:pPr>
      <w:r w:rsidRPr="00C91E9C">
        <w:t xml:space="preserve">analyse </w:t>
      </w:r>
      <w:r w:rsidR="005A5182" w:rsidRPr="00C91E9C">
        <w:t xml:space="preserve">and account for </w:t>
      </w:r>
      <w:r w:rsidRPr="00C91E9C">
        <w:t>differen</w:t>
      </w:r>
      <w:r w:rsidR="009D2369" w:rsidRPr="00C91E9C">
        <w:t>ces in</w:t>
      </w:r>
      <w:r w:rsidRPr="00C91E9C">
        <w:t xml:space="preserve"> perspectives </w:t>
      </w:r>
      <w:r w:rsidR="009D2369" w:rsidRPr="00C91E9C">
        <w:t xml:space="preserve">and interpretations </w:t>
      </w:r>
      <w:r w:rsidR="005A5182" w:rsidRPr="00C91E9C">
        <w:t xml:space="preserve">of the past, </w:t>
      </w:r>
      <w:r w:rsidRPr="00C91E9C">
        <w:t>presented in a variety of sources</w:t>
      </w:r>
    </w:p>
    <w:p w14:paraId="41BB4797" w14:textId="05AE9058" w:rsidR="00A41F21" w:rsidRPr="00C91E9C" w:rsidRDefault="00A41F21" w:rsidP="00FE26F0">
      <w:pPr>
        <w:pStyle w:val="SyllabusListParagraph"/>
        <w:spacing w:after="60" w:line="264" w:lineRule="auto"/>
      </w:pPr>
      <w:r w:rsidRPr="00C91E9C">
        <w:t>identify and analyse relationships, and use evidence from different sources to support a point of view</w:t>
      </w:r>
    </w:p>
    <w:p w14:paraId="48B64180" w14:textId="77777777" w:rsidR="00A41F21" w:rsidRPr="00901BD7" w:rsidRDefault="00A41F21" w:rsidP="00FE26F0">
      <w:pPr>
        <w:pStyle w:val="SyllabusHeading4"/>
        <w:spacing w:after="60" w:line="264" w:lineRule="auto"/>
      </w:pPr>
      <w:r w:rsidRPr="00901BD7">
        <w:t>Evaluating and communicating</w:t>
      </w:r>
    </w:p>
    <w:p w14:paraId="12FB9695" w14:textId="7A43A8A5" w:rsidR="00A41F21" w:rsidRPr="00C91E9C" w:rsidRDefault="00EF7B78" w:rsidP="00FE26F0">
      <w:pPr>
        <w:pStyle w:val="SyllabusListParagraph"/>
        <w:spacing w:after="60" w:line="264" w:lineRule="auto"/>
      </w:pPr>
      <w:r w:rsidRPr="00C91E9C">
        <w:t xml:space="preserve">evaluate information and/or data to </w:t>
      </w:r>
      <w:r w:rsidR="00A41F21" w:rsidRPr="00C91E9C">
        <w:t xml:space="preserve">draw </w:t>
      </w:r>
      <w:r w:rsidRPr="00C91E9C">
        <w:t xml:space="preserve">evidence-based </w:t>
      </w:r>
      <w:r w:rsidR="00A41F21" w:rsidRPr="00C91E9C">
        <w:t xml:space="preserve">conclusions and explanations taking into account </w:t>
      </w:r>
      <w:r w:rsidRPr="00C91E9C">
        <w:t xml:space="preserve">ambiguities and </w:t>
      </w:r>
      <w:r w:rsidR="00A41F21" w:rsidRPr="00C91E9C">
        <w:t>different perspectives</w:t>
      </w:r>
    </w:p>
    <w:p w14:paraId="58CC85C1" w14:textId="18716DF7" w:rsidR="00A41F21" w:rsidRPr="00C91E9C" w:rsidRDefault="00EE2F58" w:rsidP="00FE26F0">
      <w:pPr>
        <w:pStyle w:val="SyllabusListParagraph"/>
        <w:spacing w:after="60" w:line="264" w:lineRule="auto"/>
      </w:pPr>
      <w:r w:rsidRPr="00C91E9C">
        <w:t>communicat</w:t>
      </w:r>
      <w:r>
        <w:t>e</w:t>
      </w:r>
      <w:r w:rsidRPr="00C91E9C">
        <w:t xml:space="preserve"> </w:t>
      </w:r>
      <w:r w:rsidR="00A41F21" w:rsidRPr="00C91E9C">
        <w:t>findings using formats appropriate to purpose</w:t>
      </w:r>
      <w:r w:rsidR="00EF7B78" w:rsidRPr="00C91E9C">
        <w:t xml:space="preserve"> and audience</w:t>
      </w:r>
    </w:p>
    <w:p w14:paraId="39341CB9" w14:textId="77777777" w:rsidR="00A41F21" w:rsidRPr="00C91E9C" w:rsidRDefault="00A41F21" w:rsidP="00FE26F0">
      <w:pPr>
        <w:pStyle w:val="SyllabusListParagraph"/>
        <w:spacing w:after="60" w:line="264" w:lineRule="auto"/>
      </w:pPr>
      <w:r w:rsidRPr="00C91E9C">
        <w:t>use respectful and inclusive language and terminology</w:t>
      </w:r>
    </w:p>
    <w:p w14:paraId="5EE7AEA2" w14:textId="77777777" w:rsidR="0038634F" w:rsidRPr="00C91E9C" w:rsidRDefault="0038634F" w:rsidP="00FE26F0">
      <w:pPr>
        <w:pStyle w:val="SyllabusListParagraph"/>
        <w:spacing w:after="60" w:line="264" w:lineRule="auto"/>
      </w:pPr>
      <w:r w:rsidRPr="00C91E9C">
        <w:t>identify and practise ethical scholarship when communicating research, including</w:t>
      </w:r>
    </w:p>
    <w:p w14:paraId="79236E84" w14:textId="77777777" w:rsidR="0038634F" w:rsidRPr="00C91E9C" w:rsidRDefault="0038634F" w:rsidP="00FE26F0">
      <w:pPr>
        <w:pStyle w:val="SyllabusListParagraph"/>
        <w:numPr>
          <w:ilvl w:val="1"/>
          <w:numId w:val="21"/>
        </w:numPr>
        <w:spacing w:after="60" w:line="264" w:lineRule="auto"/>
      </w:pPr>
      <w:r w:rsidRPr="00C91E9C">
        <w:t>respecting variation between cultural groups of processes and protocols for acknowledging and communicating information</w:t>
      </w:r>
    </w:p>
    <w:p w14:paraId="5F53ACD8" w14:textId="77777777" w:rsidR="0038634F" w:rsidRPr="00C91E9C" w:rsidRDefault="0038634F" w:rsidP="00FE26F0">
      <w:pPr>
        <w:pStyle w:val="SyllabusListParagraph"/>
        <w:numPr>
          <w:ilvl w:val="1"/>
          <w:numId w:val="21"/>
        </w:numPr>
        <w:spacing w:after="60" w:line="264" w:lineRule="auto"/>
      </w:pPr>
      <w:r w:rsidRPr="00C91E9C">
        <w:t>adopting protocols and conventions to communicate in culturally appropriate ways</w:t>
      </w:r>
    </w:p>
    <w:p w14:paraId="281AD414" w14:textId="77777777" w:rsidR="0038634F" w:rsidRPr="00C91E9C" w:rsidRDefault="0038634F" w:rsidP="00FE26F0">
      <w:pPr>
        <w:pStyle w:val="SyllabusListParagraph"/>
        <w:numPr>
          <w:ilvl w:val="1"/>
          <w:numId w:val="21"/>
        </w:numPr>
        <w:spacing w:after="60" w:line="264" w:lineRule="auto"/>
      </w:pPr>
      <w:r w:rsidRPr="00C91E9C">
        <w:t>applying appropriate referencing techniques accurately and consistently</w:t>
      </w:r>
    </w:p>
    <w:p w14:paraId="680A84B0" w14:textId="16B2FD56" w:rsidR="00A41F21" w:rsidRPr="00901BD7" w:rsidRDefault="00A41F21" w:rsidP="00FE26F0">
      <w:pPr>
        <w:pStyle w:val="SyllabusHeading4"/>
        <w:spacing w:after="0"/>
      </w:pPr>
      <w:r w:rsidRPr="00901BD7">
        <w:t>Reflection</w:t>
      </w:r>
    </w:p>
    <w:p w14:paraId="7691520A" w14:textId="77777777" w:rsidR="00A41F21" w:rsidRPr="00C91E9C" w:rsidRDefault="00A41F21" w:rsidP="00B068FE">
      <w:pPr>
        <w:pStyle w:val="SyllabusListParagraph"/>
        <w:spacing w:line="264" w:lineRule="auto"/>
        <w:ind w:left="357" w:hanging="357"/>
      </w:pPr>
      <w:r w:rsidRPr="00C91E9C">
        <w:t>acknowledge differences in personal perspectives, interpretations and world views when developing a response</w:t>
      </w:r>
    </w:p>
    <w:p w14:paraId="40053E5F" w14:textId="0C1898CD" w:rsidR="00A41F21" w:rsidRPr="00C91E9C" w:rsidRDefault="00A41F21" w:rsidP="00B068FE">
      <w:pPr>
        <w:pStyle w:val="SyllabusListParagraph"/>
        <w:spacing w:line="264" w:lineRule="auto"/>
        <w:ind w:left="357" w:hanging="357"/>
      </w:pPr>
      <w:r w:rsidRPr="00C91E9C">
        <w:t>reflect on own learning to review original understandings</w:t>
      </w:r>
      <w:r w:rsidR="00EF7B78" w:rsidRPr="00C91E9C">
        <w:t xml:space="preserve"> and on</w:t>
      </w:r>
      <w:r w:rsidR="00EE2F58">
        <w:t xml:space="preserve"> </w:t>
      </w:r>
      <w:r w:rsidR="00EF7B78" w:rsidRPr="00C91E9C">
        <w:t>why all findings are tentative</w:t>
      </w:r>
    </w:p>
    <w:p w14:paraId="24369C5A" w14:textId="77777777" w:rsidR="00A41F21" w:rsidRDefault="00A41F21" w:rsidP="00A41F21">
      <w:pPr>
        <w:rPr>
          <w:lang w:eastAsia="ja-JP"/>
        </w:rPr>
      </w:pPr>
      <w:r>
        <w:br w:type="page"/>
      </w:r>
    </w:p>
    <w:p w14:paraId="13D917D5" w14:textId="00051864" w:rsidR="00540775" w:rsidRPr="006D4895" w:rsidRDefault="00540775" w:rsidP="006D4895">
      <w:pPr>
        <w:pStyle w:val="SyllabusHeading1"/>
      </w:pPr>
      <w:bookmarkStart w:id="49" w:name="_Toc173315833"/>
      <w:bookmarkStart w:id="50" w:name="_Toc175314876"/>
      <w:bookmarkStart w:id="51" w:name="_Toc347908227"/>
      <w:r w:rsidRPr="006D4895">
        <w:lastRenderedPageBreak/>
        <w:t>Unit 2</w:t>
      </w:r>
      <w:bookmarkEnd w:id="49"/>
      <w:bookmarkEnd w:id="50"/>
    </w:p>
    <w:p w14:paraId="0A73F13E" w14:textId="77777777" w:rsidR="00BE277F" w:rsidRPr="00A93F91" w:rsidRDefault="00BE277F" w:rsidP="00DA4B39">
      <w:pPr>
        <w:pStyle w:val="SyllabusHeading2"/>
        <w:spacing w:before="0"/>
      </w:pPr>
      <w:bookmarkStart w:id="52" w:name="_Toc173315834"/>
      <w:bookmarkStart w:id="53" w:name="_Toc175314877"/>
      <w:r w:rsidRPr="00A93F91">
        <w:t>Unit description</w:t>
      </w:r>
      <w:bookmarkEnd w:id="52"/>
      <w:bookmarkEnd w:id="53"/>
    </w:p>
    <w:p w14:paraId="1CFA871B" w14:textId="5ABF7FB1" w:rsidR="00BA29BF" w:rsidRPr="000B4EF4" w:rsidRDefault="00D70BDD" w:rsidP="000B4EF4">
      <w:pPr>
        <w:spacing w:before="120"/>
        <w:rPr>
          <w:rFonts w:cstheme="minorHAnsi"/>
        </w:rPr>
      </w:pPr>
      <w:bookmarkStart w:id="54" w:name="_Hlk152160975"/>
      <w:r w:rsidRPr="0010526A">
        <w:rPr>
          <w:rFonts w:cs="Calibri"/>
        </w:rPr>
        <w:t>The focus of this unit is for students to learn about the distinctiveness and diversity of Australian First Nations Peoples’ cultural expressions</w:t>
      </w:r>
      <w:r w:rsidR="0090058F" w:rsidRPr="0010526A">
        <w:rPr>
          <w:rFonts w:cs="Calibri"/>
        </w:rPr>
        <w:t>.</w:t>
      </w:r>
      <w:r w:rsidRPr="0010526A">
        <w:rPr>
          <w:rFonts w:cs="Calibri"/>
        </w:rPr>
        <w:t xml:space="preserve"> </w:t>
      </w:r>
      <w:bookmarkStart w:id="55" w:name="_Toc359503805"/>
      <w:r w:rsidR="00BD1B16">
        <w:rPr>
          <w:rFonts w:cs="Calibri"/>
        </w:rPr>
        <w:t>Students</w:t>
      </w:r>
      <w:r w:rsidR="00BD1B16" w:rsidRPr="0010526A">
        <w:rPr>
          <w:rFonts w:cs="Calibri"/>
        </w:rPr>
        <w:t xml:space="preserve"> </w:t>
      </w:r>
      <w:r w:rsidRPr="0010526A">
        <w:rPr>
          <w:rFonts w:cs="Calibri"/>
        </w:rPr>
        <w:t>learn how First Nations Peoples</w:t>
      </w:r>
      <w:r w:rsidR="00CB54D4">
        <w:rPr>
          <w:rFonts w:cs="Calibri"/>
        </w:rPr>
        <w:t>,</w:t>
      </w:r>
      <w:r w:rsidRPr="0010526A">
        <w:rPr>
          <w:rFonts w:cs="Calibri"/>
        </w:rPr>
        <w:t xml:space="preserve"> both within Australia and internationally, create cultural expressions that celebrate, challenge and communicate ideas and perspectives. Students explore the use of First Nations Peoples’ cultural expressions to continue, maintain, share and revitalise their cultural knowledge and values and, in doing so, develop respect and understanding of the cultural protocols, including intellectual and cultural property rights, which exist to protect and revitalise First Nation Peoples’ cultures</w:t>
      </w:r>
      <w:r w:rsidR="0010526A" w:rsidRPr="0010526A">
        <w:rPr>
          <w:rFonts w:cs="Calibri"/>
        </w:rPr>
        <w:t xml:space="preserve"> in Australia and globally</w:t>
      </w:r>
      <w:bookmarkEnd w:id="54"/>
      <w:r w:rsidRPr="0010526A">
        <w:rPr>
          <w:rFonts w:cs="Calibri"/>
        </w:rPr>
        <w:t>.</w:t>
      </w:r>
      <w:r w:rsidR="0090058F" w:rsidRPr="0010526A">
        <w:rPr>
          <w:rFonts w:cs="Calibri"/>
        </w:rPr>
        <w:t xml:space="preserve"> </w:t>
      </w:r>
      <w:bookmarkEnd w:id="55"/>
    </w:p>
    <w:p w14:paraId="521DD765" w14:textId="77777777" w:rsidR="00D65C5C" w:rsidRPr="00A93F91" w:rsidRDefault="00D65C5C" w:rsidP="006D4895">
      <w:pPr>
        <w:pStyle w:val="SyllabusHeading2"/>
      </w:pPr>
      <w:bookmarkStart w:id="56" w:name="_Toc173315835"/>
      <w:bookmarkStart w:id="57" w:name="_Toc175314878"/>
      <w:r w:rsidRPr="00A93F91">
        <w:t>Unit content</w:t>
      </w:r>
      <w:bookmarkEnd w:id="56"/>
      <w:bookmarkEnd w:id="57"/>
    </w:p>
    <w:p w14:paraId="6EA7C88B" w14:textId="77777777" w:rsidR="00B37F31" w:rsidRDefault="00B37F31" w:rsidP="00B37F31">
      <w:pPr>
        <w:spacing w:before="120"/>
      </w:pPr>
      <w:r w:rsidRPr="00042703">
        <w:t>This unit includes the knowledge, understandings and skills described below.</w:t>
      </w:r>
    </w:p>
    <w:p w14:paraId="35C5749B" w14:textId="54C1FC80" w:rsidR="00B37F31" w:rsidRPr="00D26F80" w:rsidRDefault="00B37F31" w:rsidP="00E3027E">
      <w:pPr>
        <w:pStyle w:val="SyllabusHeading4"/>
        <w:spacing w:after="60"/>
      </w:pPr>
      <w:r w:rsidRPr="00D26F80">
        <w:t>Overview</w:t>
      </w:r>
      <w:r>
        <w:t xml:space="preserve"> of the diversity </w:t>
      </w:r>
      <w:r w:rsidRPr="00844D65">
        <w:t>of First Nations Peoples’ cultural expressions and protocols</w:t>
      </w:r>
    </w:p>
    <w:p w14:paraId="28793B83" w14:textId="29A0D985" w:rsidR="00D70BDD" w:rsidRPr="00C91E9C" w:rsidRDefault="00D70BDD" w:rsidP="00E3027E">
      <w:pPr>
        <w:pStyle w:val="SyllabusListParagraph"/>
        <w:spacing w:after="60"/>
      </w:pPr>
      <w:r w:rsidRPr="00C91E9C">
        <w:t>define the following key terms and concepts as they relate to, and by privileging</w:t>
      </w:r>
      <w:r w:rsidR="00CB54D4">
        <w:t>,</w:t>
      </w:r>
      <w:r w:rsidRPr="00C91E9C">
        <w:t xml:space="preserve"> First Nations Peoples’ voices and perspectives</w:t>
      </w:r>
    </w:p>
    <w:p w14:paraId="4DECCC9B" w14:textId="44C2A93E" w:rsidR="00D70BDD" w:rsidRPr="00C91E9C" w:rsidRDefault="00D70BDD" w:rsidP="00E3027E">
      <w:pPr>
        <w:pStyle w:val="SyllabusListParagraph"/>
        <w:numPr>
          <w:ilvl w:val="1"/>
          <w:numId w:val="23"/>
        </w:numPr>
        <w:spacing w:after="60"/>
      </w:pPr>
      <w:bookmarkStart w:id="58" w:name="_Hlk152235467"/>
      <w:r w:rsidRPr="00C91E9C">
        <w:t>cultural expressions</w:t>
      </w:r>
    </w:p>
    <w:p w14:paraId="0A8532C3" w14:textId="77777777" w:rsidR="00D70BDD" w:rsidRPr="00C91E9C" w:rsidRDefault="00D70BDD" w:rsidP="00E3027E">
      <w:pPr>
        <w:pStyle w:val="SyllabusListParagraph"/>
        <w:numPr>
          <w:ilvl w:val="1"/>
          <w:numId w:val="23"/>
        </w:numPr>
        <w:spacing w:after="60"/>
      </w:pPr>
      <w:r w:rsidRPr="00C91E9C">
        <w:t>empowerment</w:t>
      </w:r>
    </w:p>
    <w:p w14:paraId="02EE1B7C" w14:textId="03A125B0" w:rsidR="00F44BA0" w:rsidRPr="00C91E9C" w:rsidRDefault="00F44BA0" w:rsidP="00E3027E">
      <w:pPr>
        <w:pStyle w:val="SyllabusListParagraph"/>
        <w:numPr>
          <w:ilvl w:val="1"/>
          <w:numId w:val="23"/>
        </w:numPr>
        <w:spacing w:after="60"/>
      </w:pPr>
      <w:r w:rsidRPr="00C91E9C">
        <w:t>resiliency</w:t>
      </w:r>
    </w:p>
    <w:p w14:paraId="5F528F83" w14:textId="7AE3980C" w:rsidR="00D70BDD" w:rsidRPr="00C91E9C" w:rsidRDefault="00D70BDD" w:rsidP="00E3027E">
      <w:pPr>
        <w:pStyle w:val="SyllabusListParagraph"/>
        <w:numPr>
          <w:ilvl w:val="1"/>
          <w:numId w:val="23"/>
        </w:numPr>
        <w:spacing w:after="60"/>
      </w:pPr>
      <w:r w:rsidRPr="00C91E9C">
        <w:t>self-determination</w:t>
      </w:r>
    </w:p>
    <w:bookmarkEnd w:id="58"/>
    <w:p w14:paraId="7B93D9B5" w14:textId="527933D9" w:rsidR="00F864EC" w:rsidRPr="00C91E9C" w:rsidRDefault="00D70BDD" w:rsidP="00E3027E">
      <w:pPr>
        <w:pStyle w:val="SyllabusListParagraph"/>
        <w:spacing w:after="60"/>
      </w:pPr>
      <w:r w:rsidRPr="00C91E9C">
        <w:t>the impact of invasion and colonisation on First Nations Peoples’</w:t>
      </w:r>
      <w:r w:rsidR="003B06FE" w:rsidRPr="00C91E9C">
        <w:t xml:space="preserve"> cultural expressions </w:t>
      </w:r>
      <w:bookmarkStart w:id="59" w:name="_Hlk155770868"/>
      <w:r w:rsidR="00076AF9" w:rsidRPr="00C91E9C">
        <w:t xml:space="preserve">in </w:t>
      </w:r>
      <w:r w:rsidR="003B06FE" w:rsidRPr="00C91E9C">
        <w:t xml:space="preserve">both Australia and </w:t>
      </w:r>
      <w:r w:rsidR="003B06FE" w:rsidRPr="00C91E9C">
        <w:rPr>
          <w:b/>
          <w:bCs/>
        </w:rPr>
        <w:t>one</w:t>
      </w:r>
      <w:r w:rsidR="003B06FE" w:rsidRPr="00C91E9C">
        <w:t xml:space="preserve"> other </w:t>
      </w:r>
      <w:r w:rsidR="006971D2" w:rsidRPr="00C91E9C">
        <w:t>country</w:t>
      </w:r>
    </w:p>
    <w:bookmarkEnd w:id="59"/>
    <w:p w14:paraId="1F3D2851" w14:textId="07F9A1D9" w:rsidR="00D70BDD" w:rsidRPr="00C91E9C" w:rsidRDefault="00D70BDD" w:rsidP="00E3027E">
      <w:pPr>
        <w:pStyle w:val="SyllabusListParagraph"/>
        <w:spacing w:after="60"/>
      </w:pPr>
      <w:r w:rsidRPr="00C91E9C">
        <w:t>the contribution of contemporary cultural expressions to the empowerment and resiliency of First Nations Peoples</w:t>
      </w:r>
      <w:r w:rsidR="003B06FE" w:rsidRPr="00C91E9C">
        <w:t xml:space="preserve"> </w:t>
      </w:r>
      <w:r w:rsidR="00076AF9" w:rsidRPr="00C91E9C">
        <w:t xml:space="preserve">in </w:t>
      </w:r>
      <w:r w:rsidR="00F864EC" w:rsidRPr="00C91E9C">
        <w:t xml:space="preserve">both Australia and one other country, </w:t>
      </w:r>
      <w:r w:rsidRPr="00C91E9C">
        <w:t>including</w:t>
      </w:r>
    </w:p>
    <w:p w14:paraId="084072FC" w14:textId="77777777" w:rsidR="00D70BDD" w:rsidRPr="00C91E9C" w:rsidRDefault="00D70BDD" w:rsidP="00E3027E">
      <w:pPr>
        <w:pStyle w:val="SyllabusListParagraph"/>
        <w:numPr>
          <w:ilvl w:val="1"/>
          <w:numId w:val="23"/>
        </w:numPr>
        <w:spacing w:after="60"/>
      </w:pPr>
      <w:r w:rsidRPr="00C91E9C">
        <w:t>sharing and maintaining cultural knowledge</w:t>
      </w:r>
    </w:p>
    <w:p w14:paraId="08E2E778" w14:textId="70948154" w:rsidR="003B06FE" w:rsidRPr="00C91E9C" w:rsidRDefault="003B06FE" w:rsidP="00E3027E">
      <w:pPr>
        <w:pStyle w:val="SyllabusListParagraph"/>
        <w:numPr>
          <w:ilvl w:val="1"/>
          <w:numId w:val="23"/>
        </w:numPr>
        <w:spacing w:after="60"/>
      </w:pPr>
      <w:r w:rsidRPr="00C91E9C">
        <w:t>health and wellbeing</w:t>
      </w:r>
    </w:p>
    <w:p w14:paraId="02219E8D" w14:textId="2A14DCC6" w:rsidR="003B06FE" w:rsidRPr="00C91E9C" w:rsidRDefault="003B06FE" w:rsidP="00E3027E">
      <w:pPr>
        <w:pStyle w:val="SyllabusListParagraph"/>
        <w:numPr>
          <w:ilvl w:val="1"/>
          <w:numId w:val="23"/>
        </w:numPr>
        <w:spacing w:after="60"/>
      </w:pPr>
      <w:r w:rsidRPr="00C91E9C">
        <w:t>economic opportunities</w:t>
      </w:r>
    </w:p>
    <w:p w14:paraId="699A0B45" w14:textId="147DE1E4" w:rsidR="003B06FE" w:rsidRPr="00C91E9C" w:rsidRDefault="00D70BDD" w:rsidP="00E3027E">
      <w:pPr>
        <w:pStyle w:val="SyllabusListParagraph"/>
        <w:numPr>
          <w:ilvl w:val="1"/>
          <w:numId w:val="23"/>
        </w:numPr>
        <w:spacing w:after="60"/>
      </w:pPr>
      <w:r w:rsidRPr="00C91E9C">
        <w:t xml:space="preserve">as an advocate for the rights of First Nations Peoples </w:t>
      </w:r>
    </w:p>
    <w:p w14:paraId="090942E3" w14:textId="19C9650E" w:rsidR="008A5514" w:rsidRPr="00C91E9C" w:rsidRDefault="00D70BDD" w:rsidP="00E3027E">
      <w:pPr>
        <w:pStyle w:val="SyllabusListParagraph"/>
        <w:spacing w:after="60"/>
      </w:pPr>
      <w:r w:rsidRPr="00C91E9C">
        <w:t xml:space="preserve">Indigenous Cultural and Intellectual Property and the </w:t>
      </w:r>
      <w:r w:rsidRPr="00C91E9C">
        <w:rPr>
          <w:i/>
          <w:iCs/>
        </w:rPr>
        <w:t xml:space="preserve">Protocols for using First Nations Cultural </w:t>
      </w:r>
      <w:r w:rsidR="00190978">
        <w:rPr>
          <w:i/>
          <w:iCs/>
        </w:rPr>
        <w:t xml:space="preserve">and </w:t>
      </w:r>
      <w:r w:rsidR="00190978" w:rsidRPr="00C91E9C">
        <w:rPr>
          <w:i/>
          <w:iCs/>
        </w:rPr>
        <w:t xml:space="preserve">Intellectual </w:t>
      </w:r>
      <w:r w:rsidRPr="00C91E9C">
        <w:rPr>
          <w:i/>
          <w:iCs/>
        </w:rPr>
        <w:t>Property</w:t>
      </w:r>
      <w:r w:rsidR="00F864EC" w:rsidRPr="00C91E9C">
        <w:rPr>
          <w:i/>
          <w:iCs/>
        </w:rPr>
        <w:t xml:space="preserve"> in the Arts</w:t>
      </w:r>
      <w:r w:rsidR="004304C1" w:rsidRPr="00C91E9C">
        <w:t xml:space="preserve"> </w:t>
      </w:r>
      <w:r w:rsidR="00CB54D4">
        <w:t>(</w:t>
      </w:r>
      <w:hyperlink r:id="rId13" w:history="1">
        <w:r w:rsidR="00CB54D4" w:rsidRPr="00CB54D4">
          <w:rPr>
            <w:rStyle w:val="Hyperlink"/>
          </w:rPr>
          <w:t>https://australiacouncil.gov.au/investment-and-development/protocols-and-resources/protocols-for-using-first-nations-cultural-and-intellectual-property-in-the-arts/</w:t>
        </w:r>
      </w:hyperlink>
      <w:r w:rsidR="00602CD7">
        <w:t>)</w:t>
      </w:r>
      <w:r w:rsidR="00AF434F">
        <w:t xml:space="preserve"> </w:t>
      </w:r>
      <w:r w:rsidR="008A5514" w:rsidRPr="00C91E9C">
        <w:t>including</w:t>
      </w:r>
    </w:p>
    <w:p w14:paraId="02D03840" w14:textId="794DBD04" w:rsidR="004304C1" w:rsidRPr="00C91E9C" w:rsidRDefault="004304C1" w:rsidP="00E3027E">
      <w:pPr>
        <w:pStyle w:val="SyllabusListParagraph"/>
        <w:numPr>
          <w:ilvl w:val="1"/>
          <w:numId w:val="23"/>
        </w:numPr>
        <w:spacing w:after="60"/>
      </w:pPr>
      <w:r w:rsidRPr="00C91E9C">
        <w:t>what are the protocols</w:t>
      </w:r>
    </w:p>
    <w:p w14:paraId="4449C171" w14:textId="1DC0C6A2" w:rsidR="00610A88" w:rsidRPr="00C91E9C" w:rsidRDefault="008A5514" w:rsidP="00E3027E">
      <w:pPr>
        <w:pStyle w:val="SyllabusListParagraph"/>
        <w:numPr>
          <w:ilvl w:val="1"/>
          <w:numId w:val="23"/>
        </w:numPr>
        <w:spacing w:after="60"/>
      </w:pPr>
      <w:r w:rsidRPr="00C91E9C">
        <w:t>what is Indigenous Cultural and Intellectual Property</w:t>
      </w:r>
    </w:p>
    <w:p w14:paraId="0A65C129" w14:textId="77777777" w:rsidR="00610A88" w:rsidRPr="00706ACB" w:rsidRDefault="008A5514" w:rsidP="00E3027E">
      <w:pPr>
        <w:pStyle w:val="SyllabusListParagraph"/>
        <w:numPr>
          <w:ilvl w:val="1"/>
          <w:numId w:val="23"/>
        </w:numPr>
        <w:spacing w:after="60"/>
      </w:pPr>
      <w:r w:rsidRPr="00C91E9C">
        <w:t xml:space="preserve">Indigenous </w:t>
      </w:r>
      <w:r w:rsidR="006971D2" w:rsidRPr="00C91E9C">
        <w:t>peoples’</w:t>
      </w:r>
      <w:r w:rsidRPr="00C91E9C">
        <w:t xml:space="preserve"> rights to Cultural and Intellectual Property</w:t>
      </w:r>
    </w:p>
    <w:p w14:paraId="51D67CA7" w14:textId="4FAC7719" w:rsidR="008A5514" w:rsidRPr="00C91E9C" w:rsidRDefault="0056284A" w:rsidP="00E3027E">
      <w:pPr>
        <w:pStyle w:val="SyllabusListParagraph"/>
        <w:numPr>
          <w:ilvl w:val="1"/>
          <w:numId w:val="23"/>
        </w:numPr>
        <w:spacing w:after="60"/>
      </w:pPr>
      <w:r>
        <w:rPr>
          <w:b/>
          <w:bCs/>
        </w:rPr>
        <w:t>o</w:t>
      </w:r>
      <w:r w:rsidR="00610A88" w:rsidRPr="00610A88">
        <w:rPr>
          <w:b/>
          <w:bCs/>
        </w:rPr>
        <w:t>ne</w:t>
      </w:r>
      <w:r w:rsidR="00610A88" w:rsidRPr="00C91E9C">
        <w:t xml:space="preserve"> example of the </w:t>
      </w:r>
      <w:r>
        <w:t>p</w:t>
      </w:r>
      <w:r w:rsidR="00610A88" w:rsidRPr="00C91E9C">
        <w:t>rotocols for using First Nations Peoples’ Cultural</w:t>
      </w:r>
      <w:r w:rsidR="00610A88">
        <w:t xml:space="preserve"> </w:t>
      </w:r>
      <w:r w:rsidR="00610A88" w:rsidRPr="00C91E9C">
        <w:t xml:space="preserve">and Intellectual Property in practice in Australia </w:t>
      </w:r>
    </w:p>
    <w:p w14:paraId="023649B8" w14:textId="61FA2103" w:rsidR="008A5514" w:rsidRPr="00C91E9C" w:rsidRDefault="00602CD7" w:rsidP="00E3027E">
      <w:pPr>
        <w:pStyle w:val="SyllabusListParagraph"/>
        <w:spacing w:after="60"/>
      </w:pPr>
      <w:r>
        <w:t>i</w:t>
      </w:r>
      <w:r w:rsidR="008A5514" w:rsidRPr="00C91E9C">
        <w:t>nternational protection of Indigenous Cultural and Intellectual Property</w:t>
      </w:r>
      <w:r w:rsidR="004304C1" w:rsidRPr="00C91E9C">
        <w:t>,</w:t>
      </w:r>
      <w:r w:rsidR="008A5514" w:rsidRPr="00C91E9C">
        <w:t xml:space="preserve"> including</w:t>
      </w:r>
      <w:r w:rsidR="004304C1" w:rsidRPr="00C91E9C">
        <w:t xml:space="preserve"> </w:t>
      </w:r>
      <w:r w:rsidR="008A5514" w:rsidRPr="00C91E9C">
        <w:t xml:space="preserve">Article 31 of the </w:t>
      </w:r>
      <w:r w:rsidR="008A5514" w:rsidRPr="00C91E9C">
        <w:rPr>
          <w:i/>
          <w:iCs/>
        </w:rPr>
        <w:t>United Nations Declaration on the Rights of Indigenous Peoples</w:t>
      </w:r>
    </w:p>
    <w:p w14:paraId="6B6A46BF" w14:textId="7946B86D" w:rsidR="00D70BDD" w:rsidRPr="003B06FE" w:rsidRDefault="00D70BDD" w:rsidP="006D4895">
      <w:pPr>
        <w:pStyle w:val="SyllabusHeading4"/>
      </w:pPr>
      <w:r w:rsidRPr="003B06FE">
        <w:lastRenderedPageBreak/>
        <w:t>Depth Study One</w:t>
      </w:r>
    </w:p>
    <w:p w14:paraId="6728ED85" w14:textId="74EE7BA3" w:rsidR="00D70BDD" w:rsidRDefault="00D70BDD" w:rsidP="00D70BDD">
      <w:pPr>
        <w:spacing w:before="120"/>
      </w:pPr>
      <w:r w:rsidRPr="00D26F80">
        <w:t>Through community experiences and/or secondary sources,</w:t>
      </w:r>
      <w:r w:rsidRPr="00901BD7">
        <w:t xml:space="preserve"> and by privileging First Nations Peoples’ voices and perspectives,</w:t>
      </w:r>
      <w:r w:rsidRPr="00D26F80">
        <w:t xml:space="preserve"> students </w:t>
      </w:r>
      <w:r>
        <w:t>investigate</w:t>
      </w:r>
      <w:r w:rsidRPr="00901BD7">
        <w:t xml:space="preserve"> </w:t>
      </w:r>
      <w:r w:rsidRPr="00613C1F">
        <w:rPr>
          <w:b/>
        </w:rPr>
        <w:t>one</w:t>
      </w:r>
      <w:r w:rsidRPr="00901BD7">
        <w:t xml:space="preserve"> </w:t>
      </w:r>
      <w:r w:rsidRPr="00D26F80">
        <w:t xml:space="preserve">form of cultural expression </w:t>
      </w:r>
      <w:r>
        <w:t>and</w:t>
      </w:r>
      <w:r w:rsidRPr="00D26F80">
        <w:t xml:space="preserve"> its significance</w:t>
      </w:r>
      <w:r w:rsidRPr="00901BD7">
        <w:t xml:space="preserve"> </w:t>
      </w:r>
      <w:r w:rsidRPr="00D26F80">
        <w:t>for</w:t>
      </w:r>
      <w:r w:rsidRPr="00901BD7">
        <w:t xml:space="preserve"> </w:t>
      </w:r>
      <w:r w:rsidRPr="00D26F80">
        <w:t>Australian First Nations People</w:t>
      </w:r>
      <w:r w:rsidR="003B39F6">
        <w:t>s.</w:t>
      </w:r>
    </w:p>
    <w:p w14:paraId="282CF9E2" w14:textId="77777777" w:rsidR="00D70BDD" w:rsidRPr="00D26F80" w:rsidRDefault="00D70BDD" w:rsidP="00D70BDD">
      <w:pPr>
        <w:spacing w:before="120"/>
      </w:pPr>
      <w:r w:rsidRPr="00D26F80">
        <w:t xml:space="preserve">From the list below, select </w:t>
      </w:r>
      <w:r w:rsidRPr="00613C1F">
        <w:rPr>
          <w:b/>
        </w:rPr>
        <w:t>one</w:t>
      </w:r>
      <w:r w:rsidRPr="00D26F80">
        <w:t xml:space="preserve"> of the forms of cultural expression:</w:t>
      </w:r>
    </w:p>
    <w:p w14:paraId="607B2286" w14:textId="53D15265" w:rsidR="00D70BDD" w:rsidRPr="00901BD7" w:rsidRDefault="00D70BDD" w:rsidP="00B068FE">
      <w:pPr>
        <w:pStyle w:val="SyllabusListParagraph"/>
      </w:pPr>
      <w:r w:rsidRPr="00901BD7">
        <w:t xml:space="preserve">visual arts – </w:t>
      </w:r>
      <w:r w:rsidR="000D5EED">
        <w:t xml:space="preserve">encompassing drawing, </w:t>
      </w:r>
      <w:r w:rsidR="00FF0442">
        <w:t xml:space="preserve">painting, </w:t>
      </w:r>
      <w:r w:rsidR="004B51F0">
        <w:t>computer art,</w:t>
      </w:r>
      <w:r w:rsidR="00590F84">
        <w:t xml:space="preserve"> </w:t>
      </w:r>
      <w:r w:rsidR="000D5EED">
        <w:t xml:space="preserve">photography, </w:t>
      </w:r>
      <w:r w:rsidR="00FF0442">
        <w:t xml:space="preserve">sculpture, </w:t>
      </w:r>
      <w:r w:rsidR="000D5EED">
        <w:t xml:space="preserve">ceramics, </w:t>
      </w:r>
      <w:r w:rsidR="00FF0442">
        <w:t xml:space="preserve">homewares, </w:t>
      </w:r>
      <w:r w:rsidR="000D5EED">
        <w:t>fabrics, textiles</w:t>
      </w:r>
      <w:r w:rsidR="00FF0442" w:rsidRPr="00FF0442">
        <w:t xml:space="preserve"> </w:t>
      </w:r>
      <w:r w:rsidR="00FF0442">
        <w:t>and</w:t>
      </w:r>
      <w:r w:rsidR="00FF0442" w:rsidRPr="00FF0442">
        <w:t xml:space="preserve"> </w:t>
      </w:r>
      <w:r w:rsidR="00FF0442">
        <w:t>printmaking</w:t>
      </w:r>
      <w:r w:rsidR="000D5EED">
        <w:t xml:space="preserve"> </w:t>
      </w:r>
    </w:p>
    <w:p w14:paraId="634C444B" w14:textId="54773E01" w:rsidR="00D70BDD" w:rsidRDefault="00D70BDD" w:rsidP="00B068FE">
      <w:pPr>
        <w:pStyle w:val="SyllabusListParagraph"/>
      </w:pPr>
      <w:r w:rsidRPr="00901BD7">
        <w:t xml:space="preserve">theatre – </w:t>
      </w:r>
      <w:r w:rsidR="00FF0442">
        <w:t>involving musical theatre</w:t>
      </w:r>
      <w:r w:rsidR="00AC1F9D">
        <w:t>, plays</w:t>
      </w:r>
      <w:r w:rsidR="00776F4F">
        <w:t>, storytelling</w:t>
      </w:r>
      <w:r w:rsidR="00AC1F9D">
        <w:t xml:space="preserve"> </w:t>
      </w:r>
      <w:r w:rsidR="00FF0442">
        <w:t>and puppet shows</w:t>
      </w:r>
      <w:r w:rsidR="00FF0442" w:rsidRPr="00901BD7" w:rsidDel="00FF0442">
        <w:t xml:space="preserve"> </w:t>
      </w:r>
    </w:p>
    <w:p w14:paraId="6F19C0A0" w14:textId="387B3B9C" w:rsidR="004B51F0" w:rsidRPr="00901BD7" w:rsidRDefault="004B51F0" w:rsidP="00B068FE">
      <w:pPr>
        <w:pStyle w:val="SyllabusListParagraph"/>
      </w:pPr>
      <w:r>
        <w:t>e</w:t>
      </w:r>
      <w:r w:rsidRPr="004B51F0">
        <w:t>vents – featuring cultural community festivals and workshops</w:t>
      </w:r>
      <w:r>
        <w:t>,</w:t>
      </w:r>
      <w:r w:rsidRPr="004B51F0">
        <w:t xml:space="preserve"> art exhibitions and installations</w:t>
      </w:r>
    </w:p>
    <w:p w14:paraId="7FE4D845" w14:textId="01CA8243" w:rsidR="00D70BDD" w:rsidRPr="00901BD7" w:rsidRDefault="00D70BDD" w:rsidP="00B068FE">
      <w:pPr>
        <w:pStyle w:val="SyllabusListParagraph"/>
      </w:pPr>
      <w:r w:rsidRPr="00901BD7">
        <w:t xml:space="preserve">dance – </w:t>
      </w:r>
      <w:r w:rsidR="00FF0442">
        <w:t xml:space="preserve">including </w:t>
      </w:r>
      <w:r w:rsidR="00385D9E">
        <w:t xml:space="preserve">classical and contemporary </w:t>
      </w:r>
      <w:r w:rsidRPr="00901BD7">
        <w:t xml:space="preserve">ballet, </w:t>
      </w:r>
      <w:r w:rsidR="00FF0442" w:rsidRPr="00901BD7">
        <w:t>traditional dance</w:t>
      </w:r>
      <w:r w:rsidR="00FF0442">
        <w:t xml:space="preserve"> and</w:t>
      </w:r>
      <w:r w:rsidR="00FF0442" w:rsidRPr="00901BD7">
        <w:t xml:space="preserve"> </w:t>
      </w:r>
      <w:r w:rsidRPr="00901BD7">
        <w:t>contemporary dance</w:t>
      </w:r>
      <w:r w:rsidR="00FF0442">
        <w:t xml:space="preserve"> forms</w:t>
      </w:r>
    </w:p>
    <w:p w14:paraId="058B8E64" w14:textId="77777777" w:rsidR="00FF0442" w:rsidRPr="00901BD7" w:rsidRDefault="00FF0442" w:rsidP="00B068FE">
      <w:pPr>
        <w:pStyle w:val="SyllabusListParagraph"/>
      </w:pPr>
      <w:r w:rsidRPr="00901BD7">
        <w:t xml:space="preserve">music – </w:t>
      </w:r>
      <w:r>
        <w:t>covering activities such as composing, recording, publishing, performing, and touring, including songs and live performances</w:t>
      </w:r>
      <w:r w:rsidRPr="00901BD7" w:rsidDel="00FF0442">
        <w:t xml:space="preserve"> </w:t>
      </w:r>
    </w:p>
    <w:p w14:paraId="0949C5E8" w14:textId="4A9F3223" w:rsidR="00D70BDD" w:rsidRPr="00901BD7" w:rsidRDefault="00D70BDD" w:rsidP="00B068FE">
      <w:pPr>
        <w:pStyle w:val="SyllabusListParagraph"/>
      </w:pPr>
      <w:r w:rsidRPr="00901BD7">
        <w:t>written works</w:t>
      </w:r>
      <w:r w:rsidR="00FF0442">
        <w:t xml:space="preserve"> comprising </w:t>
      </w:r>
      <w:r w:rsidRPr="00901BD7">
        <w:t xml:space="preserve">fiction and non-fiction works, </w:t>
      </w:r>
      <w:r w:rsidR="00FF0442">
        <w:t xml:space="preserve">poetry, </w:t>
      </w:r>
      <w:r w:rsidRPr="00901BD7">
        <w:t>biographies and</w:t>
      </w:r>
      <w:r w:rsidR="00FF0442">
        <w:t>/or</w:t>
      </w:r>
      <w:r w:rsidRPr="00901BD7">
        <w:t xml:space="preserve"> playwriting</w:t>
      </w:r>
      <w:r w:rsidR="004B51F0">
        <w:t>.</w:t>
      </w:r>
    </w:p>
    <w:p w14:paraId="43ED4675" w14:textId="77777777" w:rsidR="00D70BDD" w:rsidRPr="00D26F80" w:rsidRDefault="00D70BDD" w:rsidP="00B068FE">
      <w:pPr>
        <w:spacing w:before="120"/>
      </w:pPr>
      <w:r w:rsidRPr="00D26F80">
        <w:t>For the selected form of c</w:t>
      </w:r>
      <w:r>
        <w:t>ultural expression, investigate:</w:t>
      </w:r>
    </w:p>
    <w:p w14:paraId="00B4DA8A" w14:textId="613CAE0C" w:rsidR="00D70BDD" w:rsidRDefault="00552C6C" w:rsidP="00B068FE">
      <w:pPr>
        <w:pStyle w:val="SyllabusListParagraph"/>
        <w:numPr>
          <w:ilvl w:val="0"/>
          <w:numId w:val="8"/>
        </w:numPr>
        <w:rPr>
          <w:rFonts w:eastAsia="Times New Roman"/>
        </w:rPr>
      </w:pPr>
      <w:r>
        <w:rPr>
          <w:rFonts w:eastAsia="Times New Roman"/>
        </w:rPr>
        <w:t xml:space="preserve">Australian </w:t>
      </w:r>
      <w:r w:rsidR="00D70BDD" w:rsidRPr="00901BD7">
        <w:rPr>
          <w:rFonts w:eastAsia="Times New Roman"/>
        </w:rPr>
        <w:t>First Nations Peoples</w:t>
      </w:r>
      <w:r w:rsidR="00D70BDD">
        <w:rPr>
          <w:rFonts w:eastAsia="Times New Roman"/>
        </w:rPr>
        <w:t>’</w:t>
      </w:r>
      <w:r w:rsidR="00D70BDD" w:rsidRPr="00901BD7">
        <w:rPr>
          <w:rFonts w:eastAsia="Times New Roman"/>
        </w:rPr>
        <w:t xml:space="preserve"> perspectives, </w:t>
      </w:r>
      <w:r w:rsidR="00F44BA0">
        <w:rPr>
          <w:rFonts w:eastAsia="Times New Roman"/>
        </w:rPr>
        <w:t>cultures or histories</w:t>
      </w:r>
      <w:r w:rsidR="00D70BDD" w:rsidRPr="00901BD7">
        <w:rPr>
          <w:rFonts w:eastAsia="Times New Roman"/>
        </w:rPr>
        <w:t xml:space="preserve"> represented through the form of cultural expression</w:t>
      </w:r>
    </w:p>
    <w:p w14:paraId="20AD5B1A" w14:textId="567A509C" w:rsidR="00D70BDD" w:rsidRDefault="00D70BDD" w:rsidP="00B068FE">
      <w:pPr>
        <w:pStyle w:val="SyllabusListParagraph"/>
        <w:numPr>
          <w:ilvl w:val="0"/>
          <w:numId w:val="8"/>
        </w:numPr>
        <w:rPr>
          <w:rFonts w:eastAsia="Times New Roman"/>
        </w:rPr>
      </w:pPr>
      <w:r w:rsidRPr="00901BD7">
        <w:rPr>
          <w:rFonts w:eastAsia="Times New Roman"/>
        </w:rPr>
        <w:t>the role of information and telecommunications technologies in showcasing and celebrating the form of cultural expression locally, nationally and</w:t>
      </w:r>
      <w:r w:rsidR="003B39F6">
        <w:rPr>
          <w:rFonts w:eastAsia="Times New Roman"/>
        </w:rPr>
        <w:t>/or</w:t>
      </w:r>
      <w:r w:rsidRPr="00901BD7">
        <w:rPr>
          <w:rFonts w:eastAsia="Times New Roman"/>
        </w:rPr>
        <w:t xml:space="preserve"> globally</w:t>
      </w:r>
    </w:p>
    <w:p w14:paraId="6E9719A2" w14:textId="7799CB6F" w:rsidR="007761CE" w:rsidRPr="00901BD7" w:rsidRDefault="003B39F6" w:rsidP="00B068FE">
      <w:pPr>
        <w:pStyle w:val="SyllabusListParagraph"/>
        <w:numPr>
          <w:ilvl w:val="0"/>
          <w:numId w:val="8"/>
        </w:numPr>
        <w:rPr>
          <w:rFonts w:eastAsia="Times New Roman"/>
        </w:rPr>
      </w:pPr>
      <w:r>
        <w:t xml:space="preserve">the changing </w:t>
      </w:r>
      <w:r w:rsidR="006A6A0D">
        <w:t>engagemen</w:t>
      </w:r>
      <w:r w:rsidR="00FA1BCC">
        <w:t>t in the</w:t>
      </w:r>
      <w:r w:rsidR="006A6A0D">
        <w:t xml:space="preserve"> </w:t>
      </w:r>
      <w:r w:rsidR="00FA1BCC">
        <w:t xml:space="preserve">form of cultural expression </w:t>
      </w:r>
      <w:r w:rsidR="007761CE">
        <w:t>by Australian society over time</w:t>
      </w:r>
    </w:p>
    <w:p w14:paraId="3ADEEEC7" w14:textId="3E768D4D" w:rsidR="00F44BA0" w:rsidRPr="00F44BA0" w:rsidRDefault="00D70BDD" w:rsidP="00B068FE">
      <w:pPr>
        <w:pStyle w:val="SyllabusListParagraph"/>
        <w:numPr>
          <w:ilvl w:val="0"/>
          <w:numId w:val="8"/>
        </w:numPr>
        <w:rPr>
          <w:rFonts w:eastAsia="Times New Roman"/>
        </w:rPr>
      </w:pPr>
      <w:r w:rsidRPr="00FA1BCC">
        <w:rPr>
          <w:rFonts w:eastAsia="Times New Roman"/>
          <w:bCs/>
        </w:rPr>
        <w:t xml:space="preserve">the </w:t>
      </w:r>
      <w:r w:rsidR="0015060B">
        <w:rPr>
          <w:rFonts w:eastAsia="Times New Roman"/>
          <w:bCs/>
        </w:rPr>
        <w:t>contribution</w:t>
      </w:r>
      <w:r w:rsidR="0015060B" w:rsidRPr="00FA1BCC">
        <w:rPr>
          <w:rFonts w:eastAsia="Times New Roman"/>
          <w:bCs/>
        </w:rPr>
        <w:t xml:space="preserve"> </w:t>
      </w:r>
      <w:r w:rsidRPr="00FA1BCC">
        <w:rPr>
          <w:rFonts w:eastAsia="Times New Roman"/>
          <w:bCs/>
        </w:rPr>
        <w:t xml:space="preserve">of </w:t>
      </w:r>
      <w:r w:rsidR="00FA1BCC">
        <w:rPr>
          <w:rFonts w:eastAsia="Times New Roman"/>
          <w:bCs/>
        </w:rPr>
        <w:t xml:space="preserve">the form of </w:t>
      </w:r>
      <w:r w:rsidRPr="00FA1BCC">
        <w:rPr>
          <w:rFonts w:eastAsia="Times New Roman"/>
          <w:bCs/>
        </w:rPr>
        <w:t>cultural expression to the continuation</w:t>
      </w:r>
      <w:r w:rsidR="00FA1BCC">
        <w:rPr>
          <w:rFonts w:eastAsia="Times New Roman"/>
          <w:bCs/>
        </w:rPr>
        <w:t xml:space="preserve"> and sharing</w:t>
      </w:r>
      <w:r w:rsidRPr="00FA1BCC">
        <w:rPr>
          <w:rFonts w:eastAsia="Times New Roman"/>
          <w:bCs/>
        </w:rPr>
        <w:t xml:space="preserve"> of</w:t>
      </w:r>
      <w:r w:rsidR="0015060B" w:rsidRPr="0015060B">
        <w:rPr>
          <w:rFonts w:eastAsia="Times New Roman"/>
          <w:bCs/>
        </w:rPr>
        <w:t xml:space="preserve"> </w:t>
      </w:r>
      <w:r w:rsidR="0015060B">
        <w:rPr>
          <w:rFonts w:eastAsia="Times New Roman"/>
          <w:bCs/>
        </w:rPr>
        <w:t>Australian First Nations Peoples</w:t>
      </w:r>
      <w:r w:rsidR="00602CD7">
        <w:rPr>
          <w:rFonts w:eastAsia="Times New Roman"/>
          <w:bCs/>
        </w:rPr>
        <w:t>’</w:t>
      </w:r>
      <w:r w:rsidRPr="00FA1BCC">
        <w:rPr>
          <w:rFonts w:eastAsia="Times New Roman"/>
          <w:bCs/>
        </w:rPr>
        <w:t xml:space="preserve"> cultur</w:t>
      </w:r>
      <w:r w:rsidR="0015060B">
        <w:rPr>
          <w:rFonts w:eastAsia="Times New Roman"/>
          <w:bCs/>
        </w:rPr>
        <w:t>al knowledge and practi</w:t>
      </w:r>
      <w:r w:rsidR="009602A5">
        <w:rPr>
          <w:rFonts w:eastAsia="Times New Roman"/>
          <w:bCs/>
        </w:rPr>
        <w:t>c</w:t>
      </w:r>
      <w:r w:rsidR="0015060B">
        <w:rPr>
          <w:rFonts w:eastAsia="Times New Roman"/>
          <w:bCs/>
        </w:rPr>
        <w:t>es</w:t>
      </w:r>
      <w:r w:rsidR="00602CD7">
        <w:rPr>
          <w:rFonts w:eastAsia="Times New Roman"/>
          <w:bCs/>
        </w:rPr>
        <w:t>.</w:t>
      </w:r>
    </w:p>
    <w:p w14:paraId="09F8A242" w14:textId="77777777" w:rsidR="00D70BDD" w:rsidRPr="00C91E9C" w:rsidRDefault="00D70BDD" w:rsidP="00C91E9C">
      <w:pPr>
        <w:rPr>
          <w:highlight w:val="yellow"/>
        </w:rPr>
      </w:pPr>
      <w:r>
        <w:rPr>
          <w:b/>
          <w:highlight w:val="yellow"/>
        </w:rPr>
        <w:br w:type="page"/>
      </w:r>
    </w:p>
    <w:p w14:paraId="22756684" w14:textId="1FD453D6" w:rsidR="00D70BDD" w:rsidRPr="008464E6" w:rsidRDefault="00D70BDD" w:rsidP="006D4895">
      <w:pPr>
        <w:pStyle w:val="SyllabusHeading4"/>
      </w:pPr>
      <w:r w:rsidRPr="008464E6">
        <w:lastRenderedPageBreak/>
        <w:t>Depth Study Two</w:t>
      </w:r>
    </w:p>
    <w:p w14:paraId="78F8A819" w14:textId="114C29D1" w:rsidR="00352DF8" w:rsidRPr="008464E6" w:rsidRDefault="00352DF8" w:rsidP="00352DF8">
      <w:pPr>
        <w:spacing w:before="120"/>
        <w:rPr>
          <w:rFonts w:cstheme="minorHAnsi"/>
        </w:rPr>
      </w:pPr>
      <w:r w:rsidRPr="008464E6">
        <w:rPr>
          <w:rFonts w:cstheme="minorHAnsi"/>
        </w:rPr>
        <w:t xml:space="preserve">Through community experiences and/or secondary sources, </w:t>
      </w:r>
      <w:r w:rsidRPr="008464E6">
        <w:rPr>
          <w:rFonts w:cstheme="minorHAnsi"/>
          <w:bCs/>
        </w:rPr>
        <w:t xml:space="preserve">and by privileging First Nations Peoples’ voices and perspectives, </w:t>
      </w:r>
      <w:r w:rsidRPr="008464E6">
        <w:rPr>
          <w:rFonts w:cstheme="minorHAnsi"/>
        </w:rPr>
        <w:t>s</w:t>
      </w:r>
      <w:r w:rsidRPr="0010526A">
        <w:rPr>
          <w:rFonts w:cstheme="minorHAnsi"/>
        </w:rPr>
        <w:t>tudents</w:t>
      </w:r>
      <w:bookmarkStart w:id="60" w:name="_Hlk145335708"/>
      <w:r w:rsidRPr="0010526A">
        <w:rPr>
          <w:rFonts w:cstheme="minorHAnsi"/>
        </w:rPr>
        <w:t xml:space="preserve"> investigate the importance of Australian First Nations Peoples cultural expressions </w:t>
      </w:r>
      <w:bookmarkEnd w:id="60"/>
      <w:r w:rsidRPr="0010526A">
        <w:rPr>
          <w:rFonts w:cstheme="minorHAnsi"/>
        </w:rPr>
        <w:t xml:space="preserve">in </w:t>
      </w:r>
      <w:r w:rsidR="00D12163" w:rsidRPr="0010526A">
        <w:rPr>
          <w:rFonts w:cstheme="minorHAnsi"/>
        </w:rPr>
        <w:t>showcasing</w:t>
      </w:r>
      <w:r w:rsidRPr="0010526A">
        <w:rPr>
          <w:rFonts w:cstheme="minorHAnsi"/>
        </w:rPr>
        <w:t xml:space="preserve"> </w:t>
      </w:r>
      <w:r w:rsidR="00D12163" w:rsidRPr="0010526A">
        <w:rPr>
          <w:rFonts w:cstheme="minorHAnsi" w:hint="cs"/>
        </w:rPr>
        <w:t>the world’s oldest living culture</w:t>
      </w:r>
      <w:r w:rsidR="00D12163" w:rsidRPr="0010526A">
        <w:rPr>
          <w:rFonts w:cstheme="minorHAnsi"/>
        </w:rPr>
        <w:t xml:space="preserve">s </w:t>
      </w:r>
      <w:r w:rsidRPr="0010526A">
        <w:rPr>
          <w:rFonts w:cstheme="minorHAnsi"/>
        </w:rPr>
        <w:t xml:space="preserve">and </w:t>
      </w:r>
      <w:r w:rsidR="00602CD7">
        <w:rPr>
          <w:rFonts w:cstheme="minorHAnsi"/>
        </w:rPr>
        <w:t xml:space="preserve">as </w:t>
      </w:r>
      <w:r w:rsidR="00D12163" w:rsidRPr="0010526A">
        <w:rPr>
          <w:rFonts w:cstheme="minorHAnsi"/>
        </w:rPr>
        <w:t xml:space="preserve">a way of </w:t>
      </w:r>
      <w:r w:rsidRPr="0010526A">
        <w:rPr>
          <w:rFonts w:cstheme="minorHAnsi"/>
        </w:rPr>
        <w:t xml:space="preserve">educating </w:t>
      </w:r>
      <w:r w:rsidR="00D12163" w:rsidRPr="0010526A">
        <w:rPr>
          <w:rFonts w:cstheme="minorHAnsi"/>
        </w:rPr>
        <w:t xml:space="preserve">and </w:t>
      </w:r>
      <w:r w:rsidR="006971D2" w:rsidRPr="0010526A">
        <w:rPr>
          <w:rFonts w:cstheme="minorHAnsi"/>
        </w:rPr>
        <w:t>changing people</w:t>
      </w:r>
      <w:r w:rsidR="00167B9F">
        <w:rPr>
          <w:rFonts w:cstheme="minorHAnsi"/>
        </w:rPr>
        <w:t>’</w:t>
      </w:r>
      <w:r w:rsidR="006971D2" w:rsidRPr="0010526A">
        <w:rPr>
          <w:rFonts w:cstheme="minorHAnsi"/>
        </w:rPr>
        <w:t>s</w:t>
      </w:r>
      <w:r w:rsidR="00D12163" w:rsidRPr="0010526A">
        <w:rPr>
          <w:rFonts w:cstheme="minorHAnsi"/>
        </w:rPr>
        <w:t xml:space="preserve"> perceptions.</w:t>
      </w:r>
    </w:p>
    <w:p w14:paraId="7655BD9E" w14:textId="64B021A2" w:rsidR="00352DF8" w:rsidRPr="005940F2" w:rsidRDefault="00352DF8" w:rsidP="00146160">
      <w:r w:rsidRPr="005940F2">
        <w:t>Students investigate:</w:t>
      </w:r>
    </w:p>
    <w:p w14:paraId="52583E06" w14:textId="651794F1" w:rsidR="00352DF8" w:rsidRPr="00F544C8" w:rsidRDefault="00352DF8" w:rsidP="00F544C8">
      <w:pPr>
        <w:pStyle w:val="SyllabusListParagraph"/>
      </w:pPr>
      <w:r w:rsidRPr="00F544C8">
        <w:t xml:space="preserve">a film or documentary which advocates for the rights of First Nations Peoples, including the </w:t>
      </w:r>
      <w:r w:rsidR="009602A5">
        <w:t>h</w:t>
      </w:r>
      <w:r w:rsidRPr="00F544C8">
        <w:t>uman rights, s</w:t>
      </w:r>
      <w:bookmarkStart w:id="61" w:name="_Hlk152235567"/>
      <w:r w:rsidRPr="00F544C8">
        <w:t>ocial justice issues</w:t>
      </w:r>
      <w:bookmarkEnd w:id="61"/>
      <w:r w:rsidRPr="00F544C8">
        <w:t xml:space="preserve"> and</w:t>
      </w:r>
      <w:r w:rsidR="000B4EF4" w:rsidRPr="00F544C8">
        <w:t>/or</w:t>
      </w:r>
      <w:r w:rsidRPr="00F544C8">
        <w:t xml:space="preserve"> different perspective included (e.g. </w:t>
      </w:r>
      <w:r w:rsidRPr="00F544C8">
        <w:rPr>
          <w:i/>
          <w:iCs/>
        </w:rPr>
        <w:t xml:space="preserve">In </w:t>
      </w:r>
      <w:r w:rsidR="00167B9F" w:rsidRPr="00F544C8">
        <w:rPr>
          <w:i/>
          <w:iCs/>
        </w:rPr>
        <w:t>M</w:t>
      </w:r>
      <w:r w:rsidRPr="00F544C8">
        <w:rPr>
          <w:i/>
          <w:iCs/>
        </w:rPr>
        <w:t xml:space="preserve">y </w:t>
      </w:r>
      <w:r w:rsidR="000A6A7C" w:rsidRPr="00F544C8">
        <w:rPr>
          <w:i/>
          <w:iCs/>
        </w:rPr>
        <w:t>B</w:t>
      </w:r>
      <w:r w:rsidRPr="00F544C8">
        <w:rPr>
          <w:i/>
          <w:iCs/>
        </w:rPr>
        <w:t xml:space="preserve">lood </w:t>
      </w:r>
      <w:r w:rsidR="00167B9F" w:rsidRPr="00F544C8">
        <w:rPr>
          <w:i/>
          <w:iCs/>
        </w:rPr>
        <w:t>I</w:t>
      </w:r>
      <w:r w:rsidRPr="00F544C8">
        <w:rPr>
          <w:i/>
          <w:iCs/>
        </w:rPr>
        <w:t>t Runs</w:t>
      </w:r>
      <w:r w:rsidRPr="00F544C8">
        <w:t>)</w:t>
      </w:r>
    </w:p>
    <w:p w14:paraId="1E504E1D" w14:textId="101E3637" w:rsidR="00352DF8" w:rsidRPr="00F544C8" w:rsidRDefault="00352DF8" w:rsidP="00F544C8">
      <w:pPr>
        <w:pStyle w:val="SyllabusListParagraph"/>
      </w:pPr>
      <w:r w:rsidRPr="00F544C8">
        <w:t>the importance of the Aboriginal flag and the Torres Strait Islander flag as expressions of cultural identity to Australian First Nations Peoples, including</w:t>
      </w:r>
    </w:p>
    <w:p w14:paraId="09D17186" w14:textId="77777777" w:rsidR="00352DF8" w:rsidRPr="00F544C8" w:rsidRDefault="00352DF8" w:rsidP="00F544C8">
      <w:pPr>
        <w:pStyle w:val="SyllabusListParagraph"/>
        <w:numPr>
          <w:ilvl w:val="1"/>
          <w:numId w:val="24"/>
        </w:numPr>
      </w:pPr>
      <w:r w:rsidRPr="00F544C8">
        <w:t>why are there two different flags</w:t>
      </w:r>
    </w:p>
    <w:p w14:paraId="42FCE3FE" w14:textId="77777777" w:rsidR="00352DF8" w:rsidRPr="00F544C8" w:rsidRDefault="00352DF8" w:rsidP="00F544C8">
      <w:pPr>
        <w:pStyle w:val="SyllabusListParagraph"/>
        <w:numPr>
          <w:ilvl w:val="1"/>
          <w:numId w:val="24"/>
        </w:numPr>
      </w:pPr>
      <w:r w:rsidRPr="00F544C8">
        <w:t>the significance of the colour, shapes and/or symbols on the flags</w:t>
      </w:r>
    </w:p>
    <w:p w14:paraId="48A2AD9B" w14:textId="73F29DA7" w:rsidR="00352DF8" w:rsidRPr="00F544C8" w:rsidRDefault="00352DF8" w:rsidP="00F544C8">
      <w:pPr>
        <w:pStyle w:val="SyllabusListParagraph"/>
        <w:numPr>
          <w:ilvl w:val="1"/>
          <w:numId w:val="24"/>
        </w:numPr>
      </w:pPr>
      <w:r w:rsidRPr="00F544C8">
        <w:t>different perspectives relating to the use of the</w:t>
      </w:r>
      <w:r w:rsidR="006971D2" w:rsidRPr="00F544C8">
        <w:t xml:space="preserve"> </w:t>
      </w:r>
      <w:r w:rsidRPr="00F544C8">
        <w:t>flag</w:t>
      </w:r>
      <w:r w:rsidR="0015060B" w:rsidRPr="00F544C8">
        <w:t>s</w:t>
      </w:r>
    </w:p>
    <w:p w14:paraId="23EADF4A" w14:textId="6748E65F" w:rsidR="00352DF8" w:rsidRPr="00F544C8" w:rsidRDefault="00352DF8" w:rsidP="00F544C8">
      <w:pPr>
        <w:pStyle w:val="SyllabusListParagraph"/>
      </w:pPr>
      <w:r w:rsidRPr="00F544C8">
        <w:rPr>
          <w:b/>
          <w:bCs/>
        </w:rPr>
        <w:t>one</w:t>
      </w:r>
      <w:r w:rsidRPr="00F544C8">
        <w:t xml:space="preserve"> example of a</w:t>
      </w:r>
      <w:r w:rsidR="00AF434F">
        <w:t>n Australian</w:t>
      </w:r>
      <w:r w:rsidRPr="00F544C8">
        <w:t xml:space="preserve"> First Nations Peoples</w:t>
      </w:r>
      <w:r w:rsidR="00602CD7">
        <w:t>-</w:t>
      </w:r>
      <w:r w:rsidRPr="00F544C8">
        <w:t>led program or initiative which provides opportunities for individual and/or community cultural expression</w:t>
      </w:r>
      <w:r w:rsidR="00BB248C">
        <w:t>s</w:t>
      </w:r>
      <w:r w:rsidRPr="00F544C8">
        <w:t xml:space="preserve"> to be shared, including the background and benefit of the program or initiative </w:t>
      </w:r>
    </w:p>
    <w:p w14:paraId="0484D468" w14:textId="5D75AA04" w:rsidR="00352DF8" w:rsidRPr="00F544C8" w:rsidRDefault="00352DF8" w:rsidP="00F544C8">
      <w:pPr>
        <w:pStyle w:val="SyllabusListParagraph"/>
      </w:pPr>
      <w:r w:rsidRPr="00F544C8">
        <w:t xml:space="preserve">the role of the WA Museum Boola Bardip and </w:t>
      </w:r>
      <w:r w:rsidRPr="009A5AA5">
        <w:rPr>
          <w:b/>
          <w:bCs/>
        </w:rPr>
        <w:t>one</w:t>
      </w:r>
      <w:r w:rsidRPr="00F544C8">
        <w:t xml:space="preserve"> other cultural centre in showcasing, educating and changing peoples’ perceptions about </w:t>
      </w:r>
      <w:r w:rsidR="0015060B" w:rsidRPr="00F544C8">
        <w:t xml:space="preserve">Australian </w:t>
      </w:r>
      <w:r w:rsidRPr="00F544C8">
        <w:t>First Nations Peoples’ histories and cultures</w:t>
      </w:r>
      <w:r w:rsidR="009602A5">
        <w:t>.</w:t>
      </w:r>
    </w:p>
    <w:p w14:paraId="30A28367" w14:textId="77777777" w:rsidR="00AE4762" w:rsidRDefault="00AE4762" w:rsidP="006D4895">
      <w:pPr>
        <w:pStyle w:val="SyllabusHeading3"/>
      </w:pPr>
      <w:bookmarkStart w:id="62" w:name="_Hlk162269755"/>
      <w:bookmarkStart w:id="63" w:name="_Toc114664273"/>
      <w:bookmarkStart w:id="64" w:name="_Hlk133932046"/>
      <w:bookmarkStart w:id="65" w:name="_Toc347908210"/>
      <w:bookmarkStart w:id="66" w:name="_Toc360457894"/>
      <w:bookmarkEnd w:id="51"/>
      <w:r>
        <w:t>Intercultural S</w:t>
      </w:r>
      <w:r w:rsidRPr="000F632B">
        <w:t>kills</w:t>
      </w:r>
    </w:p>
    <w:p w14:paraId="6597CB20" w14:textId="77777777" w:rsidR="00AE4762" w:rsidRPr="00901BD7" w:rsidRDefault="00AE4762" w:rsidP="006D4895">
      <w:pPr>
        <w:pStyle w:val="SyllabusHeading4"/>
      </w:pPr>
      <w:r w:rsidRPr="00901BD7">
        <w:t>Research</w:t>
      </w:r>
    </w:p>
    <w:p w14:paraId="0B587A1F" w14:textId="5CB14E85" w:rsidR="00AE4762" w:rsidRPr="00F544C8" w:rsidRDefault="00AE4762" w:rsidP="00F544C8">
      <w:pPr>
        <w:pStyle w:val="SyllabusListParagraph"/>
      </w:pPr>
      <w:r w:rsidRPr="00F544C8">
        <w:t>develop and modify a range of focus questions to investigate a specific topic/issue</w:t>
      </w:r>
    </w:p>
    <w:p w14:paraId="5C51B587" w14:textId="77777777" w:rsidR="00AE4762" w:rsidRPr="00F544C8" w:rsidRDefault="00AE4762" w:rsidP="00F544C8">
      <w:pPr>
        <w:pStyle w:val="SyllabusListParagraph"/>
      </w:pPr>
      <w:r w:rsidRPr="00F544C8">
        <w:t>plan an inquiry with clearly defined aims, using appropriate methodologies</w:t>
      </w:r>
    </w:p>
    <w:p w14:paraId="45ADD3B6" w14:textId="77777777" w:rsidR="00AE4762" w:rsidRPr="00F544C8" w:rsidRDefault="00AE4762" w:rsidP="00F544C8">
      <w:pPr>
        <w:pStyle w:val="SyllabusListParagraph"/>
      </w:pPr>
      <w:r w:rsidRPr="00F544C8">
        <w:t>collect, record and compare information and/or data from relevant culturally responsive resources</w:t>
      </w:r>
    </w:p>
    <w:p w14:paraId="0C657145" w14:textId="30A56FBE" w:rsidR="0038634F" w:rsidRPr="00F544C8" w:rsidRDefault="0038634F" w:rsidP="00F544C8">
      <w:pPr>
        <w:pStyle w:val="SyllabusListParagraph"/>
      </w:pPr>
      <w:bookmarkStart w:id="67" w:name="_Hlk162258090"/>
      <w:r w:rsidRPr="00F544C8">
        <w:t>identify and practise ethical scholarship when conducting research, including respecting variation between cultural groups of processes and protocols for collecting information</w:t>
      </w:r>
    </w:p>
    <w:bookmarkEnd w:id="67"/>
    <w:p w14:paraId="389FB486" w14:textId="77777777" w:rsidR="00AE4762" w:rsidRPr="00901BD7" w:rsidRDefault="00AE4762" w:rsidP="006D4895">
      <w:pPr>
        <w:pStyle w:val="SyllabusHeading4"/>
      </w:pPr>
      <w:r w:rsidRPr="00901BD7">
        <w:t>Analysis and use of sources</w:t>
      </w:r>
    </w:p>
    <w:p w14:paraId="61DD567D" w14:textId="77777777" w:rsidR="00AE4762" w:rsidRPr="00F544C8" w:rsidRDefault="00AE4762" w:rsidP="00F544C8">
      <w:pPr>
        <w:pStyle w:val="SyllabusListParagraph"/>
      </w:pPr>
      <w:r w:rsidRPr="00F544C8">
        <w:t>identify the origin, purpose and context of a variety of sources</w:t>
      </w:r>
    </w:p>
    <w:p w14:paraId="034BE323" w14:textId="72BAAED7" w:rsidR="00AE4762" w:rsidRPr="00F544C8" w:rsidRDefault="00AE4762" w:rsidP="00F544C8">
      <w:pPr>
        <w:pStyle w:val="SyllabusListParagraph"/>
      </w:pPr>
      <w:r w:rsidRPr="00F544C8">
        <w:t>evaluate the reliability, bias and usefulness of different sources</w:t>
      </w:r>
    </w:p>
    <w:p w14:paraId="11557482" w14:textId="77777777" w:rsidR="00AE4762" w:rsidRPr="00F544C8" w:rsidRDefault="00AE4762" w:rsidP="00F544C8">
      <w:pPr>
        <w:pStyle w:val="SyllabusListParagraph"/>
      </w:pPr>
      <w:r w:rsidRPr="00F544C8">
        <w:t>analyse and account for differences in perspectives and interpretations of the past, presented in a variety of sources</w:t>
      </w:r>
    </w:p>
    <w:p w14:paraId="16635AF3" w14:textId="77777777" w:rsidR="00AE4762" w:rsidRPr="00F544C8" w:rsidRDefault="00AE4762" w:rsidP="00F544C8">
      <w:pPr>
        <w:pStyle w:val="SyllabusListParagraph"/>
      </w:pPr>
      <w:r w:rsidRPr="00F544C8">
        <w:t>identify and analyse relationships, and use evidence from different sources to support a point of view</w:t>
      </w:r>
    </w:p>
    <w:p w14:paraId="7CA4DDD6" w14:textId="56C7A426" w:rsidR="00AE4762" w:rsidRPr="00901BD7" w:rsidRDefault="00AE4762" w:rsidP="00E3027E">
      <w:pPr>
        <w:pStyle w:val="SyllabusHeading4"/>
        <w:pageBreakBefore/>
      </w:pPr>
      <w:r w:rsidRPr="00901BD7">
        <w:lastRenderedPageBreak/>
        <w:t>Evaluating and communicating</w:t>
      </w:r>
    </w:p>
    <w:p w14:paraId="5BDF5878" w14:textId="7B6F9308" w:rsidR="00AE4762" w:rsidRPr="00F544C8" w:rsidRDefault="00AE4762" w:rsidP="00F544C8">
      <w:pPr>
        <w:pStyle w:val="SyllabusListParagraph"/>
      </w:pPr>
      <w:r w:rsidRPr="00F544C8">
        <w:t>evaluate information and/or data to draw evidence-based conclusions and explanations</w:t>
      </w:r>
      <w:r w:rsidR="004E2CB0">
        <w:t>,</w:t>
      </w:r>
      <w:r w:rsidRPr="00F544C8">
        <w:t xml:space="preserve"> taking into account ambiguities and different perspectives</w:t>
      </w:r>
    </w:p>
    <w:p w14:paraId="2251EC01" w14:textId="220ED40B" w:rsidR="00AE4762" w:rsidRPr="00F544C8" w:rsidRDefault="00AE4762" w:rsidP="00F544C8">
      <w:pPr>
        <w:pStyle w:val="SyllabusListParagraph"/>
      </w:pPr>
      <w:r w:rsidRPr="00F544C8">
        <w:t>communicat</w:t>
      </w:r>
      <w:r w:rsidR="00024E9D">
        <w:t>e</w:t>
      </w:r>
      <w:r w:rsidRPr="00F544C8">
        <w:t xml:space="preserve"> findings using formats appropriate to purpose and audience  </w:t>
      </w:r>
    </w:p>
    <w:p w14:paraId="3BD7B83B" w14:textId="77777777" w:rsidR="00AE4762" w:rsidRPr="00F544C8" w:rsidRDefault="00AE4762" w:rsidP="00F544C8">
      <w:pPr>
        <w:pStyle w:val="SyllabusListParagraph"/>
      </w:pPr>
      <w:r w:rsidRPr="00F544C8">
        <w:t>use respectful and inclusive language and terminology</w:t>
      </w:r>
    </w:p>
    <w:p w14:paraId="5DC38F6A" w14:textId="72AFA130" w:rsidR="00AE4762" w:rsidRPr="00F544C8" w:rsidRDefault="00AE4762" w:rsidP="00F544C8">
      <w:pPr>
        <w:pStyle w:val="SyllabusListParagraph"/>
      </w:pPr>
      <w:bookmarkStart w:id="68" w:name="_Hlk162258125"/>
      <w:r w:rsidRPr="00F544C8">
        <w:t>identify and practise ethical scholarship when co</w:t>
      </w:r>
      <w:r w:rsidR="0038634F" w:rsidRPr="00F544C8">
        <w:t xml:space="preserve">mmunicating </w:t>
      </w:r>
      <w:r w:rsidRPr="00F544C8">
        <w:t>research, including</w:t>
      </w:r>
    </w:p>
    <w:p w14:paraId="3261C97F" w14:textId="3E6DE0E7" w:rsidR="00AE4762" w:rsidRPr="00F544C8" w:rsidRDefault="00AE4762" w:rsidP="00F544C8">
      <w:pPr>
        <w:pStyle w:val="SyllabusListParagraph"/>
        <w:numPr>
          <w:ilvl w:val="1"/>
          <w:numId w:val="27"/>
        </w:numPr>
      </w:pPr>
      <w:r w:rsidRPr="00F544C8">
        <w:t>respecting variation between cultural groups of processes and protocols for acknowledging and communicating information</w:t>
      </w:r>
    </w:p>
    <w:p w14:paraId="6C7BEDDE" w14:textId="77777777" w:rsidR="00AE4762" w:rsidRPr="00F544C8" w:rsidRDefault="00AE4762" w:rsidP="00F544C8">
      <w:pPr>
        <w:pStyle w:val="SyllabusListParagraph"/>
        <w:numPr>
          <w:ilvl w:val="1"/>
          <w:numId w:val="27"/>
        </w:numPr>
      </w:pPr>
      <w:r w:rsidRPr="00F544C8">
        <w:t>adopting protocols and conventions to communicate in culturally appropriate ways</w:t>
      </w:r>
    </w:p>
    <w:p w14:paraId="69614A98" w14:textId="77777777" w:rsidR="00AE4762" w:rsidRPr="00F544C8" w:rsidRDefault="00AE4762" w:rsidP="00F544C8">
      <w:pPr>
        <w:pStyle w:val="SyllabusListParagraph"/>
        <w:numPr>
          <w:ilvl w:val="1"/>
          <w:numId w:val="27"/>
        </w:numPr>
      </w:pPr>
      <w:r w:rsidRPr="00F544C8">
        <w:t>applying appropriate referencing techniques accurately and consistently</w:t>
      </w:r>
    </w:p>
    <w:bookmarkEnd w:id="62"/>
    <w:bookmarkEnd w:id="68"/>
    <w:p w14:paraId="54778741" w14:textId="77777777" w:rsidR="00AE4762" w:rsidRPr="00901BD7" w:rsidRDefault="00AE4762" w:rsidP="006D4895">
      <w:pPr>
        <w:pStyle w:val="SyllabusHeading4"/>
      </w:pPr>
      <w:r w:rsidRPr="00901BD7">
        <w:t>Reflection</w:t>
      </w:r>
    </w:p>
    <w:p w14:paraId="088CA0E2" w14:textId="53CEC7CF" w:rsidR="00AE4762" w:rsidRPr="00F544C8" w:rsidRDefault="00AE4762" w:rsidP="00F544C8">
      <w:pPr>
        <w:pStyle w:val="SyllabusListParagraph"/>
      </w:pPr>
      <w:r w:rsidRPr="00F544C8">
        <w:t>acknowledge differences in personal perspectives, interpretations and world</w:t>
      </w:r>
      <w:r w:rsidR="00AF434F">
        <w:t xml:space="preserve"> </w:t>
      </w:r>
      <w:r w:rsidRPr="00F544C8">
        <w:t>views when developing a response</w:t>
      </w:r>
    </w:p>
    <w:p w14:paraId="1604B088" w14:textId="6BC89937" w:rsidR="00AE4762" w:rsidRPr="00F544C8" w:rsidRDefault="00AE4762" w:rsidP="00F544C8">
      <w:pPr>
        <w:pStyle w:val="SyllabusListParagraph"/>
      </w:pPr>
      <w:bookmarkStart w:id="69" w:name="_Hlk173157966"/>
      <w:r w:rsidRPr="00F544C8">
        <w:t>reflect on own learning to review original understandings and why all findings are tentative</w:t>
      </w:r>
    </w:p>
    <w:bookmarkEnd w:id="69"/>
    <w:p w14:paraId="1B8928D2" w14:textId="0E07730A" w:rsidR="0090058F" w:rsidRDefault="0090058F">
      <w:pPr>
        <w:rPr>
          <w:lang w:eastAsia="ja-JP"/>
        </w:rPr>
      </w:pPr>
      <w:r>
        <w:br w:type="page"/>
      </w:r>
    </w:p>
    <w:p w14:paraId="21BA1305" w14:textId="5F014503" w:rsidR="00CF46D5" w:rsidRPr="007A10C7" w:rsidRDefault="00CF46D5" w:rsidP="006D4895">
      <w:pPr>
        <w:pStyle w:val="SyllabusHeading1"/>
      </w:pPr>
      <w:bookmarkStart w:id="70" w:name="_Toc173315836"/>
      <w:bookmarkStart w:id="71" w:name="_Toc175314879"/>
      <w:r w:rsidRPr="00D5088E">
        <w:lastRenderedPageBreak/>
        <w:t>Assessment</w:t>
      </w:r>
      <w:bookmarkEnd w:id="63"/>
      <w:bookmarkEnd w:id="70"/>
      <w:bookmarkEnd w:id="71"/>
    </w:p>
    <w:p w14:paraId="7A78781C" w14:textId="77777777" w:rsidR="00CF46D5" w:rsidRDefault="00CF46D5" w:rsidP="00CF46D5">
      <w:pPr>
        <w:spacing w:before="120"/>
      </w:pPr>
      <w:r>
        <w:t>Assessment is an integral part of teaching and learning that at the senior secondary years:</w:t>
      </w:r>
    </w:p>
    <w:p w14:paraId="7AA4CD71" w14:textId="77777777" w:rsidR="00CF46D5" w:rsidRPr="00F544C8" w:rsidRDefault="00CF46D5" w:rsidP="00F544C8">
      <w:pPr>
        <w:pStyle w:val="SyllabusListParagraph"/>
      </w:pPr>
      <w:r w:rsidRPr="00F544C8">
        <w:t>provides evidence of student achievement</w:t>
      </w:r>
    </w:p>
    <w:p w14:paraId="1F6A713F" w14:textId="77777777" w:rsidR="00CF46D5" w:rsidRPr="00F544C8" w:rsidRDefault="00CF46D5" w:rsidP="00F544C8">
      <w:pPr>
        <w:pStyle w:val="SyllabusListParagraph"/>
      </w:pPr>
      <w:r w:rsidRPr="00F544C8">
        <w:t>identifies opportunities for further learning</w:t>
      </w:r>
    </w:p>
    <w:p w14:paraId="518747D7" w14:textId="77777777" w:rsidR="00CF46D5" w:rsidRPr="00F544C8" w:rsidRDefault="00CF46D5" w:rsidP="00F544C8">
      <w:pPr>
        <w:pStyle w:val="SyllabusListParagraph"/>
      </w:pPr>
      <w:r w:rsidRPr="00F544C8">
        <w:t>connects to the standards described for the course</w:t>
      </w:r>
    </w:p>
    <w:p w14:paraId="4DDBE7A9" w14:textId="77777777" w:rsidR="00CF46D5" w:rsidRPr="00F544C8" w:rsidRDefault="00CF46D5" w:rsidP="00F544C8">
      <w:pPr>
        <w:pStyle w:val="SyllabusListParagraph"/>
      </w:pPr>
      <w:r w:rsidRPr="00F544C8">
        <w:t>contributes to the recognition of student achievement.</w:t>
      </w:r>
    </w:p>
    <w:p w14:paraId="08530F19" w14:textId="77777777" w:rsidR="00CF46D5" w:rsidRDefault="00CF46D5" w:rsidP="00CF46D5">
      <w:pPr>
        <w:spacing w:before="120"/>
      </w:pPr>
      <w:r>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7576D73E" w14:textId="04F8E174" w:rsidR="00CF46D5" w:rsidRDefault="00CF46D5" w:rsidP="00CF46D5">
      <w:pPr>
        <w:spacing w:before="120"/>
      </w:pPr>
      <w:r>
        <w:t>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w:t>
      </w:r>
    </w:p>
    <w:p w14:paraId="6B2C6952" w14:textId="25188E34" w:rsidR="00CF46D5" w:rsidRDefault="00CF46D5" w:rsidP="00CF46D5">
      <w:pPr>
        <w:spacing w:before="120"/>
      </w:pPr>
      <w:r>
        <w:t>Summative assessment involves assessment procedures that aim to determine students’ learning at a particular time, for example</w:t>
      </w:r>
      <w:r w:rsidR="006863A6">
        <w:t>,</w:t>
      </w:r>
      <w:r>
        <w:t xml:space="preserve"> when reporting against the standards, after completion of a unit</w:t>
      </w:r>
      <w:r w:rsidR="00E63919">
        <w:t>(</w:t>
      </w:r>
      <w:r>
        <w:t>s</w:t>
      </w:r>
      <w:r w:rsidR="00E63919">
        <w:t>)</w:t>
      </w:r>
      <w:r>
        <w:t>. These assessments should be limited in number and made clear to students through the assessment outline.</w:t>
      </w:r>
    </w:p>
    <w:p w14:paraId="21D15C1D" w14:textId="77777777" w:rsidR="00CF46D5" w:rsidRDefault="00CF46D5" w:rsidP="00CF46D5">
      <w:pPr>
        <w:spacing w:before="120"/>
      </w:pPr>
      <w:r>
        <w:t>Appropriate assessment of student work in this course is underpinned by reference to the set of pre</w:t>
      </w:r>
      <w:r>
        <w:noBreakHyphen/>
        <w:t>determined course standards. These standards describe the level of achievement required to achieve each grade, from A to E. Teachers use these standards to determine how well a student has demonstrated their learning.</w:t>
      </w:r>
    </w:p>
    <w:p w14:paraId="77C7789B" w14:textId="77777777" w:rsidR="00CF46D5" w:rsidRDefault="00CF46D5" w:rsidP="00CF46D5">
      <w:pPr>
        <w:spacing w:before="120"/>
      </w:pPr>
      <w:r>
        <w:t>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w:t>
      </w:r>
    </w:p>
    <w:p w14:paraId="645A5FE8" w14:textId="77777777" w:rsidR="00CF46D5" w:rsidRDefault="00CF46D5" w:rsidP="00CF46D5">
      <w:pPr>
        <w:spacing w:before="120"/>
      </w:pPr>
      <w:r>
        <w:t>Assessment should not generate workload and/or stress that, under fair and reasonable circumstances, would unduly diminish the performance of students.</w:t>
      </w:r>
    </w:p>
    <w:bookmarkEnd w:id="64"/>
    <w:p w14:paraId="3A6ADBBA" w14:textId="6EE4D4BA" w:rsidR="00CF46D5" w:rsidRDefault="00CF46D5" w:rsidP="00CF46D5">
      <w:pPr>
        <w:spacing w:before="120"/>
      </w:pPr>
      <w:r>
        <w:br w:type="page"/>
      </w:r>
    </w:p>
    <w:p w14:paraId="6D6DACE7" w14:textId="77777777" w:rsidR="00CF46D5" w:rsidRPr="00915772" w:rsidRDefault="00CF46D5" w:rsidP="00EE280D">
      <w:pPr>
        <w:pStyle w:val="SyllabusHeading2"/>
      </w:pPr>
      <w:bookmarkStart w:id="72" w:name="_Toc114664274"/>
      <w:bookmarkStart w:id="73" w:name="_Toc173315837"/>
      <w:bookmarkStart w:id="74" w:name="_Toc175314880"/>
      <w:bookmarkStart w:id="75" w:name="_Hlk133932168"/>
      <w:r w:rsidRPr="00915772">
        <w:lastRenderedPageBreak/>
        <w:t>School-based assessment</w:t>
      </w:r>
      <w:bookmarkEnd w:id="72"/>
      <w:bookmarkEnd w:id="73"/>
      <w:bookmarkEnd w:id="74"/>
    </w:p>
    <w:p w14:paraId="238F16AD" w14:textId="717F3F1F" w:rsidR="00CF46D5" w:rsidRDefault="00CF46D5" w:rsidP="00AC45F1">
      <w:pPr>
        <w:spacing w:before="120"/>
      </w:pPr>
      <w:r>
        <w:t xml:space="preserve">The </w:t>
      </w:r>
      <w:r w:rsidRPr="00FC5387">
        <w:rPr>
          <w:i/>
        </w:rPr>
        <w:t>Western Australian Certificate of Education (WACE) Manual</w:t>
      </w:r>
      <w:r>
        <w:t xml:space="preserve"> contains essential information on</w:t>
      </w:r>
      <w:r w:rsidR="00024E9D">
        <w:t xml:space="preserve"> the</w:t>
      </w:r>
      <w:r>
        <w:t xml:space="preserve"> principles, policies and procedures for school-based assessment that must be read in conjunction with this syllabus.</w:t>
      </w:r>
    </w:p>
    <w:p w14:paraId="4365AEF5" w14:textId="77777777" w:rsidR="00CF46D5" w:rsidRDefault="00CF46D5" w:rsidP="00AC45F1">
      <w:pPr>
        <w:spacing w:before="120"/>
      </w:pPr>
      <w:r>
        <w:t>School-based assessment involves teachers gathering, describing and quantifying information about student achievement.</w:t>
      </w:r>
    </w:p>
    <w:p w14:paraId="2EF5CB1D" w14:textId="77777777" w:rsidR="00CF46D5" w:rsidRDefault="00CF46D5" w:rsidP="00AC45F1">
      <w:pPr>
        <w:spacing w:before="120"/>
      </w:pPr>
      <w:r>
        <w:t xml:space="preserve">Teachers design school-based assessment tasks to meet the needs of students. As outlined in </w:t>
      </w:r>
      <w:r w:rsidRPr="00FC5387">
        <w:t>the</w:t>
      </w:r>
      <w:r w:rsidRPr="00FC5387">
        <w:rPr>
          <w:i/>
          <w:iCs/>
        </w:rPr>
        <w:t xml:space="preserve"> WACE Manual</w:t>
      </w:r>
      <w:r>
        <w:t>, school-based assessment of student achievement in this course must be based on the Principles of Assessment:</w:t>
      </w:r>
    </w:p>
    <w:p w14:paraId="267DF6C5" w14:textId="77777777" w:rsidR="00CF46D5" w:rsidRPr="00F544C8" w:rsidRDefault="00CF46D5" w:rsidP="00F544C8">
      <w:pPr>
        <w:pStyle w:val="SyllabusListParagraph"/>
      </w:pPr>
      <w:r w:rsidRPr="00F544C8">
        <w:t>Assessment is an integral part of teaching and learning</w:t>
      </w:r>
    </w:p>
    <w:p w14:paraId="4970B83C" w14:textId="77777777" w:rsidR="00CF46D5" w:rsidRPr="00F544C8" w:rsidRDefault="00CF46D5" w:rsidP="00F544C8">
      <w:pPr>
        <w:pStyle w:val="SyllabusListParagraph"/>
      </w:pPr>
      <w:r w:rsidRPr="00F544C8">
        <w:t>Assessment should be educative</w:t>
      </w:r>
    </w:p>
    <w:p w14:paraId="0458B961" w14:textId="323D19A0" w:rsidR="00CF46D5" w:rsidRPr="00F544C8" w:rsidRDefault="00CF46D5" w:rsidP="00F544C8">
      <w:pPr>
        <w:pStyle w:val="SyllabusListParagraph"/>
      </w:pPr>
      <w:r w:rsidRPr="00F544C8">
        <w:t xml:space="preserve">Assessment </w:t>
      </w:r>
      <w:r w:rsidR="006863A6">
        <w:t>must</w:t>
      </w:r>
      <w:r w:rsidR="006863A6" w:rsidRPr="00F544C8">
        <w:t xml:space="preserve"> </w:t>
      </w:r>
      <w:r w:rsidRPr="00F544C8">
        <w:t>be fair</w:t>
      </w:r>
    </w:p>
    <w:p w14:paraId="5ACC8113" w14:textId="13BED021" w:rsidR="00CF46D5" w:rsidRPr="00F544C8" w:rsidRDefault="00CF46D5" w:rsidP="00F544C8">
      <w:pPr>
        <w:pStyle w:val="SyllabusListParagraph"/>
      </w:pPr>
      <w:r w:rsidRPr="00F544C8">
        <w:t>Assessment should be designed to meet its specific purpose</w:t>
      </w:r>
      <w:r w:rsidR="00E63919" w:rsidRPr="00F544C8">
        <w:t>(</w:t>
      </w:r>
      <w:r w:rsidRPr="00F544C8">
        <w:t>s</w:t>
      </w:r>
      <w:r w:rsidR="00E63919" w:rsidRPr="00F544C8">
        <w:t>)</w:t>
      </w:r>
    </w:p>
    <w:p w14:paraId="728090A3" w14:textId="77777777" w:rsidR="00CF46D5" w:rsidRPr="00F544C8" w:rsidRDefault="00CF46D5" w:rsidP="00F544C8">
      <w:pPr>
        <w:pStyle w:val="SyllabusListParagraph"/>
      </w:pPr>
      <w:r w:rsidRPr="00F544C8">
        <w:t>Assessment should lead to informative reporting</w:t>
      </w:r>
    </w:p>
    <w:p w14:paraId="4939BC25" w14:textId="77777777" w:rsidR="00CF46D5" w:rsidRPr="00F544C8" w:rsidRDefault="00CF46D5" w:rsidP="00F544C8">
      <w:pPr>
        <w:pStyle w:val="SyllabusListParagraph"/>
      </w:pPr>
      <w:r w:rsidRPr="00F544C8">
        <w:t>Assessment should lead to school-wide evaluation processes</w:t>
      </w:r>
    </w:p>
    <w:p w14:paraId="46F3A5E4" w14:textId="77777777" w:rsidR="00CF46D5" w:rsidRPr="00F544C8" w:rsidRDefault="00CF46D5" w:rsidP="00F544C8">
      <w:pPr>
        <w:pStyle w:val="SyllabusListParagraph"/>
      </w:pPr>
      <w:r w:rsidRPr="00F544C8">
        <w:t>Assessment should provide significant data for improvement of teaching practices.</w:t>
      </w:r>
    </w:p>
    <w:p w14:paraId="0C2FFC7D" w14:textId="77777777" w:rsidR="00CF46D5" w:rsidRDefault="00CF46D5" w:rsidP="00AC45F1">
      <w:pPr>
        <w:spacing w:before="120"/>
      </w:pPr>
      <w:r>
        <w:t>Summative assessments in this course must:</w:t>
      </w:r>
    </w:p>
    <w:p w14:paraId="27F60707" w14:textId="77777777" w:rsidR="00CF46D5" w:rsidRPr="00F544C8" w:rsidRDefault="00CF46D5" w:rsidP="00F544C8">
      <w:pPr>
        <w:pStyle w:val="SyllabusListParagraph"/>
      </w:pPr>
      <w:r w:rsidRPr="00F544C8">
        <w:t>be limited in number to no more than eight tasks</w:t>
      </w:r>
    </w:p>
    <w:p w14:paraId="2BAA39DE" w14:textId="77777777" w:rsidR="00890176" w:rsidRPr="00F544C8" w:rsidRDefault="00890176" w:rsidP="00F544C8">
      <w:pPr>
        <w:pStyle w:val="SyllabusListParagraph"/>
      </w:pPr>
      <w:r w:rsidRPr="00F544C8">
        <w:t>allow for the assessment of each assessment type at least once over the year/pair of units</w:t>
      </w:r>
    </w:p>
    <w:p w14:paraId="371C2265" w14:textId="1DABAF8B" w:rsidR="00CF46D5" w:rsidRPr="00F544C8" w:rsidRDefault="00CF46D5" w:rsidP="00F544C8">
      <w:pPr>
        <w:pStyle w:val="SyllabusListParagraph"/>
      </w:pPr>
      <w:r w:rsidRPr="00F544C8">
        <w:t xml:space="preserve">have a minimum value of </w:t>
      </w:r>
      <w:r w:rsidR="006863A6">
        <w:t>five</w:t>
      </w:r>
      <w:r w:rsidR="006863A6" w:rsidRPr="00F544C8">
        <w:t xml:space="preserve"> </w:t>
      </w:r>
      <w:r w:rsidRPr="00F544C8">
        <w:t>per cent of the total school assessment mark</w:t>
      </w:r>
    </w:p>
    <w:p w14:paraId="4D603AE2" w14:textId="77777777" w:rsidR="00CF46D5" w:rsidRPr="00F544C8" w:rsidRDefault="00CF46D5" w:rsidP="00F544C8">
      <w:pPr>
        <w:pStyle w:val="SyllabusListParagraph"/>
      </w:pPr>
      <w:r w:rsidRPr="00F544C8">
        <w:t>provide a representative sampling of the syllabus content.</w:t>
      </w:r>
    </w:p>
    <w:p w14:paraId="7FBFC0CC" w14:textId="77777777" w:rsidR="00CF46D5" w:rsidRDefault="00CF46D5" w:rsidP="00840863">
      <w:pPr>
        <w:pStyle w:val="SyllabusListParagraph"/>
        <w:numPr>
          <w:ilvl w:val="0"/>
          <w:numId w:val="0"/>
        </w:numPr>
      </w:pPr>
      <w:r w:rsidRPr="00AC45F1">
        <w:t>Assessment tasks not administered under test or controlled conditions require appropriate authentication</w:t>
      </w:r>
      <w:r w:rsidRPr="00F73E3E">
        <w:t xml:space="preserve"> processes.</w:t>
      </w:r>
      <w:bookmarkEnd w:id="75"/>
      <w:r>
        <w:br w:type="page"/>
      </w:r>
    </w:p>
    <w:p w14:paraId="4561B222" w14:textId="77777777" w:rsidR="007766C5" w:rsidRPr="008E7BC8" w:rsidRDefault="007766C5" w:rsidP="006D4895">
      <w:pPr>
        <w:pStyle w:val="SyllabusHeading2"/>
        <w:spacing w:before="0" w:after="80" w:line="252" w:lineRule="auto"/>
      </w:pPr>
      <w:bookmarkStart w:id="76" w:name="_Toc173315838"/>
      <w:bookmarkStart w:id="77" w:name="_Toc175314881"/>
      <w:bookmarkStart w:id="78" w:name="_Toc347908211"/>
      <w:bookmarkEnd w:id="65"/>
      <w:r w:rsidRPr="008E7BC8">
        <w:lastRenderedPageBreak/>
        <w:t>Assessment table</w:t>
      </w:r>
      <w:r w:rsidR="00F17E64" w:rsidRPr="008E7BC8">
        <w:t xml:space="preserve"> </w:t>
      </w:r>
      <w:r w:rsidR="0000345F" w:rsidRPr="008E7BC8">
        <w:t>–</w:t>
      </w:r>
      <w:r w:rsidR="00F17E64" w:rsidRPr="008E7BC8">
        <w:t xml:space="preserve"> Year 11</w:t>
      </w:r>
      <w:bookmarkEnd w:id="76"/>
      <w:bookmarkEnd w:id="77"/>
    </w:p>
    <w:tbl>
      <w:tblPr>
        <w:tblStyle w:val="SyllabusTable"/>
        <w:tblW w:w="5000" w:type="pct"/>
        <w:tblLayout w:type="fixed"/>
        <w:tblLook w:val="04A0" w:firstRow="1" w:lastRow="0" w:firstColumn="1" w:lastColumn="0" w:noHBand="0" w:noVBand="1"/>
      </w:tblPr>
      <w:tblGrid>
        <w:gridCol w:w="7735"/>
        <w:gridCol w:w="1325"/>
      </w:tblGrid>
      <w:tr w:rsidR="007766C5" w:rsidRPr="00AC45F1" w14:paraId="488EDEA9" w14:textId="77777777" w:rsidTr="00E3783B">
        <w:trPr>
          <w:cnfStyle w:val="100000000000" w:firstRow="1" w:lastRow="0" w:firstColumn="0" w:lastColumn="0" w:oddVBand="0" w:evenVBand="0" w:oddHBand="0" w:evenHBand="0" w:firstRowFirstColumn="0" w:firstRowLastColumn="0" w:lastRowFirstColumn="0" w:lastRowLastColumn="0"/>
        </w:trPr>
        <w:tc>
          <w:tcPr>
            <w:tcW w:w="7735" w:type="dxa"/>
          </w:tcPr>
          <w:p w14:paraId="4FFBA016" w14:textId="77777777" w:rsidR="007766C5" w:rsidRPr="00AC45F1" w:rsidRDefault="007766C5" w:rsidP="006E2C7B">
            <w:pPr>
              <w:spacing w:line="240" w:lineRule="auto"/>
              <w:rPr>
                <w:rFonts w:ascii="Calibri" w:hAnsi="Calibri" w:cs="Calibri"/>
              </w:rPr>
            </w:pPr>
            <w:r w:rsidRPr="00AC45F1">
              <w:rPr>
                <w:rFonts w:ascii="Calibri" w:hAnsi="Calibri" w:cs="Calibri"/>
              </w:rPr>
              <w:t>Type of assessment</w:t>
            </w:r>
          </w:p>
        </w:tc>
        <w:tc>
          <w:tcPr>
            <w:tcW w:w="1325" w:type="dxa"/>
          </w:tcPr>
          <w:p w14:paraId="03394EC0" w14:textId="77777777" w:rsidR="007766C5" w:rsidRPr="00AC45F1" w:rsidRDefault="007766C5" w:rsidP="00146160">
            <w:pPr>
              <w:spacing w:line="240" w:lineRule="auto"/>
              <w:rPr>
                <w:rFonts w:ascii="Calibri" w:hAnsi="Calibri" w:cs="Calibri"/>
              </w:rPr>
            </w:pPr>
            <w:r w:rsidRPr="00AC45F1">
              <w:rPr>
                <w:rFonts w:ascii="Calibri" w:hAnsi="Calibri" w:cs="Calibri"/>
              </w:rPr>
              <w:t>Weighting</w:t>
            </w:r>
          </w:p>
        </w:tc>
      </w:tr>
      <w:tr w:rsidR="007766C5" w:rsidRPr="00AC45F1" w14:paraId="12F25E1C" w14:textId="77777777" w:rsidTr="00E3783B">
        <w:tc>
          <w:tcPr>
            <w:tcW w:w="7735" w:type="dxa"/>
          </w:tcPr>
          <w:p w14:paraId="5D3EB768" w14:textId="77777777" w:rsidR="00CF46D5" w:rsidRPr="00C841D5" w:rsidRDefault="00CF46D5" w:rsidP="006E2C7B">
            <w:pPr>
              <w:spacing w:line="240" w:lineRule="auto"/>
              <w:rPr>
                <w:rFonts w:ascii="Calibri" w:eastAsia="Franklin Gothic Book" w:hAnsi="Calibri" w:cs="Calibri"/>
                <w:b/>
                <w:bCs/>
                <w:szCs w:val="20"/>
                <w:lang w:eastAsia="en-AU"/>
              </w:rPr>
            </w:pPr>
            <w:r w:rsidRPr="00C841D5">
              <w:rPr>
                <w:rFonts w:ascii="Calibri" w:eastAsia="Franklin Gothic Book" w:hAnsi="Calibri" w:cs="Calibri"/>
                <w:b/>
                <w:bCs/>
                <w:szCs w:val="20"/>
                <w:lang w:eastAsia="en-AU"/>
              </w:rPr>
              <w:t>Inquiry</w:t>
            </w:r>
          </w:p>
          <w:p w14:paraId="6E7B1EC2" w14:textId="77777777" w:rsidR="00C1494B" w:rsidRPr="00CF46D5" w:rsidRDefault="00C1494B" w:rsidP="006E2C7B">
            <w:pPr>
              <w:spacing w:line="240" w:lineRule="auto"/>
              <w:rPr>
                <w:rFonts w:ascii="Calibri" w:eastAsia="Franklin Gothic Book" w:hAnsi="Calibri" w:cs="Calibri"/>
                <w:b/>
                <w:bCs/>
                <w:szCs w:val="20"/>
                <w:lang w:eastAsia="en-AU"/>
              </w:rPr>
            </w:pPr>
            <w:r w:rsidRPr="00CF46D5">
              <w:rPr>
                <w:rFonts w:ascii="Calibri" w:eastAsia="Franklin Gothic Book" w:hAnsi="Calibri" w:cs="Calibri"/>
                <w:szCs w:val="20"/>
                <w:lang w:eastAsia="en-AU"/>
              </w:rPr>
              <w:t>Students conduct investigations using ethical procedures, appropriate methodology and sources, and show cultural sensitivity and awareness to plan, conduct and communicate findings.</w:t>
            </w:r>
          </w:p>
          <w:p w14:paraId="0457F649" w14:textId="49159301" w:rsidR="00C1494B" w:rsidRPr="00CF46D5" w:rsidRDefault="00C1494B" w:rsidP="006E2C7B">
            <w:pPr>
              <w:spacing w:line="240" w:lineRule="auto"/>
              <w:rPr>
                <w:rFonts w:ascii="Calibri" w:eastAsia="Franklin Gothic Book" w:hAnsi="Calibri" w:cs="Calibri"/>
                <w:b/>
                <w:bCs/>
                <w:szCs w:val="20"/>
                <w:lang w:eastAsia="en-AU"/>
              </w:rPr>
            </w:pPr>
            <w:r w:rsidRPr="00CF46D5">
              <w:rPr>
                <w:rFonts w:ascii="Calibri" w:eastAsia="Franklin Gothic Book" w:hAnsi="Calibri" w:cs="Calibri"/>
                <w:szCs w:val="20"/>
                <w:lang w:eastAsia="en-AU"/>
              </w:rPr>
              <w:t>Students actively engage in collecting and using primary and</w:t>
            </w:r>
            <w:r w:rsidR="00D66B8D">
              <w:rPr>
                <w:rFonts w:ascii="Calibri" w:eastAsia="Franklin Gothic Book" w:hAnsi="Calibri" w:cs="Calibri"/>
                <w:szCs w:val="20"/>
                <w:lang w:eastAsia="en-AU"/>
              </w:rPr>
              <w:t>/or</w:t>
            </w:r>
            <w:r w:rsidRPr="00CF46D5">
              <w:rPr>
                <w:rFonts w:ascii="Calibri" w:eastAsia="Franklin Gothic Book" w:hAnsi="Calibri" w:cs="Calibri"/>
                <w:szCs w:val="20"/>
                <w:lang w:eastAsia="en-AU"/>
              </w:rPr>
              <w:t xml:space="preserve"> secondary information sources, which privilege learning from First Nations Peoples, communities and/or other sources of First Nations Peoples’ voices.</w:t>
            </w:r>
          </w:p>
          <w:p w14:paraId="5886E6DC" w14:textId="59C86554" w:rsidR="00C1494B" w:rsidRPr="00DF0CDB" w:rsidRDefault="00C1494B" w:rsidP="006E2C7B">
            <w:pPr>
              <w:spacing w:line="240" w:lineRule="auto"/>
              <w:rPr>
                <w:rFonts w:eastAsia="Franklin Gothic Book" w:cs="Calibri"/>
                <w:b/>
                <w:bCs/>
                <w:szCs w:val="20"/>
                <w:lang w:eastAsia="en-AU"/>
              </w:rPr>
            </w:pPr>
            <w:r w:rsidRPr="00DF0CDB">
              <w:rPr>
                <w:rFonts w:ascii="Calibri" w:eastAsia="Franklin Gothic Book" w:hAnsi="Calibri" w:cs="Calibri"/>
                <w:szCs w:val="20"/>
                <w:lang w:eastAsia="en-AU"/>
              </w:rPr>
              <w:t>Inquiry formats can include research notes</w:t>
            </w:r>
            <w:r w:rsidR="00C2627B">
              <w:rPr>
                <w:rFonts w:ascii="Calibri" w:eastAsia="Franklin Gothic Book" w:hAnsi="Calibri" w:cs="Calibri"/>
                <w:szCs w:val="20"/>
                <w:lang w:eastAsia="en-AU"/>
              </w:rPr>
              <w:t>,</w:t>
            </w:r>
            <w:r w:rsidRPr="00DF0CDB">
              <w:rPr>
                <w:rFonts w:ascii="Calibri" w:eastAsia="Franklin Gothic Book" w:hAnsi="Calibri" w:cs="Calibri"/>
                <w:szCs w:val="20"/>
                <w:lang w:eastAsia="en-AU"/>
              </w:rPr>
              <w:t xml:space="preserve"> graphic organisers</w:t>
            </w:r>
            <w:r w:rsidR="00C2627B">
              <w:rPr>
                <w:rFonts w:ascii="Calibri" w:eastAsia="Franklin Gothic Book" w:hAnsi="Calibri" w:cs="Calibri"/>
                <w:szCs w:val="20"/>
                <w:lang w:eastAsia="en-AU"/>
              </w:rPr>
              <w:t>,</w:t>
            </w:r>
            <w:r w:rsidRPr="00DF0CDB">
              <w:rPr>
                <w:rFonts w:ascii="Calibri" w:eastAsia="Franklin Gothic Book" w:hAnsi="Calibri" w:cs="Calibri"/>
                <w:szCs w:val="20"/>
                <w:lang w:eastAsia="en-AU"/>
              </w:rPr>
              <w:t xml:space="preserve"> written report</w:t>
            </w:r>
            <w:r w:rsidR="00024E9D">
              <w:rPr>
                <w:rFonts w:ascii="Calibri" w:eastAsia="Franklin Gothic Book" w:hAnsi="Calibri" w:cs="Calibri"/>
                <w:szCs w:val="20"/>
                <w:lang w:eastAsia="en-AU"/>
              </w:rPr>
              <w:t>s</w:t>
            </w:r>
            <w:r w:rsidR="00C2627B">
              <w:rPr>
                <w:rFonts w:ascii="Calibri" w:eastAsia="Franklin Gothic Book" w:hAnsi="Calibri" w:cs="Calibri"/>
                <w:szCs w:val="20"/>
                <w:lang w:eastAsia="en-AU"/>
              </w:rPr>
              <w:t>,</w:t>
            </w:r>
            <w:r w:rsidRPr="00DF0CDB">
              <w:rPr>
                <w:rFonts w:ascii="Calibri" w:eastAsia="Franklin Gothic Book" w:hAnsi="Calibri" w:cs="Calibri"/>
                <w:szCs w:val="20"/>
                <w:lang w:eastAsia="en-AU"/>
              </w:rPr>
              <w:t xml:space="preserve"> short</w:t>
            </w:r>
            <w:r w:rsidR="00DF0CDB" w:rsidRPr="00DF0CDB">
              <w:rPr>
                <w:rFonts w:ascii="Calibri" w:eastAsia="Franklin Gothic Book" w:hAnsi="Calibri" w:cs="Calibri"/>
                <w:szCs w:val="20"/>
                <w:lang w:eastAsia="en-AU"/>
              </w:rPr>
              <w:t xml:space="preserve"> </w:t>
            </w:r>
            <w:r w:rsidRPr="00D616A8">
              <w:rPr>
                <w:rFonts w:ascii="Calibri" w:eastAsia="Franklin Gothic Book" w:hAnsi="Calibri" w:cs="Calibri"/>
                <w:szCs w:val="20"/>
                <w:lang w:eastAsia="en-AU"/>
              </w:rPr>
              <w:t>answers</w:t>
            </w:r>
            <w:r w:rsidR="00C2627B">
              <w:rPr>
                <w:rFonts w:ascii="Calibri" w:eastAsia="Franklin Gothic Book" w:hAnsi="Calibri" w:cs="Calibri"/>
                <w:szCs w:val="20"/>
                <w:lang w:eastAsia="en-AU"/>
              </w:rPr>
              <w:t>,</w:t>
            </w:r>
            <w:r w:rsidRPr="00D616A8">
              <w:rPr>
                <w:rFonts w:ascii="Calibri" w:eastAsia="Franklin Gothic Book" w:hAnsi="Calibri" w:cs="Calibri"/>
                <w:szCs w:val="20"/>
                <w:lang w:eastAsia="en-AU"/>
              </w:rPr>
              <w:t xml:space="preserve"> an analysis of the sources used in the inquiry</w:t>
            </w:r>
            <w:r w:rsidR="00C2627B">
              <w:rPr>
                <w:rFonts w:ascii="Calibri" w:eastAsia="Franklin Gothic Book" w:hAnsi="Calibri" w:cs="Calibri"/>
                <w:szCs w:val="20"/>
                <w:lang w:eastAsia="en-AU"/>
              </w:rPr>
              <w:t>,</w:t>
            </w:r>
            <w:r w:rsidRPr="00D84B89">
              <w:rPr>
                <w:rFonts w:ascii="Calibri" w:eastAsia="Franklin Gothic Book" w:hAnsi="Calibri" w:cs="Calibri"/>
                <w:szCs w:val="20"/>
                <w:lang w:eastAsia="en-AU"/>
              </w:rPr>
              <w:t xml:space="preserve"> in-class self-evaluation and reflection of learning and/or a combination of these.</w:t>
            </w:r>
          </w:p>
          <w:p w14:paraId="28DB6204" w14:textId="5EE37848" w:rsidR="007766C5" w:rsidRPr="00840863" w:rsidRDefault="00C1494B" w:rsidP="006E2C7B">
            <w:pPr>
              <w:spacing w:line="240" w:lineRule="auto"/>
              <w:rPr>
                <w:rFonts w:ascii="Calibri" w:hAnsi="Calibri" w:cs="Calibri"/>
                <w:b/>
              </w:rPr>
            </w:pPr>
            <w:r w:rsidRPr="00E615DE">
              <w:rPr>
                <w:rFonts w:ascii="Calibri" w:eastAsia="Franklin Gothic Book" w:hAnsi="Calibri" w:cs="Calibri"/>
                <w:szCs w:val="20"/>
                <w:lang w:eastAsia="en-AU"/>
              </w:rPr>
              <w:t>The inquiry must include a validation component</w:t>
            </w:r>
            <w:r w:rsidR="00BD44AB">
              <w:rPr>
                <w:rFonts w:ascii="Calibri" w:eastAsia="Franklin Gothic Book" w:hAnsi="Calibri" w:cs="Calibri"/>
                <w:szCs w:val="20"/>
                <w:lang w:eastAsia="en-AU"/>
              </w:rPr>
              <w:t xml:space="preserve">, which </w:t>
            </w:r>
            <w:r w:rsidRPr="00E615DE">
              <w:rPr>
                <w:rFonts w:ascii="Calibri" w:eastAsia="Franklin Gothic Book" w:hAnsi="Calibri" w:cs="Calibri"/>
                <w:szCs w:val="20"/>
                <w:lang w:eastAsia="en-AU"/>
              </w:rPr>
              <w:t>is administered under test conditions.</w:t>
            </w:r>
          </w:p>
        </w:tc>
        <w:tc>
          <w:tcPr>
            <w:tcW w:w="1325" w:type="dxa"/>
            <w:vAlign w:val="center"/>
          </w:tcPr>
          <w:p w14:paraId="034BEDE7" w14:textId="51665141" w:rsidR="007766C5" w:rsidRPr="00840863" w:rsidRDefault="00AA3E8F" w:rsidP="00C841D5">
            <w:pPr>
              <w:spacing w:line="240" w:lineRule="auto"/>
              <w:jc w:val="center"/>
              <w:rPr>
                <w:rFonts w:ascii="Calibri" w:hAnsi="Calibri" w:cs="Calibri"/>
                <w:szCs w:val="24"/>
              </w:rPr>
            </w:pPr>
            <w:r w:rsidRPr="00840863">
              <w:rPr>
                <w:rFonts w:ascii="Calibri" w:hAnsi="Calibri" w:cs="Calibri"/>
                <w:szCs w:val="24"/>
              </w:rPr>
              <w:t>2</w:t>
            </w:r>
            <w:r w:rsidR="00CF46D5" w:rsidRPr="00840863">
              <w:rPr>
                <w:rFonts w:ascii="Calibri" w:hAnsi="Calibri" w:cs="Calibri"/>
                <w:szCs w:val="24"/>
              </w:rPr>
              <w:t>0</w:t>
            </w:r>
            <w:r w:rsidR="00044FDD" w:rsidRPr="00840863">
              <w:rPr>
                <w:rFonts w:ascii="Calibri" w:hAnsi="Calibri" w:cs="Calibri"/>
                <w:szCs w:val="24"/>
              </w:rPr>
              <w:t>%</w:t>
            </w:r>
          </w:p>
        </w:tc>
      </w:tr>
      <w:tr w:rsidR="007766C5" w:rsidRPr="00AC45F1" w14:paraId="2F4C5B83" w14:textId="77777777" w:rsidTr="00E3783B">
        <w:tc>
          <w:tcPr>
            <w:tcW w:w="7735" w:type="dxa"/>
          </w:tcPr>
          <w:p w14:paraId="5FE84AFA" w14:textId="77777777" w:rsidR="00CC401C" w:rsidRPr="00C841D5" w:rsidRDefault="00CC401C" w:rsidP="006E2C7B">
            <w:pPr>
              <w:spacing w:line="240" w:lineRule="auto"/>
              <w:rPr>
                <w:rFonts w:ascii="Calibri" w:eastAsia="Franklin Gothic Book" w:hAnsi="Calibri" w:cs="Calibri"/>
                <w:b/>
                <w:bCs/>
                <w:szCs w:val="20"/>
                <w:lang w:eastAsia="en-AU"/>
              </w:rPr>
            </w:pPr>
            <w:r w:rsidRPr="00C841D5">
              <w:rPr>
                <w:rFonts w:ascii="Calibri" w:eastAsia="Franklin Gothic Book" w:hAnsi="Calibri" w:cs="Calibri"/>
                <w:b/>
                <w:bCs/>
                <w:szCs w:val="20"/>
                <w:lang w:eastAsia="en-AU"/>
              </w:rPr>
              <w:t>Short answer</w:t>
            </w:r>
          </w:p>
          <w:p w14:paraId="49179894" w14:textId="77A45C08" w:rsidR="001A2500" w:rsidRPr="001A2500" w:rsidRDefault="00CC401C" w:rsidP="006E2C7B">
            <w:pPr>
              <w:spacing w:line="240" w:lineRule="auto"/>
              <w:rPr>
                <w:rFonts w:ascii="Calibri" w:eastAsia="Franklin Gothic Book" w:hAnsi="Calibri" w:cs="Calibri"/>
                <w:b/>
                <w:bCs/>
                <w:szCs w:val="20"/>
                <w:lang w:eastAsia="en-AU"/>
              </w:rPr>
            </w:pPr>
            <w:r w:rsidRPr="001A2500">
              <w:rPr>
                <w:rFonts w:ascii="Calibri" w:eastAsia="Franklin Gothic Book" w:hAnsi="Calibri" w:cs="Calibri"/>
                <w:szCs w:val="20"/>
                <w:lang w:eastAsia="en-AU"/>
              </w:rPr>
              <w:t xml:space="preserve">Students </w:t>
            </w:r>
            <w:r w:rsidR="001A2500" w:rsidRPr="001A2500">
              <w:rPr>
                <w:rFonts w:ascii="Calibri" w:eastAsia="Franklin Gothic Book" w:hAnsi="Calibri" w:cs="Calibri"/>
                <w:szCs w:val="20"/>
                <w:lang w:eastAsia="en-AU"/>
              </w:rPr>
              <w:t xml:space="preserve">can be required to </w:t>
            </w:r>
            <w:r w:rsidRPr="001A2500">
              <w:rPr>
                <w:rFonts w:ascii="Calibri" w:eastAsia="Franklin Gothic Book" w:hAnsi="Calibri" w:cs="Calibri"/>
                <w:szCs w:val="20"/>
                <w:lang w:eastAsia="en-AU"/>
              </w:rPr>
              <w:t xml:space="preserve">respond to a series of open questions that require </w:t>
            </w:r>
            <w:r w:rsidR="001A2500" w:rsidRPr="001A2500">
              <w:rPr>
                <w:rFonts w:ascii="Calibri" w:eastAsia="Franklin Gothic Book" w:hAnsi="Calibri" w:cs="Calibri"/>
                <w:szCs w:val="20"/>
                <w:lang w:eastAsia="en-AU"/>
              </w:rPr>
              <w:t>them to</w:t>
            </w:r>
            <w:r w:rsidRPr="001A2500">
              <w:rPr>
                <w:rFonts w:ascii="Calibri" w:eastAsia="Franklin Gothic Book" w:hAnsi="Calibri" w:cs="Calibri"/>
                <w:szCs w:val="20"/>
                <w:lang w:eastAsia="en-AU"/>
              </w:rPr>
              <w:t xml:space="preserve"> </w:t>
            </w:r>
            <w:r w:rsidR="00434D6E">
              <w:rPr>
                <w:rFonts w:ascii="Calibri" w:eastAsia="Franklin Gothic Book" w:hAnsi="Calibri" w:cs="Calibri"/>
                <w:szCs w:val="20"/>
                <w:lang w:eastAsia="en-AU"/>
              </w:rPr>
              <w:t>refer to</w:t>
            </w:r>
            <w:r w:rsidR="001A2500">
              <w:rPr>
                <w:rFonts w:ascii="Calibri" w:eastAsia="Franklin Gothic Book" w:hAnsi="Calibri" w:cs="Calibri"/>
                <w:szCs w:val="20"/>
                <w:lang w:eastAsia="en-AU"/>
              </w:rPr>
              <w:t xml:space="preserve"> </w:t>
            </w:r>
            <w:r w:rsidR="001A2500" w:rsidRPr="001A2500">
              <w:rPr>
                <w:rFonts w:ascii="Calibri" w:eastAsia="Franklin Gothic Book" w:hAnsi="Calibri" w:cs="Calibri"/>
                <w:szCs w:val="20"/>
                <w:lang w:eastAsia="en-AU"/>
              </w:rPr>
              <w:t xml:space="preserve">source material and/or </w:t>
            </w:r>
            <w:r w:rsidR="001A2500">
              <w:rPr>
                <w:rFonts w:ascii="Calibri" w:eastAsia="Franklin Gothic Book" w:hAnsi="Calibri" w:cs="Calibri"/>
                <w:szCs w:val="20"/>
                <w:lang w:eastAsia="en-AU"/>
              </w:rPr>
              <w:t>s</w:t>
            </w:r>
            <w:r w:rsidR="001A2500" w:rsidRPr="001A2500">
              <w:rPr>
                <w:rFonts w:ascii="Calibri" w:eastAsia="Franklin Gothic Book" w:hAnsi="Calibri" w:cs="Calibri"/>
                <w:szCs w:val="20"/>
                <w:lang w:eastAsia="en-AU"/>
              </w:rPr>
              <w:t>yllabus content.</w:t>
            </w:r>
          </w:p>
          <w:p w14:paraId="0BD8E508" w14:textId="1A280AF7" w:rsidR="00CC401C" w:rsidRPr="00913AEE" w:rsidRDefault="00CC401C" w:rsidP="006E2C7B">
            <w:pPr>
              <w:spacing w:line="240" w:lineRule="auto"/>
              <w:rPr>
                <w:rFonts w:ascii="Calibri" w:eastAsia="Franklin Gothic Book" w:hAnsi="Calibri" w:cs="Calibri"/>
                <w:b/>
                <w:bCs/>
                <w:szCs w:val="20"/>
                <w:lang w:eastAsia="en-AU"/>
              </w:rPr>
            </w:pPr>
            <w:r w:rsidRPr="00913AEE">
              <w:rPr>
                <w:rFonts w:ascii="Calibri" w:eastAsia="Franklin Gothic Book" w:hAnsi="Calibri" w:cs="Calibri"/>
                <w:szCs w:val="20"/>
                <w:lang w:eastAsia="en-AU"/>
              </w:rPr>
              <w:t>Source materials can include written texts (an extract from a government paper, a newspaper or journal article</w:t>
            </w:r>
            <w:r w:rsidR="00C2627B">
              <w:rPr>
                <w:rFonts w:ascii="Calibri" w:eastAsia="Franklin Gothic Book" w:hAnsi="Calibri" w:cs="Calibri"/>
                <w:szCs w:val="20"/>
                <w:lang w:eastAsia="en-AU"/>
              </w:rPr>
              <w:t>,</w:t>
            </w:r>
            <w:r w:rsidRPr="00913AEE">
              <w:rPr>
                <w:rFonts w:ascii="Calibri" w:eastAsia="Franklin Gothic Book" w:hAnsi="Calibri" w:cs="Calibri"/>
                <w:szCs w:val="20"/>
                <w:lang w:eastAsia="en-AU"/>
              </w:rPr>
              <w:t xml:space="preserve"> or an extract from a narrative, a poem, a song lyric, a play script, or a letter</w:t>
            </w:r>
            <w:r w:rsidR="00602CD7" w:rsidRPr="00913AEE">
              <w:rPr>
                <w:rFonts w:ascii="Calibri" w:eastAsia="Franklin Gothic Book" w:hAnsi="Calibri" w:cs="Calibri"/>
                <w:szCs w:val="20"/>
                <w:lang w:eastAsia="en-AU"/>
              </w:rPr>
              <w:t>)</w:t>
            </w:r>
            <w:r w:rsidR="00602CD7">
              <w:rPr>
                <w:rFonts w:ascii="Calibri" w:eastAsia="Franklin Gothic Book" w:hAnsi="Calibri" w:cs="Calibri"/>
                <w:szCs w:val="20"/>
                <w:lang w:eastAsia="en-AU"/>
              </w:rPr>
              <w:t>,</w:t>
            </w:r>
            <w:r w:rsidR="00602CD7" w:rsidRPr="00913AEE">
              <w:rPr>
                <w:rFonts w:ascii="Calibri" w:eastAsia="Franklin Gothic Book" w:hAnsi="Calibri" w:cs="Calibri"/>
                <w:szCs w:val="20"/>
                <w:lang w:eastAsia="en-AU"/>
              </w:rPr>
              <w:t xml:space="preserve"> </w:t>
            </w:r>
            <w:r w:rsidRPr="00913AEE">
              <w:rPr>
                <w:rFonts w:ascii="Calibri" w:eastAsia="Franklin Gothic Book" w:hAnsi="Calibri" w:cs="Calibri"/>
                <w:szCs w:val="20"/>
                <w:lang w:eastAsia="en-AU"/>
              </w:rPr>
              <w:t>graphic materials (a photograph, a map, a graph, a diagram, a cartoon, or a drawing)</w:t>
            </w:r>
            <w:r w:rsidR="00602CD7">
              <w:rPr>
                <w:rFonts w:ascii="Calibri" w:eastAsia="Franklin Gothic Book" w:hAnsi="Calibri" w:cs="Calibri"/>
                <w:szCs w:val="20"/>
                <w:lang w:eastAsia="en-AU"/>
              </w:rPr>
              <w:t>,</w:t>
            </w:r>
            <w:r w:rsidRPr="00913AEE">
              <w:rPr>
                <w:rFonts w:ascii="Calibri" w:eastAsia="Franklin Gothic Book" w:hAnsi="Calibri" w:cs="Calibri"/>
                <w:szCs w:val="20"/>
                <w:lang w:eastAsia="en-AU"/>
              </w:rPr>
              <w:t xml:space="preserve"> a film, a television show and/or a combination of materials.</w:t>
            </w:r>
          </w:p>
          <w:p w14:paraId="072979D4" w14:textId="1DFCCD6A" w:rsidR="00BD44AB" w:rsidRPr="00913AEE" w:rsidRDefault="00BD44AB" w:rsidP="006E2C7B">
            <w:pPr>
              <w:spacing w:line="240" w:lineRule="auto"/>
              <w:rPr>
                <w:rFonts w:ascii="Calibri" w:eastAsia="Franklin Gothic Book" w:hAnsi="Calibri" w:cs="Calibri"/>
                <w:b/>
                <w:bCs/>
                <w:szCs w:val="20"/>
                <w:lang w:eastAsia="en-AU"/>
              </w:rPr>
            </w:pPr>
            <w:r w:rsidRPr="00BD44AB">
              <w:rPr>
                <w:rFonts w:ascii="Calibri" w:eastAsia="Franklin Gothic Book" w:hAnsi="Calibri" w:cs="Calibri"/>
                <w:szCs w:val="20"/>
                <w:lang w:eastAsia="en-AU"/>
              </w:rPr>
              <w:t>Formats can include short answer responses, which t</w:t>
            </w:r>
            <w:r w:rsidR="00CC401C" w:rsidRPr="00BD44AB">
              <w:rPr>
                <w:rFonts w:ascii="Calibri" w:eastAsia="Franklin Gothic Book" w:hAnsi="Calibri" w:cs="Calibri"/>
                <w:szCs w:val="20"/>
                <w:lang w:eastAsia="en-AU"/>
              </w:rPr>
              <w:t>ypically require students to</w:t>
            </w:r>
            <w:r w:rsidRPr="00BD44AB">
              <w:rPr>
                <w:rFonts w:ascii="Calibri" w:eastAsia="Franklin Gothic Book" w:hAnsi="Calibri" w:cs="Calibri"/>
                <w:szCs w:val="20"/>
                <w:lang w:eastAsia="en-AU"/>
              </w:rPr>
              <w:t xml:space="preserve"> </w:t>
            </w:r>
            <w:r w:rsidR="00CC401C" w:rsidRPr="00BD44AB">
              <w:rPr>
                <w:rFonts w:ascii="Calibri" w:eastAsia="Franklin Gothic Book" w:hAnsi="Calibri" w:cs="Calibri"/>
                <w:szCs w:val="20"/>
                <w:lang w:eastAsia="en-AU"/>
              </w:rPr>
              <w:t xml:space="preserve">identify, define, describe, outline, </w:t>
            </w:r>
            <w:r>
              <w:rPr>
                <w:rFonts w:ascii="Calibri" w:eastAsia="Franklin Gothic Book" w:hAnsi="Calibri" w:cs="Calibri"/>
                <w:szCs w:val="20"/>
                <w:lang w:eastAsia="en-AU"/>
              </w:rPr>
              <w:t>explain</w:t>
            </w:r>
            <w:r w:rsidR="00CC401C" w:rsidRPr="00BD44AB">
              <w:rPr>
                <w:rFonts w:ascii="Calibri" w:eastAsia="Franklin Gothic Book" w:hAnsi="Calibri" w:cs="Calibri"/>
                <w:szCs w:val="20"/>
                <w:lang w:eastAsia="en-AU"/>
              </w:rPr>
              <w:t xml:space="preserve">, compare, </w:t>
            </w:r>
            <w:r>
              <w:rPr>
                <w:rFonts w:ascii="Calibri" w:eastAsia="Franklin Gothic Book" w:hAnsi="Calibri" w:cs="Calibri"/>
                <w:szCs w:val="20"/>
                <w:lang w:eastAsia="en-AU"/>
              </w:rPr>
              <w:t xml:space="preserve">analyse </w:t>
            </w:r>
            <w:r w:rsidR="002A460B">
              <w:rPr>
                <w:rFonts w:ascii="Calibri" w:eastAsia="Franklin Gothic Book" w:hAnsi="Calibri" w:cs="Calibri"/>
                <w:szCs w:val="20"/>
                <w:lang w:eastAsia="en-AU"/>
              </w:rPr>
              <w:t xml:space="preserve">and/or </w:t>
            </w:r>
            <w:r>
              <w:rPr>
                <w:rFonts w:ascii="Calibri" w:eastAsia="Franklin Gothic Book" w:hAnsi="Calibri" w:cs="Calibri"/>
                <w:szCs w:val="20"/>
                <w:lang w:eastAsia="en-AU"/>
              </w:rPr>
              <w:t>discuss</w:t>
            </w:r>
            <w:r w:rsidR="002A460B">
              <w:rPr>
                <w:rFonts w:ascii="Calibri" w:eastAsia="Franklin Gothic Book" w:hAnsi="Calibri" w:cs="Calibri"/>
                <w:szCs w:val="20"/>
                <w:lang w:eastAsia="en-AU"/>
              </w:rPr>
              <w:t>.</w:t>
            </w:r>
            <w:r>
              <w:rPr>
                <w:rFonts w:ascii="Calibri" w:eastAsia="Franklin Gothic Book" w:hAnsi="Calibri" w:cs="Calibri"/>
                <w:szCs w:val="20"/>
                <w:lang w:eastAsia="en-AU"/>
              </w:rPr>
              <w:t xml:space="preserve"> </w:t>
            </w:r>
          </w:p>
          <w:p w14:paraId="36A5DB53" w14:textId="0EE520D6" w:rsidR="00BD44AB" w:rsidRPr="00BD44AB" w:rsidRDefault="00BD44AB" w:rsidP="006E2C7B">
            <w:pPr>
              <w:spacing w:line="240" w:lineRule="auto"/>
              <w:rPr>
                <w:rFonts w:ascii="Calibri" w:eastAsia="Franklin Gothic Book" w:hAnsi="Calibri" w:cs="Calibri"/>
                <w:b/>
                <w:bCs/>
                <w:szCs w:val="20"/>
                <w:lang w:eastAsia="en-AU"/>
              </w:rPr>
            </w:pPr>
            <w:r w:rsidRPr="00BD44AB">
              <w:rPr>
                <w:rFonts w:ascii="Calibri" w:eastAsia="Franklin Gothic Book" w:hAnsi="Calibri" w:cs="Calibri"/>
                <w:szCs w:val="20"/>
                <w:lang w:eastAsia="en-AU"/>
              </w:rPr>
              <w:t>Sho</w:t>
            </w:r>
            <w:r w:rsidRPr="00CC401C">
              <w:rPr>
                <w:rFonts w:ascii="Calibri" w:eastAsia="Franklin Gothic Book" w:hAnsi="Calibri" w:cs="Calibri"/>
                <w:szCs w:val="20"/>
                <w:lang w:eastAsia="en-AU"/>
              </w:rPr>
              <w:t>rt answer tasks are administered under test conditions.</w:t>
            </w:r>
          </w:p>
          <w:p w14:paraId="7691F240" w14:textId="5184E1C4" w:rsidR="00BD44AB" w:rsidRPr="00CC401C" w:rsidRDefault="00BD44AB" w:rsidP="006E2C7B">
            <w:pPr>
              <w:spacing w:line="240" w:lineRule="auto"/>
              <w:rPr>
                <w:rFonts w:ascii="Calibri" w:eastAsia="Franklin Gothic Book" w:hAnsi="Calibri" w:cs="Calibri"/>
                <w:b/>
                <w:bCs/>
                <w:szCs w:val="20"/>
                <w:lang w:eastAsia="en-AU"/>
              </w:rPr>
            </w:pPr>
            <w:r w:rsidRPr="00BD44AB">
              <w:rPr>
                <w:rFonts w:ascii="Calibri" w:eastAsia="Franklin Gothic Book" w:hAnsi="Calibri" w:cs="Calibri"/>
                <w:szCs w:val="20"/>
                <w:lang w:eastAsia="en-AU"/>
              </w:rPr>
              <w:t xml:space="preserve">For a full list of verbs, see the Glossary of </w:t>
            </w:r>
            <w:r w:rsidR="00FD180C">
              <w:rPr>
                <w:rFonts w:ascii="Calibri" w:eastAsia="Franklin Gothic Book" w:hAnsi="Calibri" w:cs="Calibri"/>
                <w:szCs w:val="20"/>
                <w:lang w:eastAsia="en-AU"/>
              </w:rPr>
              <w:t>k</w:t>
            </w:r>
            <w:r w:rsidRPr="00BD44AB">
              <w:rPr>
                <w:rFonts w:ascii="Calibri" w:eastAsia="Franklin Gothic Book" w:hAnsi="Calibri" w:cs="Calibri"/>
                <w:szCs w:val="20"/>
                <w:lang w:eastAsia="en-AU"/>
              </w:rPr>
              <w:t xml:space="preserve">ey </w:t>
            </w:r>
            <w:r w:rsidR="00FD180C">
              <w:rPr>
                <w:rFonts w:ascii="Calibri" w:eastAsia="Franklin Gothic Book" w:hAnsi="Calibri" w:cs="Calibri"/>
                <w:szCs w:val="20"/>
                <w:lang w:eastAsia="en-AU"/>
              </w:rPr>
              <w:t>w</w:t>
            </w:r>
            <w:r w:rsidRPr="00BD44AB">
              <w:rPr>
                <w:rFonts w:ascii="Calibri" w:eastAsia="Franklin Gothic Book" w:hAnsi="Calibri" w:cs="Calibri"/>
                <w:szCs w:val="20"/>
                <w:lang w:eastAsia="en-AU"/>
              </w:rPr>
              <w:t xml:space="preserve">ords </w:t>
            </w:r>
            <w:r w:rsidR="00FD180C">
              <w:rPr>
                <w:rFonts w:ascii="Calibri" w:eastAsia="Franklin Gothic Book" w:hAnsi="Calibri" w:cs="Calibri"/>
                <w:szCs w:val="20"/>
                <w:lang w:eastAsia="en-AU"/>
              </w:rPr>
              <w:t xml:space="preserve">used </w:t>
            </w:r>
            <w:r w:rsidRPr="00BD44AB">
              <w:rPr>
                <w:rFonts w:ascii="Calibri" w:eastAsia="Franklin Gothic Book" w:hAnsi="Calibri" w:cs="Calibri"/>
                <w:szCs w:val="20"/>
                <w:lang w:eastAsia="en-AU"/>
              </w:rPr>
              <w:t xml:space="preserve">in the </w:t>
            </w:r>
            <w:r w:rsidR="00FD180C">
              <w:rPr>
                <w:rFonts w:ascii="Calibri" w:eastAsia="Franklin Gothic Book" w:hAnsi="Calibri" w:cs="Calibri"/>
                <w:szCs w:val="20"/>
                <w:lang w:eastAsia="en-AU"/>
              </w:rPr>
              <w:t>f</w:t>
            </w:r>
            <w:r w:rsidRPr="00BD44AB">
              <w:rPr>
                <w:rFonts w:ascii="Calibri" w:eastAsia="Franklin Gothic Book" w:hAnsi="Calibri" w:cs="Calibri"/>
                <w:szCs w:val="20"/>
                <w:lang w:eastAsia="en-AU"/>
              </w:rPr>
              <w:t xml:space="preserve">ormulation of </w:t>
            </w:r>
            <w:r w:rsidR="00FD180C">
              <w:rPr>
                <w:rFonts w:ascii="Calibri" w:eastAsia="Franklin Gothic Book" w:hAnsi="Calibri" w:cs="Calibri"/>
                <w:szCs w:val="20"/>
                <w:lang w:eastAsia="en-AU"/>
              </w:rPr>
              <w:t>q</w:t>
            </w:r>
            <w:r w:rsidRPr="00BD44AB">
              <w:rPr>
                <w:rFonts w:ascii="Calibri" w:eastAsia="Franklin Gothic Book" w:hAnsi="Calibri" w:cs="Calibri"/>
                <w:szCs w:val="20"/>
                <w:lang w:eastAsia="en-AU"/>
              </w:rPr>
              <w:t>uestions on the</w:t>
            </w:r>
            <w:r>
              <w:rPr>
                <w:rFonts w:ascii="Calibri" w:eastAsia="Franklin Gothic Book" w:hAnsi="Calibri" w:cs="Calibri"/>
                <w:szCs w:val="20"/>
                <w:lang w:eastAsia="en-AU"/>
              </w:rPr>
              <w:t xml:space="preserve"> </w:t>
            </w:r>
            <w:r w:rsidRPr="00BD44AB">
              <w:rPr>
                <w:rFonts w:ascii="Calibri" w:eastAsia="Franklin Gothic Book" w:hAnsi="Calibri" w:cs="Calibri"/>
                <w:szCs w:val="20"/>
                <w:lang w:eastAsia="en-AU"/>
              </w:rPr>
              <w:t>course page.</w:t>
            </w:r>
          </w:p>
        </w:tc>
        <w:tc>
          <w:tcPr>
            <w:tcW w:w="1325" w:type="dxa"/>
            <w:vAlign w:val="center"/>
          </w:tcPr>
          <w:p w14:paraId="580768CD" w14:textId="6D9F0087" w:rsidR="007766C5" w:rsidRPr="00840863" w:rsidRDefault="00434D6E" w:rsidP="00C841D5">
            <w:pPr>
              <w:spacing w:line="240" w:lineRule="auto"/>
              <w:jc w:val="center"/>
              <w:rPr>
                <w:rFonts w:ascii="Calibri" w:hAnsi="Calibri" w:cs="Calibri"/>
                <w:szCs w:val="24"/>
              </w:rPr>
            </w:pPr>
            <w:r>
              <w:rPr>
                <w:rFonts w:ascii="Calibri" w:hAnsi="Calibri" w:cs="Calibri"/>
                <w:szCs w:val="24"/>
              </w:rPr>
              <w:t>2</w:t>
            </w:r>
            <w:r w:rsidR="00CF46D5" w:rsidRPr="00840863">
              <w:rPr>
                <w:rFonts w:ascii="Calibri" w:hAnsi="Calibri" w:cs="Calibri"/>
                <w:szCs w:val="24"/>
              </w:rPr>
              <w:t>0</w:t>
            </w:r>
            <w:r w:rsidR="00843F98" w:rsidRPr="00840863">
              <w:rPr>
                <w:rFonts w:ascii="Calibri" w:hAnsi="Calibri" w:cs="Calibri"/>
                <w:szCs w:val="24"/>
              </w:rPr>
              <w:t>%</w:t>
            </w:r>
          </w:p>
        </w:tc>
      </w:tr>
      <w:tr w:rsidR="00CC401C" w:rsidRPr="00AC45F1" w14:paraId="19F564FB" w14:textId="77777777" w:rsidTr="00E3783B">
        <w:tc>
          <w:tcPr>
            <w:tcW w:w="7735" w:type="dxa"/>
          </w:tcPr>
          <w:p w14:paraId="4992571A" w14:textId="77777777" w:rsidR="00CC401C" w:rsidRPr="00C841D5" w:rsidRDefault="00CC401C" w:rsidP="006E2C7B">
            <w:pPr>
              <w:spacing w:line="240" w:lineRule="auto"/>
              <w:rPr>
                <w:rFonts w:ascii="Calibri" w:eastAsia="Franklin Gothic Book" w:hAnsi="Calibri" w:cs="Calibri"/>
                <w:b/>
                <w:bCs/>
                <w:szCs w:val="20"/>
                <w:lang w:eastAsia="en-AU"/>
              </w:rPr>
            </w:pPr>
            <w:r w:rsidRPr="00C841D5">
              <w:rPr>
                <w:rFonts w:ascii="Calibri" w:eastAsia="Franklin Gothic Book" w:hAnsi="Calibri" w:cs="Calibri"/>
                <w:b/>
                <w:bCs/>
                <w:szCs w:val="20"/>
                <w:lang w:eastAsia="en-AU"/>
              </w:rPr>
              <w:t>Extended answer</w:t>
            </w:r>
          </w:p>
          <w:p w14:paraId="707C7128" w14:textId="456471B4" w:rsidR="00BD44AB" w:rsidRPr="00BD44AB" w:rsidRDefault="00CC401C" w:rsidP="006E2C7B">
            <w:pPr>
              <w:spacing w:line="240" w:lineRule="auto"/>
              <w:rPr>
                <w:rFonts w:ascii="Calibri" w:eastAsia="Franklin Gothic Book" w:hAnsi="Calibri" w:cs="Calibri"/>
                <w:b/>
                <w:bCs/>
                <w:szCs w:val="20"/>
                <w:lang w:eastAsia="en-AU"/>
              </w:rPr>
            </w:pPr>
            <w:r w:rsidRPr="00890176">
              <w:rPr>
                <w:rFonts w:ascii="Calibri" w:eastAsia="Franklin Gothic Book" w:hAnsi="Calibri" w:cs="Calibri"/>
                <w:szCs w:val="20"/>
                <w:lang w:eastAsia="en-AU"/>
              </w:rPr>
              <w:t>Students can be required to respond to one or more questions that require a</w:t>
            </w:r>
            <w:r w:rsidR="00BD44AB" w:rsidRPr="00890176">
              <w:rPr>
                <w:rFonts w:ascii="Calibri" w:eastAsia="Franklin Gothic Book" w:hAnsi="Calibri" w:cs="Calibri"/>
                <w:szCs w:val="20"/>
                <w:lang w:eastAsia="en-AU"/>
              </w:rPr>
              <w:t xml:space="preserve"> discussion, </w:t>
            </w:r>
            <w:r w:rsidR="00312828" w:rsidRPr="00890176">
              <w:rPr>
                <w:rFonts w:ascii="Calibri" w:eastAsia="Franklin Gothic Book" w:hAnsi="Calibri" w:cs="Calibri"/>
                <w:szCs w:val="20"/>
                <w:lang w:eastAsia="en-AU"/>
              </w:rPr>
              <w:t>analysis,</w:t>
            </w:r>
            <w:r w:rsidRPr="00890176">
              <w:rPr>
                <w:rFonts w:ascii="Calibri" w:eastAsia="Franklin Gothic Book" w:hAnsi="Calibri" w:cs="Calibri"/>
                <w:szCs w:val="20"/>
                <w:lang w:eastAsia="en-AU"/>
              </w:rPr>
              <w:t xml:space="preserve"> explanation and/or evaluation of </w:t>
            </w:r>
            <w:r w:rsidR="00BD44AB" w:rsidRPr="00890176">
              <w:rPr>
                <w:rFonts w:ascii="Calibri" w:eastAsia="Franklin Gothic Book" w:hAnsi="Calibri" w:cs="Calibri"/>
                <w:szCs w:val="20"/>
                <w:lang w:eastAsia="en-AU"/>
              </w:rPr>
              <w:t>the knowledge and understandings from the syllabus</w:t>
            </w:r>
            <w:r w:rsidRPr="00890176">
              <w:rPr>
                <w:rFonts w:ascii="Calibri" w:eastAsia="Franklin Gothic Book" w:hAnsi="Calibri" w:cs="Calibri"/>
                <w:szCs w:val="20"/>
                <w:lang w:eastAsia="en-AU"/>
              </w:rPr>
              <w:t>.</w:t>
            </w:r>
            <w:r w:rsidRPr="00BD44AB">
              <w:rPr>
                <w:rFonts w:ascii="Calibri" w:eastAsia="Franklin Gothic Book" w:hAnsi="Calibri" w:cs="Calibri"/>
                <w:szCs w:val="20"/>
                <w:lang w:eastAsia="en-AU"/>
              </w:rPr>
              <w:t xml:space="preserve"> </w:t>
            </w:r>
          </w:p>
          <w:p w14:paraId="3987107F" w14:textId="46F539F8" w:rsidR="00CC401C" w:rsidRPr="00913AEE" w:rsidRDefault="00BD44AB" w:rsidP="006E2C7B">
            <w:pPr>
              <w:spacing w:line="240" w:lineRule="auto"/>
              <w:rPr>
                <w:rFonts w:ascii="Calibri" w:eastAsia="Franklin Gothic Book" w:hAnsi="Calibri" w:cs="Calibri"/>
                <w:b/>
                <w:bCs/>
                <w:szCs w:val="20"/>
                <w:lang w:eastAsia="en-AU"/>
              </w:rPr>
            </w:pPr>
            <w:r w:rsidRPr="00913AEE">
              <w:rPr>
                <w:rFonts w:ascii="Calibri" w:eastAsia="Franklin Gothic Book" w:hAnsi="Calibri" w:cs="Calibri"/>
                <w:szCs w:val="20"/>
                <w:lang w:eastAsia="en-AU"/>
              </w:rPr>
              <w:t>F</w:t>
            </w:r>
            <w:r w:rsidR="00CC401C" w:rsidRPr="00913AEE">
              <w:rPr>
                <w:rFonts w:ascii="Calibri" w:eastAsia="Franklin Gothic Book" w:hAnsi="Calibri" w:cs="Calibri"/>
                <w:szCs w:val="20"/>
                <w:lang w:eastAsia="en-AU"/>
              </w:rPr>
              <w:t>ormat</w:t>
            </w:r>
            <w:r w:rsidRPr="00913AEE">
              <w:rPr>
                <w:rFonts w:ascii="Calibri" w:eastAsia="Franklin Gothic Book" w:hAnsi="Calibri" w:cs="Calibri"/>
                <w:szCs w:val="20"/>
                <w:lang w:eastAsia="en-AU"/>
              </w:rPr>
              <w:t>s can include</w:t>
            </w:r>
            <w:r w:rsidR="00312828" w:rsidRPr="00913AEE">
              <w:rPr>
                <w:rFonts w:ascii="Calibri" w:eastAsia="Franklin Gothic Book" w:hAnsi="Calibri" w:cs="Calibri"/>
                <w:szCs w:val="20"/>
                <w:lang w:eastAsia="en-AU"/>
              </w:rPr>
              <w:t xml:space="preserve"> a</w:t>
            </w:r>
            <w:r w:rsidR="00434D6E" w:rsidRPr="00913AEE">
              <w:rPr>
                <w:rFonts w:ascii="Calibri" w:eastAsia="Franklin Gothic Book" w:hAnsi="Calibri" w:cs="Calibri"/>
                <w:szCs w:val="20"/>
                <w:lang w:eastAsia="en-AU"/>
              </w:rPr>
              <w:t xml:space="preserve"> sectionalised or </w:t>
            </w:r>
            <w:r w:rsidR="00CC401C" w:rsidRPr="00913AEE">
              <w:rPr>
                <w:rFonts w:ascii="Calibri" w:eastAsia="Franklin Gothic Book" w:hAnsi="Calibri" w:cs="Calibri"/>
                <w:szCs w:val="20"/>
                <w:lang w:eastAsia="en-AU"/>
              </w:rPr>
              <w:t xml:space="preserve">a </w:t>
            </w:r>
            <w:r w:rsidR="00434D6E" w:rsidRPr="00913AEE">
              <w:rPr>
                <w:rFonts w:ascii="Calibri" w:eastAsia="Franklin Gothic Book" w:hAnsi="Calibri" w:cs="Calibri"/>
                <w:szCs w:val="20"/>
                <w:lang w:eastAsia="en-AU"/>
              </w:rPr>
              <w:t>non</w:t>
            </w:r>
            <w:r w:rsidR="001F0966">
              <w:rPr>
                <w:rFonts w:ascii="Calibri" w:eastAsia="Franklin Gothic Book" w:hAnsi="Calibri" w:cs="Calibri"/>
                <w:szCs w:val="20"/>
                <w:lang w:eastAsia="en-AU"/>
              </w:rPr>
              <w:t>-</w:t>
            </w:r>
            <w:r w:rsidR="00CC401C" w:rsidRPr="00913AEE">
              <w:rPr>
                <w:rFonts w:ascii="Calibri" w:eastAsia="Franklin Gothic Book" w:hAnsi="Calibri" w:cs="Calibri"/>
                <w:szCs w:val="20"/>
                <w:lang w:eastAsia="en-AU"/>
              </w:rPr>
              <w:t>sectionalised answer.</w:t>
            </w:r>
          </w:p>
          <w:p w14:paraId="6A3DD796" w14:textId="75A367B6" w:rsidR="00CC401C" w:rsidRPr="00913AEE" w:rsidRDefault="00CC401C" w:rsidP="006E2C7B">
            <w:pPr>
              <w:spacing w:line="240" w:lineRule="auto"/>
              <w:rPr>
                <w:rFonts w:ascii="Calibri" w:eastAsia="Franklin Gothic Book" w:hAnsi="Calibri" w:cs="Calibri"/>
                <w:b/>
                <w:bCs/>
                <w:szCs w:val="20"/>
                <w:lang w:eastAsia="en-AU"/>
              </w:rPr>
            </w:pPr>
            <w:r w:rsidRPr="00913AEE">
              <w:rPr>
                <w:rFonts w:ascii="Calibri" w:eastAsia="Franklin Gothic Book" w:hAnsi="Calibri" w:cs="Calibri"/>
                <w:szCs w:val="20"/>
                <w:lang w:eastAsia="en-AU"/>
              </w:rPr>
              <w:t xml:space="preserve">Typically, questions require the students to explain, discuss, </w:t>
            </w:r>
            <w:r w:rsidR="001A2500" w:rsidRPr="00913AEE">
              <w:rPr>
                <w:rFonts w:ascii="Calibri" w:eastAsia="Franklin Gothic Book" w:hAnsi="Calibri" w:cs="Calibri"/>
                <w:szCs w:val="20"/>
                <w:lang w:eastAsia="en-AU"/>
              </w:rPr>
              <w:t>compare, analyse, evaluate</w:t>
            </w:r>
            <w:r w:rsidR="002A460B" w:rsidRPr="00913AEE">
              <w:rPr>
                <w:rFonts w:ascii="Calibri" w:eastAsia="Franklin Gothic Book" w:hAnsi="Calibri" w:cs="Calibri"/>
                <w:szCs w:val="20"/>
                <w:lang w:eastAsia="en-AU"/>
              </w:rPr>
              <w:t xml:space="preserve"> and/or consider different perspectives. </w:t>
            </w:r>
          </w:p>
          <w:p w14:paraId="4BC1A17C" w14:textId="4CF03DAB" w:rsidR="00CC401C" w:rsidRPr="00913AEE" w:rsidRDefault="00CC401C" w:rsidP="006E2C7B">
            <w:pPr>
              <w:spacing w:line="240" w:lineRule="auto"/>
              <w:rPr>
                <w:rFonts w:ascii="Calibri" w:eastAsia="Franklin Gothic Book" w:hAnsi="Calibri" w:cs="Calibri"/>
                <w:b/>
                <w:bCs/>
                <w:szCs w:val="20"/>
                <w:lang w:eastAsia="en-AU"/>
              </w:rPr>
            </w:pPr>
            <w:r w:rsidRPr="00CC401C">
              <w:rPr>
                <w:rFonts w:ascii="Calibri" w:eastAsia="Franklin Gothic Book" w:hAnsi="Calibri" w:cs="Calibri"/>
                <w:szCs w:val="20"/>
                <w:lang w:eastAsia="en-AU"/>
              </w:rPr>
              <w:t>Extended answer tasks are administered under test conditions.</w:t>
            </w:r>
          </w:p>
          <w:p w14:paraId="700DF5FC" w14:textId="31D37913" w:rsidR="00890176" w:rsidRPr="00890176" w:rsidRDefault="00890176" w:rsidP="006E2C7B">
            <w:pPr>
              <w:spacing w:line="240" w:lineRule="auto"/>
              <w:rPr>
                <w:rFonts w:ascii="Calibri" w:eastAsia="Franklin Gothic Book" w:hAnsi="Calibri" w:cs="Calibri"/>
                <w:b/>
                <w:bCs/>
                <w:szCs w:val="20"/>
                <w:lang w:eastAsia="en-AU"/>
              </w:rPr>
            </w:pPr>
            <w:r w:rsidRPr="00BD44AB">
              <w:rPr>
                <w:rFonts w:ascii="Calibri" w:eastAsia="Franklin Gothic Book" w:hAnsi="Calibri" w:cs="Calibri"/>
                <w:szCs w:val="20"/>
                <w:lang w:eastAsia="en-AU"/>
              </w:rPr>
              <w:t xml:space="preserve">For a full list of verbs, see the </w:t>
            </w:r>
            <w:r w:rsidR="00FD180C" w:rsidRPr="00BD44AB">
              <w:rPr>
                <w:rFonts w:ascii="Calibri" w:eastAsia="Franklin Gothic Book" w:hAnsi="Calibri" w:cs="Calibri"/>
                <w:szCs w:val="20"/>
                <w:lang w:eastAsia="en-AU"/>
              </w:rPr>
              <w:t xml:space="preserve">Glossary of </w:t>
            </w:r>
            <w:r w:rsidR="00FD180C">
              <w:rPr>
                <w:rFonts w:ascii="Calibri" w:eastAsia="Franklin Gothic Book" w:hAnsi="Calibri" w:cs="Calibri"/>
                <w:szCs w:val="20"/>
                <w:lang w:eastAsia="en-AU"/>
              </w:rPr>
              <w:t>k</w:t>
            </w:r>
            <w:r w:rsidR="00FD180C" w:rsidRPr="00BD44AB">
              <w:rPr>
                <w:rFonts w:ascii="Calibri" w:eastAsia="Franklin Gothic Book" w:hAnsi="Calibri" w:cs="Calibri"/>
                <w:szCs w:val="20"/>
                <w:lang w:eastAsia="en-AU"/>
              </w:rPr>
              <w:t xml:space="preserve">ey </w:t>
            </w:r>
            <w:r w:rsidR="00FD180C">
              <w:rPr>
                <w:rFonts w:ascii="Calibri" w:eastAsia="Franklin Gothic Book" w:hAnsi="Calibri" w:cs="Calibri"/>
                <w:szCs w:val="20"/>
                <w:lang w:eastAsia="en-AU"/>
              </w:rPr>
              <w:t>w</w:t>
            </w:r>
            <w:r w:rsidR="00FD180C" w:rsidRPr="00BD44AB">
              <w:rPr>
                <w:rFonts w:ascii="Calibri" w:eastAsia="Franklin Gothic Book" w:hAnsi="Calibri" w:cs="Calibri"/>
                <w:szCs w:val="20"/>
                <w:lang w:eastAsia="en-AU"/>
              </w:rPr>
              <w:t xml:space="preserve">ords </w:t>
            </w:r>
            <w:r w:rsidR="00FD180C">
              <w:rPr>
                <w:rFonts w:ascii="Calibri" w:eastAsia="Franklin Gothic Book" w:hAnsi="Calibri" w:cs="Calibri"/>
                <w:szCs w:val="20"/>
                <w:lang w:eastAsia="en-AU"/>
              </w:rPr>
              <w:t xml:space="preserve">used </w:t>
            </w:r>
            <w:r w:rsidR="00FD180C" w:rsidRPr="00BD44AB">
              <w:rPr>
                <w:rFonts w:ascii="Calibri" w:eastAsia="Franklin Gothic Book" w:hAnsi="Calibri" w:cs="Calibri"/>
                <w:szCs w:val="20"/>
                <w:lang w:eastAsia="en-AU"/>
              </w:rPr>
              <w:t xml:space="preserve">in the </w:t>
            </w:r>
            <w:r w:rsidR="00FD180C">
              <w:rPr>
                <w:rFonts w:ascii="Calibri" w:eastAsia="Franklin Gothic Book" w:hAnsi="Calibri" w:cs="Calibri"/>
                <w:szCs w:val="20"/>
                <w:lang w:eastAsia="en-AU"/>
              </w:rPr>
              <w:t>f</w:t>
            </w:r>
            <w:r w:rsidR="00FD180C" w:rsidRPr="00BD44AB">
              <w:rPr>
                <w:rFonts w:ascii="Calibri" w:eastAsia="Franklin Gothic Book" w:hAnsi="Calibri" w:cs="Calibri"/>
                <w:szCs w:val="20"/>
                <w:lang w:eastAsia="en-AU"/>
              </w:rPr>
              <w:t xml:space="preserve">ormulation of </w:t>
            </w:r>
            <w:r w:rsidR="00FD180C">
              <w:rPr>
                <w:rFonts w:ascii="Calibri" w:eastAsia="Franklin Gothic Book" w:hAnsi="Calibri" w:cs="Calibri"/>
                <w:szCs w:val="20"/>
                <w:lang w:eastAsia="en-AU"/>
              </w:rPr>
              <w:t>q</w:t>
            </w:r>
            <w:r w:rsidR="00FD180C" w:rsidRPr="00BD44AB">
              <w:rPr>
                <w:rFonts w:ascii="Calibri" w:eastAsia="Franklin Gothic Book" w:hAnsi="Calibri" w:cs="Calibri"/>
                <w:szCs w:val="20"/>
                <w:lang w:eastAsia="en-AU"/>
              </w:rPr>
              <w:t xml:space="preserve">uestions </w:t>
            </w:r>
            <w:r w:rsidRPr="00BD44AB">
              <w:rPr>
                <w:rFonts w:ascii="Calibri" w:eastAsia="Franklin Gothic Book" w:hAnsi="Calibri" w:cs="Calibri"/>
                <w:szCs w:val="20"/>
                <w:lang w:eastAsia="en-AU"/>
              </w:rPr>
              <w:t>on the</w:t>
            </w:r>
            <w:r>
              <w:rPr>
                <w:rFonts w:ascii="Calibri" w:eastAsia="Franklin Gothic Book" w:hAnsi="Calibri" w:cs="Calibri"/>
                <w:szCs w:val="20"/>
                <w:lang w:eastAsia="en-AU"/>
              </w:rPr>
              <w:t xml:space="preserve"> </w:t>
            </w:r>
            <w:r w:rsidRPr="00BD44AB">
              <w:rPr>
                <w:rFonts w:ascii="Calibri" w:eastAsia="Franklin Gothic Book" w:hAnsi="Calibri" w:cs="Calibri"/>
                <w:szCs w:val="20"/>
                <w:lang w:eastAsia="en-AU"/>
              </w:rPr>
              <w:t>course page.</w:t>
            </w:r>
          </w:p>
        </w:tc>
        <w:tc>
          <w:tcPr>
            <w:tcW w:w="1325" w:type="dxa"/>
            <w:vAlign w:val="center"/>
          </w:tcPr>
          <w:p w14:paraId="62A2C892" w14:textId="32237749" w:rsidR="00CC401C" w:rsidRPr="002A460B" w:rsidRDefault="00434D6E" w:rsidP="00C841D5">
            <w:pPr>
              <w:spacing w:line="240" w:lineRule="auto"/>
              <w:jc w:val="center"/>
              <w:rPr>
                <w:rFonts w:ascii="Calibri" w:hAnsi="Calibri" w:cs="Calibri"/>
                <w:szCs w:val="24"/>
              </w:rPr>
            </w:pPr>
            <w:r w:rsidRPr="002A460B">
              <w:rPr>
                <w:rFonts w:ascii="Calibri" w:hAnsi="Calibri" w:cs="Calibri"/>
                <w:szCs w:val="24"/>
              </w:rPr>
              <w:t>20%</w:t>
            </w:r>
          </w:p>
        </w:tc>
      </w:tr>
      <w:tr w:rsidR="007766C5" w:rsidRPr="00AC45F1" w14:paraId="02B025F4" w14:textId="77777777" w:rsidTr="00E3783B">
        <w:trPr>
          <w:trHeight w:val="769"/>
        </w:trPr>
        <w:tc>
          <w:tcPr>
            <w:tcW w:w="7735" w:type="dxa"/>
          </w:tcPr>
          <w:p w14:paraId="740D14CF" w14:textId="77777777" w:rsidR="007766C5" w:rsidRPr="00C841D5" w:rsidRDefault="007766C5" w:rsidP="006E2C7B">
            <w:pPr>
              <w:spacing w:line="240" w:lineRule="auto"/>
              <w:rPr>
                <w:rFonts w:ascii="Calibri" w:eastAsia="Franklin Gothic Book" w:hAnsi="Calibri" w:cs="Calibri"/>
                <w:b/>
                <w:bCs/>
                <w:szCs w:val="20"/>
                <w:lang w:eastAsia="en-AU"/>
              </w:rPr>
            </w:pPr>
            <w:r w:rsidRPr="00C841D5">
              <w:rPr>
                <w:rFonts w:ascii="Calibri" w:eastAsia="Franklin Gothic Book" w:hAnsi="Calibri" w:cs="Calibri"/>
                <w:b/>
                <w:bCs/>
                <w:szCs w:val="20"/>
                <w:lang w:eastAsia="en-AU"/>
              </w:rPr>
              <w:t>Examination</w:t>
            </w:r>
          </w:p>
          <w:p w14:paraId="34E44D60" w14:textId="77777777" w:rsidR="007766C5" w:rsidRPr="00913AEE" w:rsidRDefault="00843F98" w:rsidP="006E2C7B">
            <w:pPr>
              <w:spacing w:line="240" w:lineRule="auto"/>
              <w:rPr>
                <w:rFonts w:ascii="Calibri" w:eastAsia="Franklin Gothic Book" w:hAnsi="Calibri" w:cs="Calibri"/>
                <w:b/>
                <w:bCs/>
                <w:szCs w:val="20"/>
                <w:lang w:eastAsia="en-AU"/>
              </w:rPr>
            </w:pPr>
            <w:r w:rsidRPr="00913AEE">
              <w:rPr>
                <w:rFonts w:ascii="Calibri" w:eastAsia="Franklin Gothic Book" w:hAnsi="Calibri" w:cs="Calibri"/>
                <w:szCs w:val="20"/>
                <w:lang w:eastAsia="en-AU"/>
              </w:rPr>
              <w:t>Typically conducted at the e</w:t>
            </w:r>
            <w:r w:rsidR="00AB7FC7" w:rsidRPr="00913AEE">
              <w:rPr>
                <w:rFonts w:ascii="Calibri" w:eastAsia="Franklin Gothic Book" w:hAnsi="Calibri" w:cs="Calibri"/>
                <w:szCs w:val="20"/>
                <w:lang w:eastAsia="en-AU"/>
              </w:rPr>
              <w:t>nd of each semester and/or unit. In preparation for Unit 3 and Unit 4, the examination should reflect the examination design brief included in the ATAR Year 12 syllabus for this course.</w:t>
            </w:r>
          </w:p>
        </w:tc>
        <w:tc>
          <w:tcPr>
            <w:tcW w:w="1325" w:type="dxa"/>
            <w:vAlign w:val="center"/>
          </w:tcPr>
          <w:p w14:paraId="35791F3D" w14:textId="1C874E89" w:rsidR="007766C5" w:rsidRPr="002A460B" w:rsidRDefault="004E7D14" w:rsidP="00C841D5">
            <w:pPr>
              <w:spacing w:line="240" w:lineRule="auto"/>
              <w:jc w:val="center"/>
              <w:rPr>
                <w:rFonts w:ascii="Calibri" w:hAnsi="Calibri" w:cs="Calibri"/>
                <w:szCs w:val="24"/>
              </w:rPr>
            </w:pPr>
            <w:r w:rsidRPr="002A460B">
              <w:rPr>
                <w:rFonts w:ascii="Calibri" w:hAnsi="Calibri" w:cs="Calibri"/>
                <w:szCs w:val="24"/>
              </w:rPr>
              <w:t>40</w:t>
            </w:r>
            <w:r w:rsidR="00843F98" w:rsidRPr="002A460B">
              <w:rPr>
                <w:rFonts w:ascii="Calibri" w:hAnsi="Calibri" w:cs="Calibri"/>
                <w:szCs w:val="24"/>
              </w:rPr>
              <w:t>%</w:t>
            </w:r>
          </w:p>
        </w:tc>
      </w:tr>
    </w:tbl>
    <w:p w14:paraId="73DFF6CF" w14:textId="77777777" w:rsidR="00AA3E8F" w:rsidRPr="00AA3E8F" w:rsidRDefault="00AA3E8F" w:rsidP="00B81823">
      <w:pPr>
        <w:spacing w:before="80" w:after="80" w:line="259" w:lineRule="auto"/>
        <w:rPr>
          <w:rFonts w:eastAsia="MS PGothic" w:cs="Mangal"/>
        </w:rPr>
      </w:pPr>
      <w:r w:rsidRPr="00AA3E8F">
        <w:rPr>
          <w:rFonts w:eastAsia="MS PGothic" w:cs="Mangal"/>
        </w:rPr>
        <w:t>Teachers must use the assessment table to develop an assessment outline for the pair of units (or for a single unit where only one is being studied).</w:t>
      </w:r>
    </w:p>
    <w:p w14:paraId="720C62F3" w14:textId="26E99FB3" w:rsidR="00AA3E8F" w:rsidRPr="00AA3E8F" w:rsidRDefault="00AA3E8F" w:rsidP="00B81823">
      <w:pPr>
        <w:spacing w:after="80" w:line="259" w:lineRule="auto"/>
        <w:rPr>
          <w:rFonts w:eastAsia="MS PGothic" w:cs="Mangal"/>
        </w:rPr>
      </w:pPr>
      <w:r w:rsidRPr="00AA3E8F">
        <w:rPr>
          <w:rFonts w:eastAsia="MS PGothic" w:cs="Mangal"/>
        </w:rPr>
        <w:t>The assessment outline must:</w:t>
      </w:r>
    </w:p>
    <w:p w14:paraId="603CF8F0" w14:textId="77777777" w:rsidR="00AA3E8F" w:rsidRPr="00C841D5" w:rsidRDefault="00AA3E8F" w:rsidP="00B81823">
      <w:pPr>
        <w:pStyle w:val="SyllabusListParagraph"/>
        <w:spacing w:after="80" w:line="259" w:lineRule="auto"/>
      </w:pPr>
      <w:r w:rsidRPr="00C841D5">
        <w:t>include a set of assessment tasks</w:t>
      </w:r>
    </w:p>
    <w:p w14:paraId="1E270859" w14:textId="77777777" w:rsidR="00AA3E8F" w:rsidRPr="00C841D5" w:rsidRDefault="00AA3E8F" w:rsidP="00B81823">
      <w:pPr>
        <w:pStyle w:val="SyllabusListParagraph"/>
        <w:spacing w:after="80" w:line="259" w:lineRule="auto"/>
      </w:pPr>
      <w:r w:rsidRPr="00C841D5">
        <w:t>include a general description of each task</w:t>
      </w:r>
    </w:p>
    <w:p w14:paraId="5A780D28" w14:textId="77777777" w:rsidR="00AA3E8F" w:rsidRPr="00C841D5" w:rsidRDefault="00AA3E8F" w:rsidP="00B81823">
      <w:pPr>
        <w:pStyle w:val="SyllabusListParagraph"/>
        <w:spacing w:after="80" w:line="259" w:lineRule="auto"/>
      </w:pPr>
      <w:r w:rsidRPr="00C841D5">
        <w:t>indicate the unit content to be assessed</w:t>
      </w:r>
    </w:p>
    <w:p w14:paraId="4A9D94AB" w14:textId="77777777" w:rsidR="00AA3E8F" w:rsidRPr="00C841D5" w:rsidRDefault="00AA3E8F" w:rsidP="00B81823">
      <w:pPr>
        <w:pStyle w:val="SyllabusListParagraph"/>
        <w:spacing w:after="80" w:line="259" w:lineRule="auto"/>
      </w:pPr>
      <w:r w:rsidRPr="00C841D5">
        <w:t>indicate a weighting for each task and each assessment type</w:t>
      </w:r>
    </w:p>
    <w:p w14:paraId="498D3BBE" w14:textId="00B6021A" w:rsidR="00AA3E8F" w:rsidRPr="00C841D5" w:rsidRDefault="00AA3E8F" w:rsidP="00B81823">
      <w:pPr>
        <w:pStyle w:val="SyllabusListParagraph"/>
        <w:spacing w:after="80" w:line="259" w:lineRule="auto"/>
      </w:pPr>
      <w:r w:rsidRPr="00C841D5">
        <w:t>include the approximate timing of each task (for example, the week the task is conducted, or the issue and submission dates for an extended task).</w:t>
      </w:r>
    </w:p>
    <w:p w14:paraId="04DA06A8" w14:textId="77777777" w:rsidR="00AA3E8F" w:rsidRPr="00AA3E8F" w:rsidRDefault="00AA3E8F" w:rsidP="006E2C7B">
      <w:pPr>
        <w:pStyle w:val="SyllabusHeading2"/>
      </w:pPr>
      <w:bookmarkStart w:id="79" w:name="_Toc32564813"/>
      <w:bookmarkStart w:id="80" w:name="_Toc32564995"/>
      <w:bookmarkStart w:id="81" w:name="_Toc32576625"/>
      <w:bookmarkStart w:id="82" w:name="_Toc80091325"/>
      <w:bookmarkStart w:id="83" w:name="_Toc114664275"/>
      <w:bookmarkStart w:id="84" w:name="_Toc173315839"/>
      <w:bookmarkStart w:id="85" w:name="_Toc175314882"/>
      <w:r w:rsidRPr="00AA3E8F">
        <w:lastRenderedPageBreak/>
        <w:t>Reporting</w:t>
      </w:r>
      <w:bookmarkEnd w:id="79"/>
      <w:bookmarkEnd w:id="80"/>
      <w:bookmarkEnd w:id="81"/>
      <w:bookmarkEnd w:id="82"/>
      <w:bookmarkEnd w:id="83"/>
      <w:bookmarkEnd w:id="84"/>
      <w:bookmarkEnd w:id="85"/>
    </w:p>
    <w:p w14:paraId="3B3E1361" w14:textId="77777777" w:rsidR="00AA3E8F" w:rsidRPr="00AA3E8F" w:rsidRDefault="00AA3E8F" w:rsidP="00AC45F1">
      <w:pPr>
        <w:spacing w:before="120"/>
        <w:rPr>
          <w:rFonts w:eastAsia="MS PGothic" w:cs="Mangal"/>
        </w:rPr>
      </w:pPr>
      <w:r w:rsidRPr="00AA3E8F">
        <w:rPr>
          <w:rFonts w:eastAsia="MS PGothic" w:cs="Mangal"/>
        </w:rPr>
        <w:t>Schools report student achievement, underpinned by a set of pre-determined standards, using the following grades:</w:t>
      </w:r>
    </w:p>
    <w:tbl>
      <w:tblPr>
        <w:tblStyle w:val="LightList-Accent4"/>
        <w:tblW w:w="0" w:type="auto"/>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Layout w:type="fixed"/>
        <w:tblCellMar>
          <w:top w:w="57" w:type="dxa"/>
          <w:bottom w:w="57" w:type="dxa"/>
        </w:tblCellMar>
        <w:tblLook w:val="00A0" w:firstRow="1" w:lastRow="0" w:firstColumn="1" w:lastColumn="0" w:noHBand="0" w:noVBand="0"/>
      </w:tblPr>
      <w:tblGrid>
        <w:gridCol w:w="722"/>
        <w:gridCol w:w="2267"/>
      </w:tblGrid>
      <w:tr w:rsidR="00AA3E8F" w:rsidRPr="00AA3E8F" w14:paraId="607858D7" w14:textId="77777777" w:rsidTr="00AA3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right w:val="single" w:sz="4" w:space="0" w:color="FFFFFF"/>
            </w:tcBorders>
            <w:shd w:val="clear" w:color="auto" w:fill="9A83B5"/>
          </w:tcPr>
          <w:p w14:paraId="577A3A7E" w14:textId="77777777" w:rsidR="00AA3E8F" w:rsidRPr="00AA3E8F" w:rsidRDefault="00AA3E8F" w:rsidP="00AA3E8F">
            <w:pPr>
              <w:rPr>
                <w:rFonts w:ascii="Calibri" w:eastAsia="MS PGothic" w:hAnsi="Calibri" w:cs="Mangal"/>
                <w:color w:val="FFFFFF"/>
                <w:szCs w:val="20"/>
              </w:rPr>
            </w:pPr>
            <w:r w:rsidRPr="00AA3E8F">
              <w:rPr>
                <w:rFonts w:ascii="Calibri" w:eastAsia="MS PGothic" w:hAnsi="Calibri" w:cs="Mangal"/>
                <w:color w:val="FFFFFF"/>
                <w:szCs w:val="20"/>
              </w:rPr>
              <w:t>Grade</w:t>
            </w:r>
          </w:p>
        </w:tc>
        <w:tc>
          <w:tcPr>
            <w:cnfStyle w:val="000010000000" w:firstRow="0" w:lastRow="0" w:firstColumn="0" w:lastColumn="0" w:oddVBand="1" w:evenVBand="0" w:oddHBand="0" w:evenHBand="0" w:firstRowFirstColumn="0" w:firstRowLastColumn="0" w:lastRowFirstColumn="0" w:lastRowLastColumn="0"/>
            <w:tcW w:w="2267" w:type="dxa"/>
            <w:tcBorders>
              <w:left w:val="single" w:sz="4" w:space="0" w:color="FFFFFF"/>
            </w:tcBorders>
            <w:shd w:val="clear" w:color="auto" w:fill="9A83B5"/>
          </w:tcPr>
          <w:p w14:paraId="0722CDD7" w14:textId="77777777" w:rsidR="00AA3E8F" w:rsidRPr="00AA3E8F" w:rsidRDefault="00AA3E8F" w:rsidP="00AA3E8F">
            <w:pPr>
              <w:rPr>
                <w:rFonts w:ascii="Calibri" w:eastAsia="MS PGothic" w:hAnsi="Calibri" w:cs="Mangal"/>
                <w:color w:val="FFFFFF"/>
                <w:szCs w:val="20"/>
              </w:rPr>
            </w:pPr>
            <w:r w:rsidRPr="00AA3E8F">
              <w:rPr>
                <w:rFonts w:ascii="Calibri" w:eastAsia="MS PGothic" w:hAnsi="Calibri" w:cs="Mangal"/>
                <w:color w:val="FFFFFF"/>
                <w:szCs w:val="20"/>
              </w:rPr>
              <w:t>Interpretation</w:t>
            </w:r>
          </w:p>
        </w:tc>
      </w:tr>
      <w:tr w:rsidR="00AA3E8F" w:rsidRPr="00AA3E8F" w14:paraId="427ADCFB" w14:textId="77777777" w:rsidTr="00BC3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65EB23D0" w14:textId="77777777" w:rsidR="00AA3E8F" w:rsidRPr="00FE5E8A" w:rsidRDefault="00AA3E8F" w:rsidP="00AA3E8F">
            <w:pPr>
              <w:rPr>
                <w:rFonts w:ascii="Calibri" w:eastAsia="MS PGothic" w:hAnsi="Calibri" w:cs="Mangal"/>
                <w:sz w:val="20"/>
                <w:szCs w:val="20"/>
              </w:rPr>
            </w:pPr>
            <w:r w:rsidRPr="00FE5E8A">
              <w:rPr>
                <w:rFonts w:ascii="Calibri" w:eastAsia="MS PGothic" w:hAnsi="Calibri" w:cs="Mangal"/>
                <w:sz w:val="20"/>
                <w:szCs w:val="20"/>
              </w:rPr>
              <w:t>A</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08C9D847" w14:textId="77777777" w:rsidR="00AA3E8F" w:rsidRPr="00AA3E8F" w:rsidRDefault="00AA3E8F" w:rsidP="00AA3E8F">
            <w:pPr>
              <w:rPr>
                <w:rFonts w:ascii="Calibri" w:eastAsia="MS PGothic" w:hAnsi="Calibri" w:cs="Mangal"/>
                <w:sz w:val="20"/>
                <w:szCs w:val="20"/>
              </w:rPr>
            </w:pPr>
            <w:r w:rsidRPr="00AA3E8F">
              <w:rPr>
                <w:rFonts w:ascii="Calibri" w:eastAsia="MS PGothic" w:hAnsi="Calibri" w:cs="Mangal"/>
                <w:sz w:val="20"/>
                <w:szCs w:val="20"/>
              </w:rPr>
              <w:t>Excellent achievement</w:t>
            </w:r>
          </w:p>
        </w:tc>
      </w:tr>
      <w:tr w:rsidR="00AA3E8F" w:rsidRPr="00AA3E8F" w14:paraId="01ED850F" w14:textId="77777777" w:rsidTr="00BC3B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7E7C6411" w14:textId="77777777" w:rsidR="00AA3E8F" w:rsidRPr="00FE5E8A" w:rsidRDefault="00AA3E8F" w:rsidP="00AA3E8F">
            <w:pPr>
              <w:rPr>
                <w:rFonts w:ascii="Calibri" w:eastAsia="MS PGothic" w:hAnsi="Calibri" w:cs="Mangal"/>
                <w:sz w:val="20"/>
                <w:szCs w:val="20"/>
              </w:rPr>
            </w:pPr>
            <w:r w:rsidRPr="00FE5E8A">
              <w:rPr>
                <w:rFonts w:ascii="Calibri" w:eastAsia="MS PGothic" w:hAnsi="Calibri" w:cs="Mangal"/>
                <w:sz w:val="20"/>
                <w:szCs w:val="20"/>
              </w:rPr>
              <w:t>B</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0517ED0B" w14:textId="77777777" w:rsidR="00AA3E8F" w:rsidRPr="00AA3E8F" w:rsidRDefault="00AA3E8F" w:rsidP="00AA3E8F">
            <w:pPr>
              <w:rPr>
                <w:rFonts w:ascii="Calibri" w:eastAsia="MS PGothic" w:hAnsi="Calibri" w:cs="Mangal"/>
                <w:sz w:val="20"/>
                <w:szCs w:val="20"/>
              </w:rPr>
            </w:pPr>
            <w:r w:rsidRPr="00AA3E8F">
              <w:rPr>
                <w:rFonts w:ascii="Calibri" w:eastAsia="MS PGothic" w:hAnsi="Calibri" w:cs="Mangal"/>
                <w:sz w:val="20"/>
                <w:szCs w:val="20"/>
              </w:rPr>
              <w:t>High achievement</w:t>
            </w:r>
          </w:p>
        </w:tc>
      </w:tr>
      <w:tr w:rsidR="00AA3E8F" w:rsidRPr="00AA3E8F" w14:paraId="18E7C941" w14:textId="77777777" w:rsidTr="00BC3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10163D8F" w14:textId="77777777" w:rsidR="00AA3E8F" w:rsidRPr="00FE5E8A" w:rsidRDefault="00AA3E8F" w:rsidP="00AA3E8F">
            <w:pPr>
              <w:rPr>
                <w:rFonts w:ascii="Calibri" w:eastAsia="MS PGothic" w:hAnsi="Calibri" w:cs="Mangal"/>
                <w:sz w:val="20"/>
                <w:szCs w:val="20"/>
              </w:rPr>
            </w:pPr>
            <w:r w:rsidRPr="00FE5E8A">
              <w:rPr>
                <w:rFonts w:ascii="Calibri" w:eastAsia="MS PGothic" w:hAnsi="Calibri" w:cs="Mangal"/>
                <w:sz w:val="20"/>
                <w:szCs w:val="20"/>
              </w:rPr>
              <w:t>C</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404457C4" w14:textId="77777777" w:rsidR="00AA3E8F" w:rsidRPr="00AA3E8F" w:rsidRDefault="00AA3E8F" w:rsidP="00AA3E8F">
            <w:pPr>
              <w:rPr>
                <w:rFonts w:ascii="Calibri" w:eastAsia="MS PGothic" w:hAnsi="Calibri" w:cs="Mangal"/>
                <w:sz w:val="20"/>
                <w:szCs w:val="20"/>
              </w:rPr>
            </w:pPr>
            <w:r w:rsidRPr="00AA3E8F">
              <w:rPr>
                <w:rFonts w:ascii="Calibri" w:eastAsia="MS PGothic" w:hAnsi="Calibri" w:cs="Mangal"/>
                <w:sz w:val="20"/>
                <w:szCs w:val="20"/>
              </w:rPr>
              <w:t>Satisfactory achievement</w:t>
            </w:r>
          </w:p>
        </w:tc>
      </w:tr>
      <w:tr w:rsidR="00AA3E8F" w:rsidRPr="00AA3E8F" w14:paraId="5E80DA9D" w14:textId="77777777" w:rsidTr="00BC3B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14:paraId="0F208E4B" w14:textId="77777777" w:rsidR="00AA3E8F" w:rsidRPr="00FE5E8A" w:rsidRDefault="00AA3E8F" w:rsidP="00AA3E8F">
            <w:pPr>
              <w:rPr>
                <w:rFonts w:ascii="Calibri" w:eastAsia="MS PGothic" w:hAnsi="Calibri" w:cs="Mangal"/>
                <w:sz w:val="20"/>
                <w:szCs w:val="20"/>
              </w:rPr>
            </w:pPr>
            <w:r w:rsidRPr="00FE5E8A">
              <w:rPr>
                <w:rFonts w:ascii="Calibri" w:eastAsia="MS PGothic" w:hAnsi="Calibri" w:cs="Mangal"/>
                <w:sz w:val="20"/>
                <w:szCs w:val="20"/>
              </w:rPr>
              <w:t>D</w:t>
            </w:r>
          </w:p>
        </w:tc>
        <w:tc>
          <w:tcPr>
            <w:cnfStyle w:val="000010000000" w:firstRow="0" w:lastRow="0" w:firstColumn="0" w:lastColumn="0" w:oddVBand="1" w:evenVBand="0" w:oddHBand="0" w:evenHBand="0" w:firstRowFirstColumn="0" w:firstRowLastColumn="0" w:lastRowFirstColumn="0" w:lastRowLastColumn="0"/>
            <w:tcW w:w="2267" w:type="dxa"/>
            <w:tcBorders>
              <w:left w:val="none" w:sz="0" w:space="0" w:color="auto"/>
              <w:right w:val="none" w:sz="0" w:space="0" w:color="auto"/>
            </w:tcBorders>
          </w:tcPr>
          <w:p w14:paraId="6EFF9841" w14:textId="77777777" w:rsidR="00AA3E8F" w:rsidRPr="00AA3E8F" w:rsidRDefault="00AA3E8F" w:rsidP="00AA3E8F">
            <w:pPr>
              <w:rPr>
                <w:rFonts w:ascii="Calibri" w:eastAsia="MS PGothic" w:hAnsi="Calibri" w:cs="Mangal"/>
                <w:sz w:val="20"/>
                <w:szCs w:val="20"/>
              </w:rPr>
            </w:pPr>
            <w:r w:rsidRPr="00AA3E8F">
              <w:rPr>
                <w:rFonts w:ascii="Calibri" w:eastAsia="MS PGothic" w:hAnsi="Calibri" w:cs="Mangal"/>
                <w:sz w:val="20"/>
                <w:szCs w:val="20"/>
              </w:rPr>
              <w:t>Limited achievement</w:t>
            </w:r>
          </w:p>
        </w:tc>
      </w:tr>
      <w:tr w:rsidR="00AA3E8F" w:rsidRPr="00AA3E8F" w14:paraId="28CA9714" w14:textId="77777777" w:rsidTr="00BC3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none" w:sz="0" w:space="0" w:color="auto"/>
              <w:left w:val="none" w:sz="0" w:space="0" w:color="auto"/>
              <w:bottom w:val="none" w:sz="0" w:space="0" w:color="auto"/>
            </w:tcBorders>
          </w:tcPr>
          <w:p w14:paraId="104FB38C" w14:textId="77777777" w:rsidR="00AA3E8F" w:rsidRPr="00FE5E8A" w:rsidRDefault="00AA3E8F" w:rsidP="00AA3E8F">
            <w:pPr>
              <w:rPr>
                <w:rFonts w:ascii="Calibri" w:eastAsia="MS PGothic" w:hAnsi="Calibri" w:cs="Mangal"/>
                <w:sz w:val="20"/>
                <w:szCs w:val="20"/>
              </w:rPr>
            </w:pPr>
            <w:r w:rsidRPr="00FE5E8A">
              <w:rPr>
                <w:rFonts w:ascii="Calibri" w:eastAsia="MS PGothic" w:hAnsi="Calibri" w:cs="Mangal"/>
                <w:sz w:val="20"/>
                <w:szCs w:val="20"/>
              </w:rPr>
              <w:t>E</w:t>
            </w:r>
          </w:p>
        </w:tc>
        <w:tc>
          <w:tcPr>
            <w:cnfStyle w:val="000010000000" w:firstRow="0" w:lastRow="0" w:firstColumn="0" w:lastColumn="0" w:oddVBand="1" w:evenVBand="0" w:oddHBand="0" w:evenHBand="0" w:firstRowFirstColumn="0" w:firstRowLastColumn="0" w:lastRowFirstColumn="0" w:lastRowLastColumn="0"/>
            <w:tcW w:w="2267" w:type="dxa"/>
            <w:tcBorders>
              <w:top w:val="none" w:sz="0" w:space="0" w:color="auto"/>
              <w:left w:val="none" w:sz="0" w:space="0" w:color="auto"/>
              <w:bottom w:val="none" w:sz="0" w:space="0" w:color="auto"/>
              <w:right w:val="none" w:sz="0" w:space="0" w:color="auto"/>
            </w:tcBorders>
          </w:tcPr>
          <w:p w14:paraId="5CA7B4A9" w14:textId="77777777" w:rsidR="00AA3E8F" w:rsidRPr="00AA3E8F" w:rsidRDefault="00AA3E8F" w:rsidP="00AA3E8F">
            <w:pPr>
              <w:rPr>
                <w:rFonts w:ascii="Calibri" w:eastAsia="MS PGothic" w:hAnsi="Calibri" w:cs="Mangal"/>
                <w:sz w:val="20"/>
                <w:szCs w:val="20"/>
              </w:rPr>
            </w:pPr>
            <w:r w:rsidRPr="00AA3E8F">
              <w:rPr>
                <w:rFonts w:ascii="Calibri" w:eastAsia="MS PGothic" w:hAnsi="Calibri" w:cs="Mangal"/>
                <w:sz w:val="20"/>
                <w:szCs w:val="20"/>
              </w:rPr>
              <w:t>Very low achievement</w:t>
            </w:r>
          </w:p>
        </w:tc>
      </w:tr>
    </w:tbl>
    <w:p w14:paraId="7F12B261" w14:textId="3930659C" w:rsidR="00AA3E8F" w:rsidRPr="00AA3E8F" w:rsidRDefault="00AA3E8F" w:rsidP="00AC45F1">
      <w:pPr>
        <w:spacing w:before="240"/>
        <w:rPr>
          <w:rFonts w:eastAsia="Times New Roman" w:cs="Times New Roman"/>
        </w:rPr>
      </w:pPr>
      <w:r w:rsidRPr="00AA3E8F">
        <w:rPr>
          <w:rFonts w:eastAsia="MS PGothic" w:cs="Mangal"/>
        </w:rPr>
        <w:t xml:space="preserve">The grade descriptions for the Aboriginal and Intercultural Studies </w:t>
      </w:r>
      <w:r>
        <w:rPr>
          <w:rFonts w:eastAsia="MS PGothic" w:cs="Mangal"/>
        </w:rPr>
        <w:t xml:space="preserve">ATAR </w:t>
      </w:r>
      <w:r w:rsidRPr="00AA3E8F">
        <w:rPr>
          <w:rFonts w:eastAsia="MS PGothic" w:cs="Mangal"/>
        </w:rPr>
        <w:t>Year 11 syllabus are provided in Appendix 1. They are used to support the allocation of a grade. They can also be accessed</w:t>
      </w:r>
      <w:r>
        <w:rPr>
          <w:rFonts w:eastAsia="MS PGothic" w:cs="Mangal"/>
        </w:rPr>
        <w:t xml:space="preserve"> o</w:t>
      </w:r>
      <w:r w:rsidRPr="00AA3E8F">
        <w:rPr>
          <w:rFonts w:eastAsia="MS PGothic" w:cs="Mangal"/>
        </w:rPr>
        <w:t xml:space="preserve">n the </w:t>
      </w:r>
      <w:r w:rsidRPr="00AA3E8F">
        <w:rPr>
          <w:rFonts w:eastAsia="Times New Roman" w:cs="Calibri"/>
          <w:szCs w:val="26"/>
        </w:rPr>
        <w:t xml:space="preserve">course page of the </w:t>
      </w:r>
      <w:r w:rsidRPr="00AA3E8F">
        <w:rPr>
          <w:rFonts w:eastAsia="MS PGothic" w:cs="Mangal"/>
        </w:rPr>
        <w:t xml:space="preserve">Authority website at </w:t>
      </w:r>
      <w:hyperlink r:id="rId14" w:history="1">
        <w:r w:rsidRPr="00AA3E8F">
          <w:rPr>
            <w:rFonts w:eastAsia="MS PGothic" w:cs="Mangal"/>
            <w:color w:val="580F8B"/>
            <w:u w:val="single"/>
          </w:rPr>
          <w:t>www.scsa.wa.edu.au</w:t>
        </w:r>
      </w:hyperlink>
      <w:r w:rsidRPr="00AA3E8F">
        <w:rPr>
          <w:rFonts w:eastAsia="Times New Roman" w:cs="Calibri"/>
          <w:szCs w:val="26"/>
        </w:rPr>
        <w:t>.</w:t>
      </w:r>
    </w:p>
    <w:p w14:paraId="0B522475" w14:textId="77777777" w:rsidR="00AA3E8F" w:rsidRPr="00AA3E8F" w:rsidRDefault="00AA3E8F" w:rsidP="00AC45F1">
      <w:pPr>
        <w:spacing w:before="120"/>
        <w:rPr>
          <w:rFonts w:eastAsia="MS PGothic" w:cs="Mangal"/>
        </w:rPr>
      </w:pPr>
      <w:r w:rsidRPr="00AA3E8F">
        <w:rPr>
          <w:rFonts w:eastAsia="MS PGothic" w:cs="Mangal"/>
        </w:rPr>
        <w:t>To be assigned a grade, a student must have had the opportunity to complete the education program, including the assessment program (unless the school accepts that there are exceptional and justifiable circumstances).</w:t>
      </w:r>
    </w:p>
    <w:p w14:paraId="694D61A9" w14:textId="77777777" w:rsidR="00AA3E8F" w:rsidRPr="00AA3E8F" w:rsidRDefault="00AA3E8F" w:rsidP="00AC45F1">
      <w:pPr>
        <w:spacing w:before="120"/>
        <w:rPr>
          <w:rFonts w:eastAsia="MS PGothic" w:cs="Mangal"/>
        </w:rPr>
      </w:pPr>
      <w:r w:rsidRPr="00AA3E8F">
        <w:rPr>
          <w:rFonts w:eastAsia="MS PGothic" w:cs="Mangal"/>
        </w:rPr>
        <w:t xml:space="preserve">Refer to the </w:t>
      </w:r>
      <w:r w:rsidRPr="00AA3E8F">
        <w:rPr>
          <w:rFonts w:eastAsia="MS PGothic" w:cs="Mangal"/>
          <w:i/>
        </w:rPr>
        <w:t>WACE Manual</w:t>
      </w:r>
      <w:r w:rsidRPr="00AA3E8F">
        <w:rPr>
          <w:rFonts w:eastAsia="MS PGothic" w:cs="Mangal"/>
        </w:rPr>
        <w:t xml:space="preserve"> for further information about the use of a ranked list in the process of assigning grades.</w:t>
      </w:r>
    </w:p>
    <w:p w14:paraId="120EA2EB" w14:textId="2F340AA8" w:rsidR="00D5088E" w:rsidRDefault="00AA3E8F" w:rsidP="00AC45F1">
      <w:pPr>
        <w:rPr>
          <w:rFonts w:eastAsia="MS PGothic"/>
        </w:rPr>
      </w:pPr>
      <w:r w:rsidRPr="00D5088E">
        <w:rPr>
          <w:rFonts w:eastAsia="MS PGothic"/>
        </w:rPr>
        <w:t>The grade is determined by reference to the standard, not allocated on the basis of a pre</w:t>
      </w:r>
      <w:r w:rsidRPr="00D5088E">
        <w:rPr>
          <w:rFonts w:eastAsia="MS PGothic"/>
        </w:rPr>
        <w:noBreakHyphen/>
        <w:t>determined range of marks (cut-</w:t>
      </w:r>
      <w:r w:rsidR="00CF6E19" w:rsidRPr="00D5088E">
        <w:rPr>
          <w:rFonts w:eastAsia="MS PGothic"/>
        </w:rPr>
        <w:t>offs).</w:t>
      </w:r>
      <w:bookmarkStart w:id="86" w:name="_Toc358372267"/>
      <w:bookmarkEnd w:id="78"/>
    </w:p>
    <w:p w14:paraId="0BB3609F" w14:textId="45E001FC" w:rsidR="009A557C" w:rsidRDefault="009A557C">
      <w:pPr>
        <w:rPr>
          <w:rFonts w:eastAsia="MS PGothic"/>
        </w:rPr>
      </w:pPr>
      <w:r>
        <w:rPr>
          <w:rFonts w:eastAsia="MS PGothic"/>
        </w:rPr>
        <w:br w:type="page"/>
      </w:r>
    </w:p>
    <w:p w14:paraId="53782D9B" w14:textId="50AA6B63" w:rsidR="0010526A" w:rsidRPr="0010526A" w:rsidRDefault="000830BD" w:rsidP="006E2C7B">
      <w:pPr>
        <w:pStyle w:val="SyllabusAppendixHeading1"/>
      </w:pPr>
      <w:bookmarkStart w:id="87" w:name="_Toc173315840"/>
      <w:bookmarkStart w:id="88" w:name="_Toc175314883"/>
      <w:r w:rsidRPr="00D5088E">
        <w:lastRenderedPageBreak/>
        <w:t xml:space="preserve">Appendix 1 – </w:t>
      </w:r>
      <w:r w:rsidR="007766C5" w:rsidRPr="00D5088E">
        <w:t>Grade descriptions</w:t>
      </w:r>
      <w:bookmarkEnd w:id="86"/>
      <w:r w:rsidR="007766C5" w:rsidRPr="00D5088E">
        <w:t xml:space="preserve"> Year 11</w:t>
      </w:r>
      <w:bookmarkEnd w:id="87"/>
      <w:bookmarkEnd w:id="88"/>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3"/>
        <w:gridCol w:w="8107"/>
      </w:tblGrid>
      <w:tr w:rsidR="007A10C7" w:rsidRPr="00A93F91" w14:paraId="4D2088D1" w14:textId="77777777" w:rsidTr="00E3027E">
        <w:trPr>
          <w:trHeight w:val="1002"/>
        </w:trPr>
        <w:tc>
          <w:tcPr>
            <w:tcW w:w="993" w:type="dxa"/>
            <w:vMerge w:val="restart"/>
            <w:shd w:val="clear" w:color="auto" w:fill="9983B5"/>
            <w:vAlign w:val="center"/>
          </w:tcPr>
          <w:p w14:paraId="4AD0C03C" w14:textId="77777777" w:rsidR="007A10C7" w:rsidRPr="000B3683" w:rsidRDefault="007A10C7" w:rsidP="00CE6E4D">
            <w:pPr>
              <w:spacing w:after="0" w:line="240" w:lineRule="auto"/>
              <w:jc w:val="center"/>
              <w:rPr>
                <w:rFonts w:cs="Arial"/>
                <w:b/>
                <w:color w:val="FFFFFF" w:themeColor="background1"/>
                <w:sz w:val="40"/>
                <w:szCs w:val="40"/>
              </w:rPr>
            </w:pPr>
            <w:r w:rsidRPr="000830BD">
              <w:rPr>
                <w:rFonts w:cs="Arial"/>
                <w:b/>
                <w:color w:val="FFFFFF" w:themeColor="background1"/>
                <w:sz w:val="40"/>
                <w:szCs w:val="40"/>
              </w:rPr>
              <w:t>A</w:t>
            </w:r>
          </w:p>
        </w:tc>
        <w:tc>
          <w:tcPr>
            <w:tcW w:w="8788" w:type="dxa"/>
          </w:tcPr>
          <w:p w14:paraId="6666206D" w14:textId="67955F05" w:rsidR="00D66B8D" w:rsidRPr="00F1452C" w:rsidRDefault="00A75490" w:rsidP="003D138B">
            <w:pPr>
              <w:rPr>
                <w:rFonts w:cs="Arial"/>
                <w:b/>
                <w:bCs/>
                <w:sz w:val="20"/>
                <w:szCs w:val="20"/>
              </w:rPr>
            </w:pPr>
            <w:r w:rsidRPr="00D5088E">
              <w:rPr>
                <w:rFonts w:cs="Arial"/>
                <w:b/>
                <w:bCs/>
                <w:sz w:val="20"/>
                <w:szCs w:val="20"/>
              </w:rPr>
              <w:t>Knowledge and understanding</w:t>
            </w:r>
          </w:p>
          <w:p w14:paraId="456BA187" w14:textId="20B62DD8" w:rsidR="00D66B8D" w:rsidRPr="008464E6" w:rsidRDefault="00D66B8D" w:rsidP="003D138B">
            <w:pPr>
              <w:spacing w:after="0"/>
              <w:rPr>
                <w:rFonts w:ascii="NotoSans" w:hAnsi="NotoSans" w:cs="NotoSans"/>
                <w:color w:val="292B2C"/>
              </w:rPr>
            </w:pPr>
            <w:r w:rsidRPr="00F1452C">
              <w:rPr>
                <w:rFonts w:cs="Calibri"/>
                <w:sz w:val="20"/>
                <w:szCs w:val="20"/>
              </w:rPr>
              <w:t xml:space="preserve">Presents detailed </w:t>
            </w:r>
            <w:r w:rsidR="00AB7951">
              <w:rPr>
                <w:rFonts w:cs="Calibri"/>
                <w:sz w:val="20"/>
                <w:szCs w:val="20"/>
              </w:rPr>
              <w:t xml:space="preserve">discussions and </w:t>
            </w:r>
            <w:r w:rsidRPr="00F1452C">
              <w:rPr>
                <w:rFonts w:cs="Calibri"/>
                <w:sz w:val="20"/>
                <w:szCs w:val="20"/>
              </w:rPr>
              <w:t xml:space="preserve">explanations of evidence, ideas and concepts </w:t>
            </w:r>
            <w:r w:rsidR="00AB7951">
              <w:rPr>
                <w:rFonts w:cs="Calibri"/>
                <w:sz w:val="20"/>
                <w:szCs w:val="20"/>
              </w:rPr>
              <w:t>about</w:t>
            </w:r>
            <w:r w:rsidRPr="00F1452C">
              <w:rPr>
                <w:rFonts w:cs="Calibri"/>
                <w:sz w:val="20"/>
                <w:szCs w:val="20"/>
              </w:rPr>
              <w:t xml:space="preserve"> </w:t>
            </w:r>
            <w:r w:rsidR="0013065D" w:rsidRPr="00F1452C">
              <w:rPr>
                <w:rFonts w:cs="Calibri"/>
                <w:sz w:val="20"/>
                <w:szCs w:val="20"/>
              </w:rPr>
              <w:t xml:space="preserve">the distinctiveness and diversity of First Nations Peoples’ identities, cultures, experiences, </w:t>
            </w:r>
            <w:r w:rsidR="00A9789E">
              <w:rPr>
                <w:rFonts w:cs="Calibri"/>
                <w:sz w:val="20"/>
                <w:szCs w:val="20"/>
              </w:rPr>
              <w:t xml:space="preserve">heritage, </w:t>
            </w:r>
            <w:r w:rsidR="0013065D" w:rsidRPr="00F1452C">
              <w:rPr>
                <w:rFonts w:cs="Calibri"/>
                <w:sz w:val="20"/>
                <w:szCs w:val="20"/>
              </w:rPr>
              <w:t>perspectives and cultural expressions.</w:t>
            </w:r>
          </w:p>
        </w:tc>
      </w:tr>
      <w:tr w:rsidR="00385410" w:rsidRPr="00A93F91" w14:paraId="602414B3" w14:textId="77777777" w:rsidTr="00E3027E">
        <w:tc>
          <w:tcPr>
            <w:tcW w:w="993" w:type="dxa"/>
            <w:vMerge/>
            <w:shd w:val="clear" w:color="auto" w:fill="9983B5"/>
          </w:tcPr>
          <w:p w14:paraId="6DD78A8E" w14:textId="77777777" w:rsidR="00385410" w:rsidRPr="00A93F91" w:rsidRDefault="00385410" w:rsidP="00CE6E4D">
            <w:pPr>
              <w:spacing w:line="240" w:lineRule="auto"/>
              <w:rPr>
                <w:rFonts w:cs="Arial"/>
                <w:color w:val="000000"/>
                <w:sz w:val="16"/>
                <w:szCs w:val="16"/>
              </w:rPr>
            </w:pPr>
          </w:p>
        </w:tc>
        <w:tc>
          <w:tcPr>
            <w:tcW w:w="8788" w:type="dxa"/>
          </w:tcPr>
          <w:p w14:paraId="1E49F927" w14:textId="77777777" w:rsidR="00385410" w:rsidRDefault="00385410" w:rsidP="003D138B">
            <w:pPr>
              <w:rPr>
                <w:rFonts w:cs="Arial"/>
                <w:b/>
                <w:sz w:val="20"/>
                <w:szCs w:val="20"/>
              </w:rPr>
            </w:pPr>
            <w:r w:rsidRPr="00A55B96">
              <w:rPr>
                <w:rFonts w:cs="Arial"/>
                <w:b/>
                <w:sz w:val="20"/>
                <w:szCs w:val="20"/>
              </w:rPr>
              <w:t>Intercultural terminology</w:t>
            </w:r>
          </w:p>
          <w:p w14:paraId="00EB5B8E" w14:textId="307BC767" w:rsidR="00385410" w:rsidRPr="009D7425" w:rsidRDefault="00385410" w:rsidP="003D138B">
            <w:pPr>
              <w:spacing w:after="0"/>
              <w:rPr>
                <w:rFonts w:cs="Arial"/>
                <w:color w:val="000000"/>
                <w:sz w:val="20"/>
                <w:szCs w:val="20"/>
              </w:rPr>
            </w:pPr>
            <w:r>
              <w:rPr>
                <w:rFonts w:cs="Arial"/>
                <w:sz w:val="20"/>
                <w:szCs w:val="20"/>
              </w:rPr>
              <w:t>Selects and applies</w:t>
            </w:r>
            <w:r w:rsidR="00452FE7">
              <w:rPr>
                <w:rFonts w:cs="Arial"/>
                <w:sz w:val="20"/>
                <w:szCs w:val="20"/>
              </w:rPr>
              <w:t xml:space="preserve"> </w:t>
            </w:r>
            <w:r>
              <w:rPr>
                <w:rFonts w:cs="Arial"/>
                <w:sz w:val="20"/>
                <w:szCs w:val="20"/>
              </w:rPr>
              <w:t>culturally responsive terminology and concepts to develop comprehensive, accurate and relevant responses.</w:t>
            </w:r>
          </w:p>
        </w:tc>
      </w:tr>
      <w:tr w:rsidR="00385410" w:rsidRPr="00A93F91" w14:paraId="3FFA36EB" w14:textId="77777777" w:rsidTr="00E3027E">
        <w:tc>
          <w:tcPr>
            <w:tcW w:w="993" w:type="dxa"/>
            <w:vMerge/>
            <w:shd w:val="clear" w:color="auto" w:fill="9983B5"/>
          </w:tcPr>
          <w:p w14:paraId="633B071F" w14:textId="77777777" w:rsidR="00385410" w:rsidRPr="00A93F91" w:rsidRDefault="00385410" w:rsidP="00CE6E4D">
            <w:pPr>
              <w:spacing w:line="240" w:lineRule="auto"/>
              <w:rPr>
                <w:rFonts w:cs="Arial"/>
                <w:color w:val="000000"/>
                <w:sz w:val="16"/>
                <w:szCs w:val="16"/>
              </w:rPr>
            </w:pPr>
          </w:p>
        </w:tc>
        <w:tc>
          <w:tcPr>
            <w:tcW w:w="8788" w:type="dxa"/>
          </w:tcPr>
          <w:p w14:paraId="4E0D7CB8" w14:textId="77777777" w:rsidR="009E363F" w:rsidRPr="00401399" w:rsidRDefault="009E363F" w:rsidP="003D138B">
            <w:pPr>
              <w:rPr>
                <w:rFonts w:cs="Arial"/>
                <w:b/>
                <w:sz w:val="20"/>
                <w:szCs w:val="20"/>
              </w:rPr>
            </w:pPr>
            <w:r w:rsidRPr="00401399">
              <w:rPr>
                <w:rFonts w:cs="Arial"/>
                <w:b/>
                <w:sz w:val="20"/>
                <w:szCs w:val="20"/>
              </w:rPr>
              <w:t>Intercultural skills</w:t>
            </w:r>
          </w:p>
          <w:p w14:paraId="019807EE" w14:textId="4104C126" w:rsidR="008464E6" w:rsidRPr="008464E6" w:rsidRDefault="00385410" w:rsidP="003D138B">
            <w:pPr>
              <w:rPr>
                <w:rFonts w:cs="Arial"/>
                <w:sz w:val="20"/>
                <w:szCs w:val="20"/>
              </w:rPr>
            </w:pPr>
            <w:r w:rsidRPr="00181376">
              <w:rPr>
                <w:rFonts w:cs="Arial"/>
                <w:sz w:val="20"/>
                <w:szCs w:val="20"/>
              </w:rPr>
              <w:t>Draws</w:t>
            </w:r>
            <w:r w:rsidRPr="008464E6">
              <w:rPr>
                <w:rFonts w:cs="Arial"/>
                <w:sz w:val="20"/>
                <w:szCs w:val="20"/>
              </w:rPr>
              <w:t xml:space="preserve"> detailed and relevant conclusions using a </w:t>
            </w:r>
            <w:r w:rsidR="001635AE" w:rsidRPr="008464E6">
              <w:rPr>
                <w:rFonts w:cs="Arial"/>
                <w:sz w:val="20"/>
                <w:szCs w:val="20"/>
              </w:rPr>
              <w:t xml:space="preserve">wide </w:t>
            </w:r>
            <w:r w:rsidRPr="008464E6">
              <w:rPr>
                <w:rFonts w:cs="Arial"/>
                <w:sz w:val="20"/>
                <w:szCs w:val="20"/>
              </w:rPr>
              <w:t>range of supporting evidence</w:t>
            </w:r>
            <w:r w:rsidR="00C34FE9" w:rsidRPr="008464E6">
              <w:rPr>
                <w:rFonts w:cs="Arial"/>
                <w:sz w:val="20"/>
                <w:szCs w:val="20"/>
              </w:rPr>
              <w:t xml:space="preserve"> that</w:t>
            </w:r>
            <w:r w:rsidRPr="008464E6">
              <w:rPr>
                <w:rFonts w:cs="Arial"/>
                <w:sz w:val="20"/>
                <w:szCs w:val="20"/>
              </w:rPr>
              <w:t xml:space="preserve"> takes into account different perspectives</w:t>
            </w:r>
            <w:r w:rsidR="008464E6" w:rsidRPr="008464E6">
              <w:rPr>
                <w:rFonts w:cs="Arial"/>
                <w:sz w:val="20"/>
                <w:szCs w:val="20"/>
              </w:rPr>
              <w:t xml:space="preserve"> and interpretations of the past</w:t>
            </w:r>
            <w:r w:rsidRPr="008464E6">
              <w:rPr>
                <w:rFonts w:cs="Arial"/>
                <w:sz w:val="20"/>
                <w:szCs w:val="20"/>
              </w:rPr>
              <w:t>.</w:t>
            </w:r>
          </w:p>
          <w:p w14:paraId="0F000AB2" w14:textId="7DB3E86B" w:rsidR="008464E6" w:rsidRPr="005940F2" w:rsidRDefault="008464E6" w:rsidP="003D138B">
            <w:pPr>
              <w:rPr>
                <w:sz w:val="20"/>
                <w:szCs w:val="20"/>
              </w:rPr>
            </w:pPr>
            <w:r w:rsidRPr="005940F2">
              <w:rPr>
                <w:sz w:val="20"/>
                <w:szCs w:val="20"/>
              </w:rPr>
              <w:t>Analyses relationships and use</w:t>
            </w:r>
            <w:r w:rsidR="00A30567">
              <w:rPr>
                <w:sz w:val="20"/>
                <w:szCs w:val="20"/>
              </w:rPr>
              <w:t>s</w:t>
            </w:r>
            <w:r w:rsidRPr="005940F2">
              <w:rPr>
                <w:sz w:val="20"/>
                <w:szCs w:val="20"/>
              </w:rPr>
              <w:t xml:space="preserve"> evidence from different sources to support a point of view.</w:t>
            </w:r>
          </w:p>
          <w:p w14:paraId="6A8D0B5F" w14:textId="063DE17C" w:rsidR="00385410" w:rsidRPr="005940F2" w:rsidRDefault="00385410" w:rsidP="003D138B">
            <w:pPr>
              <w:spacing w:after="0"/>
            </w:pPr>
            <w:r w:rsidRPr="005940F2">
              <w:rPr>
                <w:sz w:val="20"/>
                <w:szCs w:val="20"/>
              </w:rPr>
              <w:t>Selects a diverse wide range of culturally responsive sources and applies appropriate referencing techniques accurately and consistently when conducting inquiries.</w:t>
            </w:r>
          </w:p>
        </w:tc>
      </w:tr>
    </w:tbl>
    <w:p w14:paraId="7D19B56D" w14:textId="77777777" w:rsidR="007766C5" w:rsidRPr="003D138B" w:rsidRDefault="007766C5" w:rsidP="00CE6E4D">
      <w:pPr>
        <w:spacing w:after="0"/>
        <w:rPr>
          <w:sz w:val="18"/>
          <w:szCs w:val="18"/>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2"/>
        <w:gridCol w:w="8108"/>
      </w:tblGrid>
      <w:tr w:rsidR="00E9623A" w:rsidRPr="00A93F91" w14:paraId="5BD2B85B" w14:textId="77777777" w:rsidTr="00E3027E">
        <w:trPr>
          <w:trHeight w:val="983"/>
        </w:trPr>
        <w:tc>
          <w:tcPr>
            <w:tcW w:w="993" w:type="dxa"/>
            <w:vMerge w:val="restart"/>
            <w:shd w:val="clear" w:color="auto" w:fill="9983B5"/>
            <w:vAlign w:val="center"/>
          </w:tcPr>
          <w:p w14:paraId="5E52118E" w14:textId="77777777" w:rsidR="00E9623A" w:rsidRPr="000830BD" w:rsidRDefault="00E9623A" w:rsidP="00CE6E4D">
            <w:pPr>
              <w:spacing w:after="0" w:line="240" w:lineRule="auto"/>
              <w:jc w:val="center"/>
              <w:rPr>
                <w:rFonts w:cs="Arial"/>
                <w:b/>
                <w:color w:val="FFFFFF" w:themeColor="background1"/>
                <w:sz w:val="40"/>
                <w:szCs w:val="40"/>
              </w:rPr>
            </w:pPr>
            <w:r w:rsidRPr="000830BD">
              <w:rPr>
                <w:rFonts w:cs="Arial"/>
                <w:b/>
                <w:color w:val="FFFFFF" w:themeColor="background1"/>
                <w:sz w:val="40"/>
                <w:szCs w:val="40"/>
              </w:rPr>
              <w:t>B</w:t>
            </w:r>
          </w:p>
        </w:tc>
        <w:tc>
          <w:tcPr>
            <w:tcW w:w="8788" w:type="dxa"/>
          </w:tcPr>
          <w:p w14:paraId="70DB2490" w14:textId="77777777" w:rsidR="00F1452C" w:rsidRPr="00F1452C" w:rsidRDefault="00F1452C" w:rsidP="003D138B">
            <w:pPr>
              <w:rPr>
                <w:rFonts w:cs="Arial"/>
                <w:b/>
                <w:bCs/>
                <w:sz w:val="20"/>
                <w:szCs w:val="20"/>
              </w:rPr>
            </w:pPr>
            <w:r w:rsidRPr="00D5088E">
              <w:rPr>
                <w:rFonts w:cs="Arial"/>
                <w:b/>
                <w:bCs/>
                <w:sz w:val="20"/>
                <w:szCs w:val="20"/>
              </w:rPr>
              <w:t>Knowledge and understanding</w:t>
            </w:r>
          </w:p>
          <w:p w14:paraId="0D785147" w14:textId="6A18C734" w:rsidR="00E9623A" w:rsidRPr="00674C9A" w:rsidRDefault="00AB7951" w:rsidP="003D138B">
            <w:pPr>
              <w:spacing w:after="0"/>
              <w:rPr>
                <w:rFonts w:cs="Arial"/>
                <w:color w:val="000000"/>
                <w:sz w:val="20"/>
                <w:szCs w:val="20"/>
              </w:rPr>
            </w:pPr>
            <w:r w:rsidRPr="00F1452C">
              <w:rPr>
                <w:rFonts w:cs="Calibri"/>
                <w:sz w:val="20"/>
                <w:szCs w:val="20"/>
              </w:rPr>
              <w:t xml:space="preserve">Presents </w:t>
            </w:r>
            <w:r>
              <w:rPr>
                <w:rFonts w:cs="Calibri"/>
                <w:sz w:val="20"/>
                <w:szCs w:val="20"/>
              </w:rPr>
              <w:t xml:space="preserve">discussions and </w:t>
            </w:r>
            <w:r w:rsidRPr="00F1452C">
              <w:rPr>
                <w:rFonts w:cs="Calibri"/>
                <w:sz w:val="20"/>
                <w:szCs w:val="20"/>
              </w:rPr>
              <w:t xml:space="preserve">explanations of evidence, ideas and concepts </w:t>
            </w:r>
            <w:r>
              <w:rPr>
                <w:rFonts w:cs="Calibri"/>
                <w:sz w:val="20"/>
                <w:szCs w:val="20"/>
              </w:rPr>
              <w:t>about</w:t>
            </w:r>
            <w:r w:rsidRPr="00F1452C">
              <w:rPr>
                <w:rFonts w:cs="Calibri"/>
                <w:sz w:val="20"/>
                <w:szCs w:val="20"/>
              </w:rPr>
              <w:t xml:space="preserve"> the distinctiveness and diversity of First Nations Peoples’ identities, cultures, </w:t>
            </w:r>
            <w:r w:rsidR="00A953F8">
              <w:rPr>
                <w:rFonts w:cs="Calibri"/>
                <w:sz w:val="20"/>
                <w:szCs w:val="20"/>
              </w:rPr>
              <w:t xml:space="preserve">heritage, </w:t>
            </w:r>
            <w:r w:rsidRPr="00F1452C">
              <w:rPr>
                <w:rFonts w:cs="Calibri"/>
                <w:sz w:val="20"/>
                <w:szCs w:val="20"/>
              </w:rPr>
              <w:t>experiences, perspectives and cultural expressions.</w:t>
            </w:r>
          </w:p>
        </w:tc>
      </w:tr>
      <w:tr w:rsidR="009E363F" w:rsidRPr="00A93F91" w14:paraId="64D5EA6C" w14:textId="77777777" w:rsidTr="00E3027E">
        <w:tc>
          <w:tcPr>
            <w:tcW w:w="993" w:type="dxa"/>
            <w:vMerge/>
            <w:shd w:val="clear" w:color="auto" w:fill="9983B5"/>
          </w:tcPr>
          <w:p w14:paraId="69988A5B" w14:textId="77777777" w:rsidR="009E363F" w:rsidRPr="00A93F91" w:rsidRDefault="009E363F" w:rsidP="00CE6E4D">
            <w:pPr>
              <w:spacing w:line="240" w:lineRule="auto"/>
              <w:rPr>
                <w:rFonts w:cs="Arial"/>
                <w:color w:val="000000"/>
                <w:sz w:val="16"/>
                <w:szCs w:val="16"/>
              </w:rPr>
            </w:pPr>
          </w:p>
        </w:tc>
        <w:tc>
          <w:tcPr>
            <w:tcW w:w="8788" w:type="dxa"/>
          </w:tcPr>
          <w:p w14:paraId="544BEC38" w14:textId="77777777" w:rsidR="009E363F" w:rsidRDefault="009E363F" w:rsidP="003D138B">
            <w:pPr>
              <w:rPr>
                <w:rFonts w:cs="Arial"/>
                <w:b/>
                <w:sz w:val="20"/>
                <w:szCs w:val="20"/>
              </w:rPr>
            </w:pPr>
            <w:r w:rsidRPr="00A55B96">
              <w:rPr>
                <w:rFonts w:cs="Arial"/>
                <w:b/>
                <w:sz w:val="20"/>
                <w:szCs w:val="20"/>
              </w:rPr>
              <w:t>Intercultural terminology</w:t>
            </w:r>
          </w:p>
          <w:p w14:paraId="1C00C6C3" w14:textId="67D986DC" w:rsidR="009E363F" w:rsidRPr="009D7425" w:rsidRDefault="009E363F" w:rsidP="003D138B">
            <w:pPr>
              <w:spacing w:after="0"/>
              <w:rPr>
                <w:rFonts w:cs="Arial"/>
                <w:color w:val="000000"/>
                <w:sz w:val="20"/>
                <w:szCs w:val="20"/>
              </w:rPr>
            </w:pPr>
            <w:r>
              <w:rPr>
                <w:rFonts w:cs="Arial"/>
                <w:sz w:val="20"/>
                <w:szCs w:val="20"/>
              </w:rPr>
              <w:t xml:space="preserve">Selects and applies culturally responsive terminology and concepts to develop </w:t>
            </w:r>
            <w:r w:rsidR="00AB7951">
              <w:rPr>
                <w:rFonts w:cs="Arial"/>
                <w:sz w:val="20"/>
                <w:szCs w:val="20"/>
              </w:rPr>
              <w:t>accurate a</w:t>
            </w:r>
            <w:r w:rsidR="000971DD">
              <w:rPr>
                <w:rFonts w:cs="Arial"/>
                <w:sz w:val="20"/>
                <w:szCs w:val="20"/>
              </w:rPr>
              <w:t>n</w:t>
            </w:r>
            <w:r w:rsidR="00AB7951">
              <w:rPr>
                <w:rFonts w:cs="Arial"/>
                <w:sz w:val="20"/>
                <w:szCs w:val="20"/>
              </w:rPr>
              <w:t xml:space="preserve">d </w:t>
            </w:r>
            <w:r>
              <w:rPr>
                <w:rFonts w:cs="Arial"/>
                <w:sz w:val="20"/>
                <w:szCs w:val="20"/>
              </w:rPr>
              <w:t>relevant responses.</w:t>
            </w:r>
          </w:p>
        </w:tc>
      </w:tr>
      <w:tr w:rsidR="009E363F" w:rsidRPr="00A93F91" w14:paraId="62C422C6" w14:textId="77777777" w:rsidTr="00E3027E">
        <w:tc>
          <w:tcPr>
            <w:tcW w:w="993" w:type="dxa"/>
            <w:vMerge/>
            <w:shd w:val="clear" w:color="auto" w:fill="9983B5"/>
          </w:tcPr>
          <w:p w14:paraId="7D8F2B4A" w14:textId="77777777" w:rsidR="009E363F" w:rsidRPr="00A93F91" w:rsidRDefault="009E363F" w:rsidP="00CE6E4D">
            <w:pPr>
              <w:spacing w:line="240" w:lineRule="auto"/>
              <w:rPr>
                <w:rFonts w:cs="Arial"/>
                <w:color w:val="000000"/>
                <w:sz w:val="16"/>
                <w:szCs w:val="16"/>
              </w:rPr>
            </w:pPr>
          </w:p>
        </w:tc>
        <w:tc>
          <w:tcPr>
            <w:tcW w:w="8788" w:type="dxa"/>
          </w:tcPr>
          <w:p w14:paraId="6AFCE18D" w14:textId="77777777" w:rsidR="009E363F" w:rsidRPr="00401399" w:rsidRDefault="009E363F" w:rsidP="003D138B">
            <w:pPr>
              <w:rPr>
                <w:rFonts w:cs="Arial"/>
                <w:b/>
                <w:sz w:val="20"/>
                <w:szCs w:val="20"/>
              </w:rPr>
            </w:pPr>
            <w:r w:rsidRPr="00401399">
              <w:rPr>
                <w:rFonts w:cs="Arial"/>
                <w:b/>
                <w:sz w:val="20"/>
                <w:szCs w:val="20"/>
              </w:rPr>
              <w:t>Intercultural skills</w:t>
            </w:r>
          </w:p>
          <w:p w14:paraId="0265DFA1" w14:textId="7D448A67" w:rsidR="009E363F" w:rsidRPr="00181376" w:rsidRDefault="009E363F" w:rsidP="003D138B">
            <w:pPr>
              <w:rPr>
                <w:rFonts w:cs="Arial"/>
                <w:sz w:val="20"/>
                <w:szCs w:val="20"/>
              </w:rPr>
            </w:pPr>
            <w:r w:rsidRPr="00181376">
              <w:rPr>
                <w:rFonts w:cs="Arial"/>
                <w:sz w:val="20"/>
                <w:szCs w:val="20"/>
              </w:rPr>
              <w:t xml:space="preserve">Draws </w:t>
            </w:r>
            <w:r>
              <w:rPr>
                <w:rFonts w:cs="Arial"/>
                <w:sz w:val="20"/>
                <w:szCs w:val="20"/>
              </w:rPr>
              <w:t xml:space="preserve">relevant </w:t>
            </w:r>
            <w:r w:rsidRPr="00181376">
              <w:rPr>
                <w:rFonts w:cs="Arial"/>
                <w:sz w:val="20"/>
                <w:szCs w:val="20"/>
              </w:rPr>
              <w:t>conclusions using</w:t>
            </w:r>
            <w:r>
              <w:rPr>
                <w:rFonts w:cs="Arial"/>
                <w:sz w:val="20"/>
                <w:szCs w:val="20"/>
              </w:rPr>
              <w:t xml:space="preserve"> a range of supporting</w:t>
            </w:r>
            <w:r w:rsidRPr="00181376">
              <w:rPr>
                <w:rFonts w:cs="Arial"/>
                <w:sz w:val="20"/>
                <w:szCs w:val="20"/>
              </w:rPr>
              <w:t xml:space="preserve"> evidence</w:t>
            </w:r>
            <w:r w:rsidR="00C34FE9">
              <w:rPr>
                <w:rFonts w:cs="Arial"/>
                <w:sz w:val="20"/>
                <w:szCs w:val="20"/>
              </w:rPr>
              <w:t xml:space="preserve"> that</w:t>
            </w:r>
            <w:r>
              <w:rPr>
                <w:rFonts w:cs="Arial"/>
                <w:sz w:val="20"/>
                <w:szCs w:val="20"/>
              </w:rPr>
              <w:t xml:space="preserve"> </w:t>
            </w:r>
            <w:r w:rsidRPr="0010099B">
              <w:rPr>
                <w:rFonts w:cs="Arial"/>
                <w:sz w:val="20"/>
                <w:szCs w:val="20"/>
              </w:rPr>
              <w:t>take</w:t>
            </w:r>
            <w:r w:rsidR="00C34FE9">
              <w:rPr>
                <w:rFonts w:cs="Arial"/>
                <w:sz w:val="20"/>
                <w:szCs w:val="20"/>
              </w:rPr>
              <w:t>s</w:t>
            </w:r>
            <w:r w:rsidRPr="0010099B">
              <w:rPr>
                <w:rFonts w:cs="Arial"/>
                <w:sz w:val="20"/>
                <w:szCs w:val="20"/>
              </w:rPr>
              <w:t xml:space="preserve"> into account</w:t>
            </w:r>
            <w:r w:rsidRPr="00181376">
              <w:rPr>
                <w:rFonts w:cs="Arial"/>
                <w:sz w:val="20"/>
                <w:szCs w:val="20"/>
              </w:rPr>
              <w:t xml:space="preserve"> different perspectives.</w:t>
            </w:r>
          </w:p>
          <w:p w14:paraId="787CB1F6" w14:textId="4121675C" w:rsidR="009E363F" w:rsidRDefault="009E363F" w:rsidP="003D138B">
            <w:pPr>
              <w:spacing w:after="0"/>
              <w:rPr>
                <w:rFonts w:cstheme="minorHAnsi"/>
                <w:color w:val="000000"/>
                <w:sz w:val="20"/>
                <w:szCs w:val="20"/>
              </w:rPr>
            </w:pPr>
            <w:r w:rsidRPr="00181376">
              <w:rPr>
                <w:rFonts w:cs="Arial"/>
                <w:sz w:val="20"/>
                <w:szCs w:val="20"/>
              </w:rPr>
              <w:t xml:space="preserve">Selects </w:t>
            </w:r>
            <w:r>
              <w:rPr>
                <w:rFonts w:cs="Arial"/>
                <w:sz w:val="20"/>
                <w:szCs w:val="20"/>
              </w:rPr>
              <w:t xml:space="preserve">a range of </w:t>
            </w:r>
            <w:r w:rsidRPr="00181376">
              <w:rPr>
                <w:rFonts w:cs="Arial"/>
                <w:sz w:val="20"/>
                <w:szCs w:val="20"/>
              </w:rPr>
              <w:t>culturally resp</w:t>
            </w:r>
            <w:r>
              <w:rPr>
                <w:rFonts w:cs="Arial"/>
                <w:sz w:val="20"/>
                <w:szCs w:val="20"/>
              </w:rPr>
              <w:t xml:space="preserve">onsive </w:t>
            </w:r>
            <w:r w:rsidRPr="00181376">
              <w:rPr>
                <w:rFonts w:cs="Arial"/>
                <w:sz w:val="20"/>
                <w:szCs w:val="20"/>
              </w:rPr>
              <w:t>sources and applies appropriate referencing techniques accurately when conducting inquiries.</w:t>
            </w:r>
          </w:p>
        </w:tc>
      </w:tr>
    </w:tbl>
    <w:p w14:paraId="1977023D" w14:textId="77777777" w:rsidR="007078B0" w:rsidRPr="003D138B" w:rsidRDefault="007078B0" w:rsidP="003D3E71">
      <w:pPr>
        <w:spacing w:after="0"/>
        <w:rPr>
          <w:sz w:val="18"/>
          <w:szCs w:val="18"/>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0"/>
        <w:gridCol w:w="8110"/>
      </w:tblGrid>
      <w:tr w:rsidR="00AD024E" w:rsidRPr="00A93F91" w14:paraId="4CD09FB8" w14:textId="77777777" w:rsidTr="00E3027E">
        <w:trPr>
          <w:trHeight w:val="557"/>
        </w:trPr>
        <w:tc>
          <w:tcPr>
            <w:tcW w:w="993" w:type="dxa"/>
            <w:vMerge w:val="restart"/>
            <w:shd w:val="clear" w:color="auto" w:fill="9983B5"/>
            <w:vAlign w:val="center"/>
          </w:tcPr>
          <w:p w14:paraId="059D9EC1" w14:textId="77777777" w:rsidR="00AD024E" w:rsidRPr="000830BD" w:rsidRDefault="00AD024E" w:rsidP="00CE6E4D">
            <w:pPr>
              <w:spacing w:after="0" w:line="240" w:lineRule="auto"/>
              <w:jc w:val="center"/>
              <w:rPr>
                <w:rFonts w:cs="Arial"/>
                <w:b/>
                <w:color w:val="FFFFFF" w:themeColor="background1"/>
                <w:sz w:val="40"/>
                <w:szCs w:val="40"/>
              </w:rPr>
            </w:pPr>
            <w:r w:rsidRPr="000830BD">
              <w:rPr>
                <w:rFonts w:cs="Arial"/>
                <w:b/>
                <w:color w:val="FFFFFF" w:themeColor="background1"/>
                <w:sz w:val="40"/>
                <w:szCs w:val="40"/>
              </w:rPr>
              <w:t>C</w:t>
            </w:r>
          </w:p>
        </w:tc>
        <w:tc>
          <w:tcPr>
            <w:tcW w:w="8788" w:type="dxa"/>
          </w:tcPr>
          <w:p w14:paraId="26B7DC5D" w14:textId="77777777" w:rsidR="007A2B1D" w:rsidRPr="00D5088E" w:rsidRDefault="007A2B1D" w:rsidP="003D138B">
            <w:pPr>
              <w:rPr>
                <w:rFonts w:cs="Arial"/>
                <w:b/>
                <w:bCs/>
                <w:sz w:val="20"/>
                <w:szCs w:val="20"/>
              </w:rPr>
            </w:pPr>
            <w:r w:rsidRPr="00D5088E">
              <w:rPr>
                <w:rFonts w:cs="Arial"/>
                <w:b/>
                <w:bCs/>
                <w:sz w:val="20"/>
                <w:szCs w:val="20"/>
              </w:rPr>
              <w:t>Knowledge and understandings</w:t>
            </w:r>
          </w:p>
          <w:p w14:paraId="0ADFF542" w14:textId="2E30C653" w:rsidR="00AD024E" w:rsidRPr="009D7425" w:rsidRDefault="00AB7951" w:rsidP="003D138B">
            <w:pPr>
              <w:spacing w:after="0"/>
              <w:rPr>
                <w:rFonts w:cs="Arial"/>
                <w:color w:val="000000"/>
                <w:sz w:val="20"/>
                <w:szCs w:val="20"/>
              </w:rPr>
            </w:pPr>
            <w:r w:rsidRPr="00F1452C">
              <w:rPr>
                <w:rFonts w:cs="Calibri"/>
                <w:sz w:val="20"/>
                <w:szCs w:val="20"/>
              </w:rPr>
              <w:t>Presents</w:t>
            </w:r>
            <w:r>
              <w:rPr>
                <w:rFonts w:cs="Calibri"/>
                <w:sz w:val="20"/>
                <w:szCs w:val="20"/>
              </w:rPr>
              <w:t xml:space="preserve"> brief discussions and descri</w:t>
            </w:r>
            <w:r w:rsidR="00C22EA7">
              <w:rPr>
                <w:rFonts w:cs="Calibri"/>
                <w:sz w:val="20"/>
                <w:szCs w:val="20"/>
              </w:rPr>
              <w:t>p</w:t>
            </w:r>
            <w:r>
              <w:rPr>
                <w:rFonts w:cs="Calibri"/>
                <w:sz w:val="20"/>
                <w:szCs w:val="20"/>
              </w:rPr>
              <w:t>tions</w:t>
            </w:r>
            <w:r w:rsidRPr="00F1452C">
              <w:rPr>
                <w:rFonts w:cs="Calibri"/>
                <w:sz w:val="20"/>
                <w:szCs w:val="20"/>
              </w:rPr>
              <w:t xml:space="preserve"> of evidence, ideas and concepts </w:t>
            </w:r>
            <w:r>
              <w:rPr>
                <w:rFonts w:cs="Calibri"/>
                <w:sz w:val="20"/>
                <w:szCs w:val="20"/>
              </w:rPr>
              <w:t>about</w:t>
            </w:r>
            <w:r w:rsidRPr="00F1452C">
              <w:rPr>
                <w:rFonts w:cs="Calibri"/>
                <w:sz w:val="20"/>
                <w:szCs w:val="20"/>
              </w:rPr>
              <w:t xml:space="preserve"> the distinctiveness and diversity of First Nations Peoples’ identities, cultures, </w:t>
            </w:r>
            <w:r w:rsidR="003014A6">
              <w:rPr>
                <w:rFonts w:cs="Calibri"/>
                <w:sz w:val="20"/>
                <w:szCs w:val="20"/>
              </w:rPr>
              <w:t xml:space="preserve">heritages, </w:t>
            </w:r>
            <w:r w:rsidRPr="00F1452C">
              <w:rPr>
                <w:rFonts w:cs="Calibri"/>
                <w:sz w:val="20"/>
                <w:szCs w:val="20"/>
              </w:rPr>
              <w:t>experiences, perspectives and cultural expressions.</w:t>
            </w:r>
          </w:p>
        </w:tc>
      </w:tr>
      <w:tr w:rsidR="00AD024E" w:rsidRPr="00A93F91" w14:paraId="64100500" w14:textId="77777777" w:rsidTr="00E3027E">
        <w:tc>
          <w:tcPr>
            <w:tcW w:w="993" w:type="dxa"/>
            <w:vMerge/>
            <w:shd w:val="clear" w:color="auto" w:fill="9983B5"/>
          </w:tcPr>
          <w:p w14:paraId="6F6ECC02" w14:textId="77777777" w:rsidR="00AD024E" w:rsidRPr="00A93F91" w:rsidRDefault="00AD024E" w:rsidP="00CE6E4D">
            <w:pPr>
              <w:spacing w:line="240" w:lineRule="auto"/>
              <w:rPr>
                <w:rFonts w:cs="Arial"/>
                <w:color w:val="000000"/>
                <w:sz w:val="16"/>
                <w:szCs w:val="16"/>
              </w:rPr>
            </w:pPr>
          </w:p>
        </w:tc>
        <w:tc>
          <w:tcPr>
            <w:tcW w:w="8788" w:type="dxa"/>
          </w:tcPr>
          <w:p w14:paraId="24AE0BEC" w14:textId="2686E40C" w:rsidR="00AD024E" w:rsidRPr="00A55B96" w:rsidRDefault="00AD024E" w:rsidP="003D138B">
            <w:pPr>
              <w:rPr>
                <w:rFonts w:cs="Arial"/>
                <w:b/>
                <w:sz w:val="20"/>
                <w:szCs w:val="20"/>
              </w:rPr>
            </w:pPr>
            <w:r w:rsidRPr="00A55B96">
              <w:rPr>
                <w:rFonts w:cs="Arial"/>
                <w:b/>
                <w:sz w:val="20"/>
                <w:szCs w:val="20"/>
              </w:rPr>
              <w:t>Intercultural terminology</w:t>
            </w:r>
          </w:p>
          <w:p w14:paraId="089555FA" w14:textId="492B74DC" w:rsidR="00AD024E" w:rsidRPr="009D7425" w:rsidRDefault="00AD024E" w:rsidP="003D138B">
            <w:pPr>
              <w:spacing w:after="0"/>
              <w:rPr>
                <w:rFonts w:cs="Arial"/>
                <w:color w:val="000000"/>
                <w:sz w:val="20"/>
                <w:szCs w:val="20"/>
              </w:rPr>
            </w:pPr>
            <w:r>
              <w:rPr>
                <w:rFonts w:cs="Arial"/>
                <w:sz w:val="20"/>
                <w:szCs w:val="20"/>
              </w:rPr>
              <w:t xml:space="preserve">Uses culturally responsive terminology and concepts to develop </w:t>
            </w:r>
            <w:r w:rsidR="000971DD">
              <w:rPr>
                <w:rFonts w:cs="Arial"/>
                <w:sz w:val="20"/>
                <w:szCs w:val="20"/>
              </w:rPr>
              <w:t xml:space="preserve">mostly </w:t>
            </w:r>
            <w:r>
              <w:rPr>
                <w:rFonts w:cs="Arial"/>
                <w:sz w:val="20"/>
                <w:szCs w:val="20"/>
              </w:rPr>
              <w:t>relevant responses.</w:t>
            </w:r>
          </w:p>
        </w:tc>
      </w:tr>
      <w:tr w:rsidR="00AD024E" w:rsidRPr="00A93F91" w14:paraId="1DEA830E" w14:textId="77777777" w:rsidTr="00E3027E">
        <w:tc>
          <w:tcPr>
            <w:tcW w:w="993" w:type="dxa"/>
            <w:vMerge/>
            <w:shd w:val="clear" w:color="auto" w:fill="9983B5"/>
          </w:tcPr>
          <w:p w14:paraId="559CBF25" w14:textId="77777777" w:rsidR="00AD024E" w:rsidRPr="00A93F91" w:rsidRDefault="00AD024E" w:rsidP="00CE6E4D">
            <w:pPr>
              <w:spacing w:line="240" w:lineRule="auto"/>
              <w:rPr>
                <w:rFonts w:cs="Arial"/>
                <w:color w:val="000000"/>
                <w:sz w:val="16"/>
                <w:szCs w:val="16"/>
              </w:rPr>
            </w:pPr>
          </w:p>
        </w:tc>
        <w:tc>
          <w:tcPr>
            <w:tcW w:w="8788" w:type="dxa"/>
          </w:tcPr>
          <w:p w14:paraId="78156AF9" w14:textId="77777777" w:rsidR="00AD024E" w:rsidRPr="00175D59" w:rsidRDefault="00AD024E" w:rsidP="003D138B">
            <w:pPr>
              <w:rPr>
                <w:rFonts w:cs="Arial"/>
                <w:b/>
                <w:sz w:val="20"/>
                <w:szCs w:val="20"/>
              </w:rPr>
            </w:pPr>
            <w:r w:rsidRPr="00175D59">
              <w:rPr>
                <w:rFonts w:cs="Arial"/>
                <w:b/>
                <w:sz w:val="20"/>
                <w:szCs w:val="20"/>
              </w:rPr>
              <w:t>Intercultural skills</w:t>
            </w:r>
          </w:p>
          <w:p w14:paraId="68B5D9ED" w14:textId="64737F5E" w:rsidR="00AD024E" w:rsidRPr="00181376" w:rsidRDefault="00AD024E" w:rsidP="003D138B">
            <w:pPr>
              <w:rPr>
                <w:rFonts w:cs="Arial"/>
                <w:sz w:val="20"/>
                <w:szCs w:val="20"/>
              </w:rPr>
            </w:pPr>
            <w:r w:rsidRPr="00181376">
              <w:rPr>
                <w:rFonts w:cs="Arial"/>
                <w:sz w:val="20"/>
                <w:szCs w:val="20"/>
              </w:rPr>
              <w:t xml:space="preserve">Draws </w:t>
            </w:r>
            <w:r>
              <w:rPr>
                <w:rFonts w:cs="Arial"/>
                <w:sz w:val="20"/>
                <w:szCs w:val="20"/>
              </w:rPr>
              <w:t xml:space="preserve">relevant </w:t>
            </w:r>
            <w:r w:rsidRPr="00181376">
              <w:rPr>
                <w:rFonts w:cs="Arial"/>
                <w:sz w:val="20"/>
                <w:szCs w:val="20"/>
              </w:rPr>
              <w:t xml:space="preserve">conclusions using </w:t>
            </w:r>
            <w:r>
              <w:rPr>
                <w:rFonts w:cs="Arial"/>
                <w:sz w:val="20"/>
                <w:szCs w:val="20"/>
              </w:rPr>
              <w:t xml:space="preserve">some </w:t>
            </w:r>
            <w:r w:rsidRPr="00181376">
              <w:rPr>
                <w:rFonts w:cs="Arial"/>
                <w:sz w:val="20"/>
                <w:szCs w:val="20"/>
              </w:rPr>
              <w:t>evidence</w:t>
            </w:r>
            <w:r w:rsidR="00C34FE9">
              <w:rPr>
                <w:rFonts w:cs="Arial"/>
                <w:sz w:val="20"/>
                <w:szCs w:val="20"/>
              </w:rPr>
              <w:t xml:space="preserve"> that</w:t>
            </w:r>
            <w:r>
              <w:rPr>
                <w:rFonts w:cs="Arial"/>
                <w:sz w:val="20"/>
                <w:szCs w:val="20"/>
              </w:rPr>
              <w:t xml:space="preserve"> recognises</w:t>
            </w:r>
            <w:r w:rsidRPr="00181376">
              <w:rPr>
                <w:rFonts w:cs="Arial"/>
                <w:sz w:val="20"/>
                <w:szCs w:val="20"/>
              </w:rPr>
              <w:t xml:space="preserve"> different perspectives.</w:t>
            </w:r>
          </w:p>
          <w:p w14:paraId="795DC8BA" w14:textId="4BE86E60" w:rsidR="00AD024E" w:rsidRPr="009D7425" w:rsidRDefault="00AD024E" w:rsidP="003D138B">
            <w:pPr>
              <w:spacing w:after="0"/>
              <w:rPr>
                <w:rFonts w:cs="Arial"/>
                <w:color w:val="000000"/>
                <w:sz w:val="20"/>
                <w:szCs w:val="20"/>
              </w:rPr>
            </w:pPr>
            <w:r w:rsidRPr="00181376">
              <w:rPr>
                <w:rFonts w:cs="Arial"/>
                <w:sz w:val="20"/>
                <w:szCs w:val="20"/>
              </w:rPr>
              <w:t>Selects culturally resp</w:t>
            </w:r>
            <w:r>
              <w:rPr>
                <w:rFonts w:cs="Arial"/>
                <w:sz w:val="20"/>
                <w:szCs w:val="20"/>
              </w:rPr>
              <w:t xml:space="preserve">onsive </w:t>
            </w:r>
            <w:r w:rsidRPr="00181376">
              <w:rPr>
                <w:rFonts w:cs="Arial"/>
                <w:sz w:val="20"/>
                <w:szCs w:val="20"/>
              </w:rPr>
              <w:t>sources and applies appropriate referencing techniq</w:t>
            </w:r>
            <w:r>
              <w:rPr>
                <w:rFonts w:cs="Arial"/>
                <w:sz w:val="20"/>
                <w:szCs w:val="20"/>
              </w:rPr>
              <w:t>ues</w:t>
            </w:r>
            <w:r w:rsidRPr="00181376">
              <w:rPr>
                <w:rFonts w:cs="Arial"/>
                <w:sz w:val="20"/>
                <w:szCs w:val="20"/>
              </w:rPr>
              <w:t xml:space="preserve"> when conducting inquiries.</w:t>
            </w:r>
          </w:p>
        </w:tc>
      </w:tr>
    </w:tbl>
    <w:p w14:paraId="5278A2A2" w14:textId="77777777" w:rsidR="003D138B" w:rsidRDefault="003D138B">
      <w:pPr>
        <w:rPr>
          <w:sz w:val="18"/>
          <w:szCs w:val="18"/>
        </w:rPr>
      </w:pPr>
      <w:r>
        <w:rPr>
          <w:sz w:val="18"/>
          <w:szCs w:val="18"/>
        </w:rP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3"/>
        <w:gridCol w:w="8107"/>
      </w:tblGrid>
      <w:tr w:rsidR="007A2B1D" w:rsidRPr="00A93F91" w14:paraId="3398D11A" w14:textId="77777777" w:rsidTr="00E3027E">
        <w:trPr>
          <w:trHeight w:val="557"/>
        </w:trPr>
        <w:tc>
          <w:tcPr>
            <w:tcW w:w="943" w:type="dxa"/>
            <w:vMerge w:val="restart"/>
            <w:shd w:val="clear" w:color="auto" w:fill="9983B5"/>
            <w:vAlign w:val="center"/>
          </w:tcPr>
          <w:p w14:paraId="009C463A" w14:textId="77777777" w:rsidR="007A2B1D" w:rsidRPr="000830BD" w:rsidRDefault="007A2B1D" w:rsidP="00CD489B">
            <w:pPr>
              <w:spacing w:after="0"/>
              <w:jc w:val="center"/>
              <w:rPr>
                <w:rFonts w:cs="Arial"/>
                <w:b/>
                <w:color w:val="FFFFFF" w:themeColor="background1"/>
                <w:sz w:val="40"/>
                <w:szCs w:val="40"/>
              </w:rPr>
            </w:pPr>
            <w:r w:rsidRPr="000830BD">
              <w:rPr>
                <w:rFonts w:cs="Arial"/>
                <w:b/>
                <w:color w:val="FFFFFF" w:themeColor="background1"/>
                <w:sz w:val="40"/>
                <w:szCs w:val="40"/>
              </w:rPr>
              <w:lastRenderedPageBreak/>
              <w:t>D</w:t>
            </w:r>
          </w:p>
        </w:tc>
        <w:tc>
          <w:tcPr>
            <w:tcW w:w="8107" w:type="dxa"/>
          </w:tcPr>
          <w:p w14:paraId="2315B838" w14:textId="77777777" w:rsidR="007A2B1D" w:rsidRPr="00877BB7" w:rsidRDefault="007A2B1D" w:rsidP="003D138B">
            <w:pPr>
              <w:rPr>
                <w:rFonts w:cs="Arial"/>
                <w:b/>
                <w:bCs/>
                <w:sz w:val="20"/>
                <w:szCs w:val="20"/>
              </w:rPr>
            </w:pPr>
            <w:r w:rsidRPr="00877BB7">
              <w:rPr>
                <w:rFonts w:cs="Arial"/>
                <w:b/>
                <w:bCs/>
                <w:sz w:val="20"/>
                <w:szCs w:val="20"/>
              </w:rPr>
              <w:t>Knowledge and understandings</w:t>
            </w:r>
          </w:p>
          <w:p w14:paraId="063ED5B2" w14:textId="583CFFCF" w:rsidR="000971DD" w:rsidRPr="009D7425" w:rsidRDefault="000971DD" w:rsidP="003D138B">
            <w:pPr>
              <w:spacing w:after="0"/>
              <w:rPr>
                <w:rFonts w:cs="Arial"/>
                <w:color w:val="000000"/>
                <w:sz w:val="20"/>
                <w:szCs w:val="20"/>
              </w:rPr>
            </w:pPr>
            <w:r w:rsidRPr="00F1452C">
              <w:rPr>
                <w:rFonts w:cs="Calibri"/>
                <w:sz w:val="20"/>
                <w:szCs w:val="20"/>
              </w:rPr>
              <w:t>Presents</w:t>
            </w:r>
            <w:r w:rsidR="00C22EA7">
              <w:rPr>
                <w:rFonts w:cs="Arial"/>
                <w:sz w:val="20"/>
                <w:szCs w:val="20"/>
              </w:rPr>
              <w:t xml:space="preserve"> broad generalised statements</w:t>
            </w:r>
            <w:r w:rsidRPr="00F1452C">
              <w:rPr>
                <w:rFonts w:cs="Calibri"/>
                <w:sz w:val="20"/>
                <w:szCs w:val="20"/>
              </w:rPr>
              <w:t xml:space="preserve"> </w:t>
            </w:r>
            <w:r>
              <w:rPr>
                <w:rFonts w:cs="Calibri"/>
                <w:sz w:val="20"/>
                <w:szCs w:val="20"/>
              </w:rPr>
              <w:t>about</w:t>
            </w:r>
            <w:r w:rsidRPr="00F1452C">
              <w:rPr>
                <w:rFonts w:cs="Calibri"/>
                <w:sz w:val="20"/>
                <w:szCs w:val="20"/>
              </w:rPr>
              <w:t xml:space="preserve"> the distinctiveness and diversity of First Nations Peoples’ identities, cultures, experiences,</w:t>
            </w:r>
            <w:r w:rsidR="003014A6">
              <w:rPr>
                <w:rFonts w:cs="Calibri"/>
                <w:sz w:val="20"/>
                <w:szCs w:val="20"/>
              </w:rPr>
              <w:t xml:space="preserve"> heritage,</w:t>
            </w:r>
            <w:r w:rsidRPr="00F1452C">
              <w:rPr>
                <w:rFonts w:cs="Calibri"/>
                <w:sz w:val="20"/>
                <w:szCs w:val="20"/>
              </w:rPr>
              <w:t xml:space="preserve"> perspectives and cultural expressions.</w:t>
            </w:r>
          </w:p>
        </w:tc>
      </w:tr>
      <w:tr w:rsidR="000B3683" w:rsidRPr="00A93F91" w14:paraId="462E274D" w14:textId="77777777" w:rsidTr="00E3027E">
        <w:tc>
          <w:tcPr>
            <w:tcW w:w="943" w:type="dxa"/>
            <w:vMerge/>
            <w:shd w:val="clear" w:color="auto" w:fill="9983B5"/>
          </w:tcPr>
          <w:p w14:paraId="0D72C8F2" w14:textId="77777777" w:rsidR="000B3683" w:rsidRPr="00A93F91" w:rsidRDefault="000B3683" w:rsidP="00CD489B">
            <w:pPr>
              <w:rPr>
                <w:rFonts w:cs="Arial"/>
                <w:color w:val="000000"/>
                <w:sz w:val="16"/>
                <w:szCs w:val="16"/>
              </w:rPr>
            </w:pPr>
          </w:p>
        </w:tc>
        <w:tc>
          <w:tcPr>
            <w:tcW w:w="8107" w:type="dxa"/>
          </w:tcPr>
          <w:p w14:paraId="7E376B5D" w14:textId="42A7B7CD" w:rsidR="007A2B1D" w:rsidRPr="00A55B96" w:rsidRDefault="007A2B1D" w:rsidP="003D138B">
            <w:pPr>
              <w:rPr>
                <w:rFonts w:cs="Arial"/>
                <w:b/>
                <w:sz w:val="20"/>
                <w:szCs w:val="20"/>
              </w:rPr>
            </w:pPr>
            <w:r w:rsidRPr="00A55B96">
              <w:rPr>
                <w:rFonts w:cs="Arial"/>
                <w:b/>
                <w:sz w:val="20"/>
                <w:szCs w:val="20"/>
              </w:rPr>
              <w:t>Intercultural terminology</w:t>
            </w:r>
          </w:p>
          <w:p w14:paraId="0793A503" w14:textId="3270B4EB" w:rsidR="000B3683" w:rsidRPr="009D7425" w:rsidRDefault="007A2B1D" w:rsidP="003D138B">
            <w:pPr>
              <w:spacing w:after="0"/>
              <w:rPr>
                <w:rFonts w:cs="Arial"/>
                <w:color w:val="000000"/>
                <w:sz w:val="20"/>
                <w:szCs w:val="20"/>
              </w:rPr>
            </w:pPr>
            <w:r>
              <w:rPr>
                <w:rFonts w:cs="Arial"/>
                <w:sz w:val="20"/>
                <w:szCs w:val="20"/>
              </w:rPr>
              <w:t>Uses limited culturally responsive terminology to develop mostly brief or irrelevant responses.</w:t>
            </w:r>
          </w:p>
        </w:tc>
      </w:tr>
      <w:tr w:rsidR="000B3683" w:rsidRPr="00A93F91" w14:paraId="2499C417" w14:textId="77777777" w:rsidTr="00E3027E">
        <w:tc>
          <w:tcPr>
            <w:tcW w:w="943" w:type="dxa"/>
            <w:vMerge/>
            <w:shd w:val="clear" w:color="auto" w:fill="9983B5"/>
          </w:tcPr>
          <w:p w14:paraId="73A68C30" w14:textId="77777777" w:rsidR="000B3683" w:rsidRPr="00A93F91" w:rsidRDefault="000B3683" w:rsidP="00CD489B">
            <w:pPr>
              <w:rPr>
                <w:rFonts w:cs="Arial"/>
                <w:color w:val="000000"/>
                <w:sz w:val="16"/>
                <w:szCs w:val="16"/>
              </w:rPr>
            </w:pPr>
          </w:p>
        </w:tc>
        <w:tc>
          <w:tcPr>
            <w:tcW w:w="8107" w:type="dxa"/>
          </w:tcPr>
          <w:p w14:paraId="2E06EE18" w14:textId="77777777" w:rsidR="007A2B1D" w:rsidRPr="00175D59" w:rsidRDefault="007A2B1D" w:rsidP="003D138B">
            <w:pPr>
              <w:rPr>
                <w:rFonts w:cs="Arial"/>
                <w:b/>
                <w:sz w:val="20"/>
                <w:szCs w:val="20"/>
              </w:rPr>
            </w:pPr>
            <w:r w:rsidRPr="00175D59">
              <w:rPr>
                <w:rFonts w:cs="Arial"/>
                <w:b/>
                <w:sz w:val="20"/>
                <w:szCs w:val="20"/>
              </w:rPr>
              <w:t>Intercultural skills</w:t>
            </w:r>
          </w:p>
          <w:p w14:paraId="5AE8E1AA" w14:textId="77777777" w:rsidR="007A2B1D" w:rsidRPr="0000335B" w:rsidRDefault="007A2B1D" w:rsidP="003D138B">
            <w:pPr>
              <w:rPr>
                <w:rFonts w:cs="Arial"/>
                <w:sz w:val="20"/>
                <w:szCs w:val="20"/>
              </w:rPr>
            </w:pPr>
            <w:r w:rsidRPr="0000335B">
              <w:rPr>
                <w:rFonts w:cs="Arial"/>
                <w:sz w:val="20"/>
                <w:szCs w:val="20"/>
              </w:rPr>
              <w:t>States personal opinions using limited or inaccurate evidence, with little or no acknowledgement of different perspectives.</w:t>
            </w:r>
          </w:p>
          <w:p w14:paraId="575CF7C2" w14:textId="2DE46358" w:rsidR="000B3683" w:rsidRPr="00735669" w:rsidRDefault="007A2B1D" w:rsidP="003D138B">
            <w:pPr>
              <w:spacing w:after="0"/>
              <w:rPr>
                <w:rFonts w:cstheme="minorHAnsi"/>
                <w:sz w:val="20"/>
                <w:szCs w:val="20"/>
              </w:rPr>
            </w:pPr>
            <w:r w:rsidRPr="0000335B">
              <w:rPr>
                <w:rFonts w:cs="Arial"/>
                <w:sz w:val="20"/>
                <w:szCs w:val="20"/>
              </w:rPr>
              <w:t>Uses limited culturally responsive sources and applies limited and/or inaccurate referencing techniques when conducting inquirie</w:t>
            </w:r>
            <w:r>
              <w:rPr>
                <w:rFonts w:cs="Arial"/>
                <w:sz w:val="20"/>
                <w:szCs w:val="20"/>
              </w:rPr>
              <w:t>s.</w:t>
            </w:r>
          </w:p>
        </w:tc>
      </w:tr>
    </w:tbl>
    <w:p w14:paraId="3A046E70" w14:textId="77777777" w:rsidR="007766C5" w:rsidRPr="003D138B" w:rsidRDefault="007766C5" w:rsidP="003D3E71">
      <w:pPr>
        <w:spacing w:after="0"/>
        <w:rPr>
          <w:sz w:val="18"/>
          <w:szCs w:val="18"/>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0"/>
        <w:gridCol w:w="8110"/>
      </w:tblGrid>
      <w:tr w:rsidR="007A2B1D" w:rsidRPr="00A93F91" w14:paraId="6FFA8C85" w14:textId="77777777" w:rsidTr="00E3027E">
        <w:trPr>
          <w:trHeight w:val="497"/>
        </w:trPr>
        <w:tc>
          <w:tcPr>
            <w:tcW w:w="993" w:type="dxa"/>
            <w:shd w:val="clear" w:color="auto" w:fill="9983B5"/>
            <w:vAlign w:val="center"/>
          </w:tcPr>
          <w:p w14:paraId="570D8E7C" w14:textId="77777777" w:rsidR="007A2B1D" w:rsidRPr="000830BD" w:rsidRDefault="007A2B1D" w:rsidP="00CD489B">
            <w:pPr>
              <w:spacing w:after="0"/>
              <w:jc w:val="center"/>
              <w:rPr>
                <w:rFonts w:cs="Arial"/>
                <w:b/>
                <w:color w:val="FFFFFF" w:themeColor="background1"/>
                <w:sz w:val="40"/>
                <w:szCs w:val="40"/>
              </w:rPr>
            </w:pPr>
            <w:r w:rsidRPr="000830BD">
              <w:rPr>
                <w:rFonts w:cs="Arial"/>
                <w:b/>
                <w:color w:val="FFFFFF" w:themeColor="background1"/>
                <w:sz w:val="40"/>
                <w:szCs w:val="40"/>
              </w:rPr>
              <w:t>E</w:t>
            </w:r>
          </w:p>
        </w:tc>
        <w:tc>
          <w:tcPr>
            <w:tcW w:w="8788" w:type="dxa"/>
          </w:tcPr>
          <w:p w14:paraId="3E20160B" w14:textId="47044D01" w:rsidR="007A2B1D" w:rsidRPr="009D7425" w:rsidRDefault="007A2B1D" w:rsidP="003D138B">
            <w:pPr>
              <w:spacing w:after="0"/>
              <w:rPr>
                <w:rFonts w:cstheme="minorHAnsi"/>
                <w:color w:val="000000"/>
                <w:sz w:val="20"/>
                <w:szCs w:val="20"/>
              </w:rPr>
            </w:pPr>
            <w:r>
              <w:rPr>
                <w:rFonts w:eastAsia="Times New Roman" w:cs="Calibri"/>
                <w:sz w:val="20"/>
              </w:rPr>
              <w:t>Does not meet the requirements of a D grade and/or has completed insufficient assessment tasks to be assigned a higher grade.</w:t>
            </w:r>
          </w:p>
        </w:tc>
      </w:tr>
    </w:tbl>
    <w:bookmarkEnd w:id="66"/>
    <w:p w14:paraId="3304178B" w14:textId="4BA64873" w:rsidR="00F60205" w:rsidRPr="00CE6E4D" w:rsidRDefault="00C34F17" w:rsidP="003D138B">
      <w:pPr>
        <w:spacing w:before="120" w:after="0"/>
      </w:pPr>
      <w:r w:rsidRPr="00CE6E4D">
        <w:t>These grade descriptions will be reviewed at the end of the second year of implementation of this syllabus.</w:t>
      </w:r>
    </w:p>
    <w:p w14:paraId="3DD2662B" w14:textId="77777777" w:rsidR="00E3783B" w:rsidRDefault="00E3783B" w:rsidP="00593876">
      <w:pPr>
        <w:sectPr w:rsidR="00E3783B" w:rsidSect="00D66B40">
          <w:headerReference w:type="even" r:id="rId15"/>
          <w:headerReference w:type="default" r:id="rId16"/>
          <w:footerReference w:type="even" r:id="rId17"/>
          <w:footerReference w:type="default" r:id="rId18"/>
          <w:type w:val="oddPage"/>
          <w:pgSz w:w="11906" w:h="16838"/>
          <w:pgMar w:top="1644" w:right="1418" w:bottom="1276" w:left="1418" w:header="680" w:footer="567" w:gutter="0"/>
          <w:pgNumType w:start="1"/>
          <w:cols w:space="709"/>
          <w:docGrid w:linePitch="360"/>
        </w:sectPr>
      </w:pPr>
    </w:p>
    <w:p w14:paraId="576CE462" w14:textId="00ABFDA8" w:rsidR="00416C3D" w:rsidRPr="00A93F91" w:rsidRDefault="00A85697" w:rsidP="00593876">
      <w:r w:rsidRPr="00BF6F9A">
        <w:rPr>
          <w:noProof/>
          <w:lang w:eastAsia="en-AU" w:bidi="hi-IN"/>
        </w:rPr>
        <w:lastRenderedPageBreak/>
        <w:drawing>
          <wp:anchor distT="0" distB="0" distL="114300" distR="114300" simplePos="0" relativeHeight="251659264" behindDoc="0" locked="0" layoutInCell="1" allowOverlap="1" wp14:anchorId="15253C7D" wp14:editId="50170357">
            <wp:simplePos x="0" y="0"/>
            <wp:positionH relativeFrom="page">
              <wp:align>center</wp:align>
            </wp:positionH>
            <wp:positionV relativeFrom="page">
              <wp:align>center</wp:align>
            </wp:positionV>
            <wp:extent cx="7549200" cy="10677600"/>
            <wp:effectExtent l="0" t="0" r="0" b="0"/>
            <wp:wrapNone/>
            <wp:docPr id="3" name="Picture 3" descr="A picture containing lilac, purple,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lac, purple, graphics, desig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16C3D" w:rsidRPr="00A93F91" w:rsidSect="00E3783B">
      <w:type w:val="even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72882" w14:textId="77777777" w:rsidR="00563D67" w:rsidRDefault="00563D67" w:rsidP="00742128">
      <w:pPr>
        <w:spacing w:after="0" w:line="240" w:lineRule="auto"/>
      </w:pPr>
      <w:r>
        <w:separator/>
      </w:r>
    </w:p>
  </w:endnote>
  <w:endnote w:type="continuationSeparator" w:id="0">
    <w:p w14:paraId="11AC91FE" w14:textId="77777777" w:rsidR="00563D67" w:rsidRDefault="00563D67"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oto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6E4E" w14:textId="7F7FCF50" w:rsidR="002C7AF8" w:rsidRPr="003C059B" w:rsidRDefault="00751318" w:rsidP="002C7AF8">
    <w:pPr>
      <w:pStyle w:val="Footereven"/>
    </w:pPr>
    <w:r>
      <w:t>20</w:t>
    </w:r>
    <w:r w:rsidR="00C77063">
      <w:t>23</w:t>
    </w:r>
    <w:r w:rsidR="00F05586">
      <w:t>/</w:t>
    </w:r>
    <w:r w:rsidR="00C77063">
      <w:t>47086</w:t>
    </w:r>
    <w:r w:rsidR="00F05586">
      <w:t>[v</w:t>
    </w:r>
    <w:r w:rsidR="00C77063">
      <w:t>6</w:t>
    </w:r>
    <w:r w:rsidR="00F0558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AEE2" w14:textId="4A4D2DBD" w:rsidR="00F05586" w:rsidRPr="00F05586" w:rsidRDefault="00F05586" w:rsidP="00F05586">
    <w:pPr>
      <w:pStyle w:val="Footereven"/>
    </w:pPr>
    <w:r w:rsidRPr="00B766C7">
      <w:t>Aboriginal and Intercultural Studies</w:t>
    </w:r>
    <w:r>
      <w:t xml:space="preserve"> | ATAR | </w:t>
    </w:r>
    <w:r w:rsidRPr="00E32B4F">
      <w:t>Year 11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EBC4B" w14:textId="77777777" w:rsidR="00F05586" w:rsidRPr="003C059B" w:rsidRDefault="00F05586" w:rsidP="002C7AF8">
    <w:pPr>
      <w:pStyle w:val="Footerodd"/>
    </w:pPr>
    <w:r w:rsidRPr="00B766C7">
      <w:t>Aboriginal and Intercultural Studies</w:t>
    </w:r>
    <w:r>
      <w:t xml:space="preserve"> | ATAR | </w:t>
    </w:r>
    <w:r w:rsidRPr="00E32B4F">
      <w:t>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0ADE3" w14:textId="77777777" w:rsidR="00563D67" w:rsidRDefault="00563D67" w:rsidP="00742128">
      <w:pPr>
        <w:spacing w:after="0" w:line="240" w:lineRule="auto"/>
      </w:pPr>
      <w:r>
        <w:separator/>
      </w:r>
    </w:p>
  </w:footnote>
  <w:footnote w:type="continuationSeparator" w:id="0">
    <w:p w14:paraId="7DCF80D0" w14:textId="77777777" w:rsidR="00563D67" w:rsidRDefault="00563D67"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8A77" w14:textId="439D14CC" w:rsidR="00F05586" w:rsidRPr="002C7AF8" w:rsidRDefault="00F05586" w:rsidP="002C7AF8">
    <w:pPr>
      <w:pStyle w:val="Headereven"/>
    </w:pPr>
    <w:r w:rsidRPr="002C7AF8">
      <w:rPr>
        <w:rStyle w:val="PageNumber"/>
      </w:rPr>
      <w:fldChar w:fldCharType="begin"/>
    </w:r>
    <w:r w:rsidRPr="002C7AF8">
      <w:rPr>
        <w:rStyle w:val="PageNumber"/>
      </w:rPr>
      <w:instrText xml:space="preserve"> PAGE </w:instrText>
    </w:r>
    <w:r w:rsidRPr="002C7AF8">
      <w:rPr>
        <w:rStyle w:val="PageNumber"/>
      </w:rPr>
      <w:fldChar w:fldCharType="separate"/>
    </w:r>
    <w:r w:rsidRPr="002C7AF8">
      <w:rPr>
        <w:rStyle w:val="PageNumber"/>
      </w:rPr>
      <w:t>2</w:t>
    </w:r>
    <w:r w:rsidRPr="002C7AF8">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FAA5" w14:textId="004A75FD" w:rsidR="00F05586" w:rsidRPr="002C7AF8" w:rsidRDefault="00F05586" w:rsidP="002C7AF8">
    <w:pPr>
      <w:pStyle w:val="Headerodd"/>
    </w:pPr>
    <w:r w:rsidRPr="002C7AF8">
      <w:rPr>
        <w:rStyle w:val="PageNumber"/>
      </w:rPr>
      <w:fldChar w:fldCharType="begin"/>
    </w:r>
    <w:r w:rsidRPr="002C7AF8">
      <w:rPr>
        <w:rStyle w:val="PageNumber"/>
      </w:rPr>
      <w:instrText xml:space="preserve"> PAGE </w:instrText>
    </w:r>
    <w:r w:rsidRPr="002C7AF8">
      <w:rPr>
        <w:rStyle w:val="PageNumber"/>
      </w:rPr>
      <w:fldChar w:fldCharType="separate"/>
    </w:r>
    <w:r w:rsidRPr="002C7AF8">
      <w:rPr>
        <w:rStyle w:val="PageNumber"/>
      </w:rPr>
      <w:t>2</w:t>
    </w:r>
    <w:r w:rsidRPr="002C7AF8">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4A1"/>
    <w:multiLevelType w:val="hybridMultilevel"/>
    <w:tmpl w:val="9B0C961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C044A9"/>
    <w:multiLevelType w:val="multilevel"/>
    <w:tmpl w:val="428E9E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516DE8"/>
    <w:multiLevelType w:val="multilevel"/>
    <w:tmpl w:val="0A720C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306387"/>
    <w:multiLevelType w:val="multilevel"/>
    <w:tmpl w:val="F982B9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386B2C"/>
    <w:multiLevelType w:val="multilevel"/>
    <w:tmpl w:val="EC3EB6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C76994"/>
    <w:multiLevelType w:val="multilevel"/>
    <w:tmpl w:val="03F89D3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7745C5"/>
    <w:multiLevelType w:val="multilevel"/>
    <w:tmpl w:val="4C42FA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C628A2"/>
    <w:multiLevelType w:val="multilevel"/>
    <w:tmpl w:val="5F524E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6401C9"/>
    <w:multiLevelType w:val="hybridMultilevel"/>
    <w:tmpl w:val="B74A337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A00E22"/>
    <w:multiLevelType w:val="multilevel"/>
    <w:tmpl w:val="1BFC13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312FE1"/>
    <w:multiLevelType w:val="multilevel"/>
    <w:tmpl w:val="8D6C11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623257"/>
    <w:multiLevelType w:val="multilevel"/>
    <w:tmpl w:val="9C5E3E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665A93"/>
    <w:multiLevelType w:val="multilevel"/>
    <w:tmpl w:val="CA026D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1957C6"/>
    <w:multiLevelType w:val="multilevel"/>
    <w:tmpl w:val="4D784F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416FEF"/>
    <w:multiLevelType w:val="multilevel"/>
    <w:tmpl w:val="02B07BFC"/>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6" w15:restartNumberingAfterBreak="0">
    <w:nsid w:val="3E713294"/>
    <w:multiLevelType w:val="multilevel"/>
    <w:tmpl w:val="EC8094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85612"/>
    <w:multiLevelType w:val="multilevel"/>
    <w:tmpl w:val="FFA87D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4675DD"/>
    <w:multiLevelType w:val="hybridMultilevel"/>
    <w:tmpl w:val="C89A5E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A21326"/>
    <w:multiLevelType w:val="multilevel"/>
    <w:tmpl w:val="966E9EE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7612F1"/>
    <w:multiLevelType w:val="hybridMultilevel"/>
    <w:tmpl w:val="AC247A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894838"/>
    <w:multiLevelType w:val="multilevel"/>
    <w:tmpl w:val="F00492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815B46"/>
    <w:multiLevelType w:val="multilevel"/>
    <w:tmpl w:val="756E64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EB36FC"/>
    <w:multiLevelType w:val="hybridMultilevel"/>
    <w:tmpl w:val="616263C4"/>
    <w:lvl w:ilvl="0" w:tplc="0C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50076198"/>
    <w:multiLevelType w:val="multilevel"/>
    <w:tmpl w:val="FB22DD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273723"/>
    <w:multiLevelType w:val="hybridMultilevel"/>
    <w:tmpl w:val="997E090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F576ED"/>
    <w:multiLevelType w:val="hybridMultilevel"/>
    <w:tmpl w:val="587602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622E31"/>
    <w:multiLevelType w:val="multilevel"/>
    <w:tmpl w:val="BD5C1CD8"/>
    <w:styleLink w:val="SyllabusBullets"/>
    <w:lvl w:ilvl="0">
      <w:start w:val="1"/>
      <w:numFmt w:val="bullet"/>
      <w:lvlText w:val=""/>
      <w:lvlJc w:val="left"/>
      <w:pPr>
        <w:ind w:left="357" w:hanging="357"/>
      </w:pPr>
      <w:rPr>
        <w:rFonts w:ascii="Symbol" w:hAnsi="Symbol" w:hint="default"/>
        <w:sz w:val="22"/>
        <w:szCs w:val="22"/>
      </w:rPr>
    </w:lvl>
    <w:lvl w:ilvl="1">
      <w:start w:val="1"/>
      <w:numFmt w:val="bullet"/>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9" w15:restartNumberingAfterBreak="0">
    <w:nsid w:val="7B471893"/>
    <w:multiLevelType w:val="multilevel"/>
    <w:tmpl w:val="896C87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E66745"/>
    <w:multiLevelType w:val="multilevel"/>
    <w:tmpl w:val="A3907C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02245">
    <w:abstractNumId w:val="15"/>
    <w:lvlOverride w:ilvl="0">
      <w:lvl w:ilvl="0">
        <w:start w:val="1"/>
        <w:numFmt w:val="bullet"/>
        <w:lvlText w:val=""/>
        <w:lvlJc w:val="left"/>
        <w:pPr>
          <w:tabs>
            <w:tab w:val="num" w:pos="397"/>
          </w:tabs>
          <w:ind w:left="397" w:hanging="397"/>
        </w:pPr>
        <w:rPr>
          <w:rFonts w:ascii="Symbol" w:hAnsi="Symbol" w:hint="default"/>
          <w:strike w:val="0"/>
        </w:rPr>
      </w:lvl>
    </w:lvlOverride>
  </w:num>
  <w:num w:numId="2" w16cid:durableId="882442537">
    <w:abstractNumId w:val="15"/>
  </w:num>
  <w:num w:numId="3" w16cid:durableId="1872647274">
    <w:abstractNumId w:val="8"/>
  </w:num>
  <w:num w:numId="4" w16cid:durableId="1338845619">
    <w:abstractNumId w:val="28"/>
  </w:num>
  <w:num w:numId="5" w16cid:durableId="1922325667">
    <w:abstractNumId w:val="9"/>
  </w:num>
  <w:num w:numId="6" w16cid:durableId="1476339672">
    <w:abstractNumId w:val="18"/>
  </w:num>
  <w:num w:numId="7" w16cid:durableId="1329166897">
    <w:abstractNumId w:val="22"/>
  </w:num>
  <w:num w:numId="8" w16cid:durableId="2018461753">
    <w:abstractNumId w:val="19"/>
  </w:num>
  <w:num w:numId="9" w16cid:durableId="82387285">
    <w:abstractNumId w:val="26"/>
  </w:num>
  <w:num w:numId="10" w16cid:durableId="444732462">
    <w:abstractNumId w:val="27"/>
  </w:num>
  <w:num w:numId="11" w16cid:durableId="1087263143">
    <w:abstractNumId w:val="0"/>
  </w:num>
  <w:num w:numId="12" w16cid:durableId="1999454187">
    <w:abstractNumId w:val="19"/>
  </w:num>
  <w:num w:numId="13" w16cid:durableId="1833254008">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9922291">
    <w:abstractNumId w:val="20"/>
  </w:num>
  <w:num w:numId="15" w16cid:durableId="549922095">
    <w:abstractNumId w:val="12"/>
  </w:num>
  <w:num w:numId="16" w16cid:durableId="485975605">
    <w:abstractNumId w:val="16"/>
  </w:num>
  <w:num w:numId="17" w16cid:durableId="1936018061">
    <w:abstractNumId w:val="17"/>
  </w:num>
  <w:num w:numId="18" w16cid:durableId="1145781616">
    <w:abstractNumId w:val="13"/>
  </w:num>
  <w:num w:numId="19" w16cid:durableId="1769495489">
    <w:abstractNumId w:val="23"/>
  </w:num>
  <w:num w:numId="20" w16cid:durableId="1883863798">
    <w:abstractNumId w:val="1"/>
  </w:num>
  <w:num w:numId="21" w16cid:durableId="1703096623">
    <w:abstractNumId w:val="6"/>
  </w:num>
  <w:num w:numId="22" w16cid:durableId="1780682892">
    <w:abstractNumId w:val="5"/>
  </w:num>
  <w:num w:numId="23" w16cid:durableId="816535387">
    <w:abstractNumId w:val="3"/>
  </w:num>
  <w:num w:numId="24" w16cid:durableId="34161211">
    <w:abstractNumId w:val="10"/>
  </w:num>
  <w:num w:numId="25" w16cid:durableId="856433198">
    <w:abstractNumId w:val="29"/>
  </w:num>
  <w:num w:numId="26" w16cid:durableId="1301839633">
    <w:abstractNumId w:val="30"/>
  </w:num>
  <w:num w:numId="27" w16cid:durableId="390159582">
    <w:abstractNumId w:val="4"/>
  </w:num>
  <w:num w:numId="28" w16cid:durableId="1872917118">
    <w:abstractNumId w:val="11"/>
  </w:num>
  <w:num w:numId="29" w16cid:durableId="1839612662">
    <w:abstractNumId w:val="14"/>
  </w:num>
  <w:num w:numId="30" w16cid:durableId="1773277354">
    <w:abstractNumId w:val="7"/>
  </w:num>
  <w:num w:numId="31" w16cid:durableId="501775104">
    <w:abstractNumId w:val="2"/>
  </w:num>
  <w:num w:numId="32" w16cid:durableId="1879932828">
    <w:abstractNumId w:val="25"/>
  </w:num>
  <w:num w:numId="33" w16cid:durableId="339739679">
    <w:abstractNumId w:val="24"/>
  </w:num>
  <w:num w:numId="34" w16cid:durableId="1030762388">
    <w:abstractNumId w:val="25"/>
  </w:num>
  <w:num w:numId="35" w16cid:durableId="151437220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02DD"/>
    <w:rsid w:val="0000213F"/>
    <w:rsid w:val="00002F36"/>
    <w:rsid w:val="0000317C"/>
    <w:rsid w:val="00003459"/>
    <w:rsid w:val="0000345F"/>
    <w:rsid w:val="00006696"/>
    <w:rsid w:val="00006C27"/>
    <w:rsid w:val="00007E22"/>
    <w:rsid w:val="0001040B"/>
    <w:rsid w:val="00013CC4"/>
    <w:rsid w:val="00015DDE"/>
    <w:rsid w:val="00016BD4"/>
    <w:rsid w:val="0001727E"/>
    <w:rsid w:val="00017D9C"/>
    <w:rsid w:val="0002336A"/>
    <w:rsid w:val="00023D45"/>
    <w:rsid w:val="00023E2B"/>
    <w:rsid w:val="00024E9D"/>
    <w:rsid w:val="00031C11"/>
    <w:rsid w:val="00032340"/>
    <w:rsid w:val="000332F3"/>
    <w:rsid w:val="0003569A"/>
    <w:rsid w:val="00036A92"/>
    <w:rsid w:val="00036F9A"/>
    <w:rsid w:val="000370E0"/>
    <w:rsid w:val="00042661"/>
    <w:rsid w:val="00043A39"/>
    <w:rsid w:val="00044FDD"/>
    <w:rsid w:val="000509CD"/>
    <w:rsid w:val="0005135D"/>
    <w:rsid w:val="00054DF2"/>
    <w:rsid w:val="0005533C"/>
    <w:rsid w:val="00057D33"/>
    <w:rsid w:val="0006007F"/>
    <w:rsid w:val="000660CC"/>
    <w:rsid w:val="00073439"/>
    <w:rsid w:val="00075F28"/>
    <w:rsid w:val="00076AF9"/>
    <w:rsid w:val="00080A2D"/>
    <w:rsid w:val="0008142C"/>
    <w:rsid w:val="000824D9"/>
    <w:rsid w:val="00082A26"/>
    <w:rsid w:val="000830BD"/>
    <w:rsid w:val="00084A54"/>
    <w:rsid w:val="00085237"/>
    <w:rsid w:val="00085626"/>
    <w:rsid w:val="00085F8F"/>
    <w:rsid w:val="000871B7"/>
    <w:rsid w:val="0009024C"/>
    <w:rsid w:val="0009076A"/>
    <w:rsid w:val="00093187"/>
    <w:rsid w:val="000933B2"/>
    <w:rsid w:val="000941B0"/>
    <w:rsid w:val="0009614D"/>
    <w:rsid w:val="000971DD"/>
    <w:rsid w:val="000A60A0"/>
    <w:rsid w:val="000A60CB"/>
    <w:rsid w:val="000A6A7C"/>
    <w:rsid w:val="000A6ABE"/>
    <w:rsid w:val="000A7B41"/>
    <w:rsid w:val="000B1044"/>
    <w:rsid w:val="000B10DA"/>
    <w:rsid w:val="000B1346"/>
    <w:rsid w:val="000B16A8"/>
    <w:rsid w:val="000B3683"/>
    <w:rsid w:val="000B4EF4"/>
    <w:rsid w:val="000C1262"/>
    <w:rsid w:val="000C209A"/>
    <w:rsid w:val="000C4411"/>
    <w:rsid w:val="000C60E9"/>
    <w:rsid w:val="000C63F4"/>
    <w:rsid w:val="000C6659"/>
    <w:rsid w:val="000D0EFF"/>
    <w:rsid w:val="000D15D8"/>
    <w:rsid w:val="000D2BE0"/>
    <w:rsid w:val="000D3832"/>
    <w:rsid w:val="000D4735"/>
    <w:rsid w:val="000D5203"/>
    <w:rsid w:val="000D5EED"/>
    <w:rsid w:val="000D689A"/>
    <w:rsid w:val="000E1A59"/>
    <w:rsid w:val="000E2035"/>
    <w:rsid w:val="000E218B"/>
    <w:rsid w:val="000E32D9"/>
    <w:rsid w:val="000F048C"/>
    <w:rsid w:val="000F07DB"/>
    <w:rsid w:val="000F0978"/>
    <w:rsid w:val="000F11CC"/>
    <w:rsid w:val="000F404F"/>
    <w:rsid w:val="000F6D17"/>
    <w:rsid w:val="000F729D"/>
    <w:rsid w:val="00100C85"/>
    <w:rsid w:val="00101994"/>
    <w:rsid w:val="00104329"/>
    <w:rsid w:val="001051EF"/>
    <w:rsid w:val="0010526A"/>
    <w:rsid w:val="00106FB9"/>
    <w:rsid w:val="00107B8D"/>
    <w:rsid w:val="00112118"/>
    <w:rsid w:val="00112932"/>
    <w:rsid w:val="001176E8"/>
    <w:rsid w:val="001200AC"/>
    <w:rsid w:val="00120671"/>
    <w:rsid w:val="0012087B"/>
    <w:rsid w:val="001243D8"/>
    <w:rsid w:val="0012754D"/>
    <w:rsid w:val="0013065D"/>
    <w:rsid w:val="0013092D"/>
    <w:rsid w:val="00130AFE"/>
    <w:rsid w:val="00130B03"/>
    <w:rsid w:val="00131E4D"/>
    <w:rsid w:val="0013465E"/>
    <w:rsid w:val="00136547"/>
    <w:rsid w:val="00141089"/>
    <w:rsid w:val="001451B9"/>
    <w:rsid w:val="00146160"/>
    <w:rsid w:val="001500B2"/>
    <w:rsid w:val="0015060B"/>
    <w:rsid w:val="0015397F"/>
    <w:rsid w:val="001563B1"/>
    <w:rsid w:val="001567D0"/>
    <w:rsid w:val="00156E20"/>
    <w:rsid w:val="00157BFF"/>
    <w:rsid w:val="00157E06"/>
    <w:rsid w:val="00160379"/>
    <w:rsid w:val="0016144B"/>
    <w:rsid w:val="00163206"/>
    <w:rsid w:val="001635AE"/>
    <w:rsid w:val="0016442C"/>
    <w:rsid w:val="00166FCB"/>
    <w:rsid w:val="00167B9F"/>
    <w:rsid w:val="001702DE"/>
    <w:rsid w:val="00171100"/>
    <w:rsid w:val="00175416"/>
    <w:rsid w:val="0017562F"/>
    <w:rsid w:val="00175C55"/>
    <w:rsid w:val="001813C7"/>
    <w:rsid w:val="001819D7"/>
    <w:rsid w:val="001866EA"/>
    <w:rsid w:val="00187765"/>
    <w:rsid w:val="00190978"/>
    <w:rsid w:val="00191B6C"/>
    <w:rsid w:val="00192FC7"/>
    <w:rsid w:val="0019340B"/>
    <w:rsid w:val="001936CC"/>
    <w:rsid w:val="001943A4"/>
    <w:rsid w:val="00194F1D"/>
    <w:rsid w:val="001953C6"/>
    <w:rsid w:val="001A04CD"/>
    <w:rsid w:val="001A2500"/>
    <w:rsid w:val="001A39D0"/>
    <w:rsid w:val="001A4D3F"/>
    <w:rsid w:val="001A7DBB"/>
    <w:rsid w:val="001B1383"/>
    <w:rsid w:val="001B699E"/>
    <w:rsid w:val="001B73BA"/>
    <w:rsid w:val="001C1E2D"/>
    <w:rsid w:val="001C27BD"/>
    <w:rsid w:val="001C3D6C"/>
    <w:rsid w:val="001D0D3F"/>
    <w:rsid w:val="001D4B3B"/>
    <w:rsid w:val="001D5394"/>
    <w:rsid w:val="001D56E3"/>
    <w:rsid w:val="001D5CDA"/>
    <w:rsid w:val="001D5DAA"/>
    <w:rsid w:val="001D661D"/>
    <w:rsid w:val="001D66F3"/>
    <w:rsid w:val="001D717F"/>
    <w:rsid w:val="001D71EC"/>
    <w:rsid w:val="001D76C5"/>
    <w:rsid w:val="001E20E2"/>
    <w:rsid w:val="001F0966"/>
    <w:rsid w:val="001F6411"/>
    <w:rsid w:val="001F76F9"/>
    <w:rsid w:val="002001D8"/>
    <w:rsid w:val="00202436"/>
    <w:rsid w:val="00203FF5"/>
    <w:rsid w:val="00205DE8"/>
    <w:rsid w:val="00207341"/>
    <w:rsid w:val="0021044A"/>
    <w:rsid w:val="00217284"/>
    <w:rsid w:val="00217506"/>
    <w:rsid w:val="00217C4F"/>
    <w:rsid w:val="00220381"/>
    <w:rsid w:val="00223D1B"/>
    <w:rsid w:val="00224BAC"/>
    <w:rsid w:val="00224EA4"/>
    <w:rsid w:val="0022567D"/>
    <w:rsid w:val="00226274"/>
    <w:rsid w:val="002263DA"/>
    <w:rsid w:val="0023023D"/>
    <w:rsid w:val="00236CFF"/>
    <w:rsid w:val="002375DE"/>
    <w:rsid w:val="00240A97"/>
    <w:rsid w:val="0024363D"/>
    <w:rsid w:val="002451B5"/>
    <w:rsid w:val="00245398"/>
    <w:rsid w:val="00245996"/>
    <w:rsid w:val="00246E52"/>
    <w:rsid w:val="00247037"/>
    <w:rsid w:val="002473B9"/>
    <w:rsid w:val="00250292"/>
    <w:rsid w:val="002509A5"/>
    <w:rsid w:val="002511DD"/>
    <w:rsid w:val="002533D1"/>
    <w:rsid w:val="00255553"/>
    <w:rsid w:val="0025749C"/>
    <w:rsid w:val="0026063C"/>
    <w:rsid w:val="00264DBE"/>
    <w:rsid w:val="0026534A"/>
    <w:rsid w:val="00267595"/>
    <w:rsid w:val="00270163"/>
    <w:rsid w:val="002706B4"/>
    <w:rsid w:val="002728A3"/>
    <w:rsid w:val="0027335A"/>
    <w:rsid w:val="00275384"/>
    <w:rsid w:val="00276221"/>
    <w:rsid w:val="002762D3"/>
    <w:rsid w:val="00281AD1"/>
    <w:rsid w:val="00281B06"/>
    <w:rsid w:val="002833FF"/>
    <w:rsid w:val="00285893"/>
    <w:rsid w:val="00290C4A"/>
    <w:rsid w:val="00291EA6"/>
    <w:rsid w:val="00292731"/>
    <w:rsid w:val="00294F98"/>
    <w:rsid w:val="00297207"/>
    <w:rsid w:val="00297BBB"/>
    <w:rsid w:val="002A25BC"/>
    <w:rsid w:val="002A29CA"/>
    <w:rsid w:val="002A460B"/>
    <w:rsid w:val="002A471E"/>
    <w:rsid w:val="002A5DDD"/>
    <w:rsid w:val="002A77A2"/>
    <w:rsid w:val="002B18B6"/>
    <w:rsid w:val="002B1A9E"/>
    <w:rsid w:val="002B3FC1"/>
    <w:rsid w:val="002B519D"/>
    <w:rsid w:val="002B5511"/>
    <w:rsid w:val="002B57DA"/>
    <w:rsid w:val="002B6FEE"/>
    <w:rsid w:val="002B79DF"/>
    <w:rsid w:val="002C05E5"/>
    <w:rsid w:val="002C09C4"/>
    <w:rsid w:val="002C11EC"/>
    <w:rsid w:val="002C61E6"/>
    <w:rsid w:val="002C7AF8"/>
    <w:rsid w:val="002D01AF"/>
    <w:rsid w:val="002D57AD"/>
    <w:rsid w:val="002D5F35"/>
    <w:rsid w:val="002D65F7"/>
    <w:rsid w:val="002D7972"/>
    <w:rsid w:val="002E06EC"/>
    <w:rsid w:val="002E070B"/>
    <w:rsid w:val="002E78F4"/>
    <w:rsid w:val="002F002A"/>
    <w:rsid w:val="002F186E"/>
    <w:rsid w:val="002F3A83"/>
    <w:rsid w:val="002F5334"/>
    <w:rsid w:val="003014A6"/>
    <w:rsid w:val="00304684"/>
    <w:rsid w:val="00304E41"/>
    <w:rsid w:val="00305496"/>
    <w:rsid w:val="0030608A"/>
    <w:rsid w:val="00306C56"/>
    <w:rsid w:val="00307855"/>
    <w:rsid w:val="00312156"/>
    <w:rsid w:val="00312298"/>
    <w:rsid w:val="00312828"/>
    <w:rsid w:val="00315B44"/>
    <w:rsid w:val="00315E51"/>
    <w:rsid w:val="00317833"/>
    <w:rsid w:val="0032037A"/>
    <w:rsid w:val="00322A21"/>
    <w:rsid w:val="00326242"/>
    <w:rsid w:val="003264C8"/>
    <w:rsid w:val="00326C95"/>
    <w:rsid w:val="00327665"/>
    <w:rsid w:val="003300ED"/>
    <w:rsid w:val="00330C46"/>
    <w:rsid w:val="0033404A"/>
    <w:rsid w:val="00335377"/>
    <w:rsid w:val="00336B68"/>
    <w:rsid w:val="00341EC9"/>
    <w:rsid w:val="00343469"/>
    <w:rsid w:val="003455D3"/>
    <w:rsid w:val="00347970"/>
    <w:rsid w:val="00352DF8"/>
    <w:rsid w:val="00353016"/>
    <w:rsid w:val="0035512C"/>
    <w:rsid w:val="00357F49"/>
    <w:rsid w:val="00361496"/>
    <w:rsid w:val="0036440F"/>
    <w:rsid w:val="00364BF8"/>
    <w:rsid w:val="003668C3"/>
    <w:rsid w:val="00383597"/>
    <w:rsid w:val="00384076"/>
    <w:rsid w:val="00385410"/>
    <w:rsid w:val="00385595"/>
    <w:rsid w:val="00385D9E"/>
    <w:rsid w:val="0038634F"/>
    <w:rsid w:val="0038711C"/>
    <w:rsid w:val="0038797E"/>
    <w:rsid w:val="003906C9"/>
    <w:rsid w:val="00390A28"/>
    <w:rsid w:val="00391507"/>
    <w:rsid w:val="0039509D"/>
    <w:rsid w:val="0039616F"/>
    <w:rsid w:val="003A1928"/>
    <w:rsid w:val="003A2EB4"/>
    <w:rsid w:val="003A3D29"/>
    <w:rsid w:val="003A5B29"/>
    <w:rsid w:val="003A621E"/>
    <w:rsid w:val="003A6CF6"/>
    <w:rsid w:val="003A6F8D"/>
    <w:rsid w:val="003A72F6"/>
    <w:rsid w:val="003B06FE"/>
    <w:rsid w:val="003B1A32"/>
    <w:rsid w:val="003B39F6"/>
    <w:rsid w:val="003B5D2A"/>
    <w:rsid w:val="003B7B5E"/>
    <w:rsid w:val="003C0558"/>
    <w:rsid w:val="003C059B"/>
    <w:rsid w:val="003C078F"/>
    <w:rsid w:val="003C0879"/>
    <w:rsid w:val="003C73C8"/>
    <w:rsid w:val="003D0829"/>
    <w:rsid w:val="003D138B"/>
    <w:rsid w:val="003D1C45"/>
    <w:rsid w:val="003D2071"/>
    <w:rsid w:val="003D2A3C"/>
    <w:rsid w:val="003D3CBD"/>
    <w:rsid w:val="003D3E71"/>
    <w:rsid w:val="003D5B34"/>
    <w:rsid w:val="003D667A"/>
    <w:rsid w:val="003D73F2"/>
    <w:rsid w:val="003E056E"/>
    <w:rsid w:val="003E18AF"/>
    <w:rsid w:val="003E2A4B"/>
    <w:rsid w:val="003E2A71"/>
    <w:rsid w:val="003E2EBE"/>
    <w:rsid w:val="003E394E"/>
    <w:rsid w:val="003E60FF"/>
    <w:rsid w:val="003E6BC2"/>
    <w:rsid w:val="003E6DB6"/>
    <w:rsid w:val="003F0EBF"/>
    <w:rsid w:val="003F1C41"/>
    <w:rsid w:val="003F21DD"/>
    <w:rsid w:val="003F2E4D"/>
    <w:rsid w:val="003F46D5"/>
    <w:rsid w:val="003F4E8B"/>
    <w:rsid w:val="003F5F8E"/>
    <w:rsid w:val="003F69D0"/>
    <w:rsid w:val="003F6D7D"/>
    <w:rsid w:val="004062B0"/>
    <w:rsid w:val="00406DD6"/>
    <w:rsid w:val="00406E52"/>
    <w:rsid w:val="0040794D"/>
    <w:rsid w:val="00412E85"/>
    <w:rsid w:val="00413B09"/>
    <w:rsid w:val="00413C8C"/>
    <w:rsid w:val="00416C3D"/>
    <w:rsid w:val="00417BEE"/>
    <w:rsid w:val="0042005D"/>
    <w:rsid w:val="00420218"/>
    <w:rsid w:val="00421A8C"/>
    <w:rsid w:val="004227E6"/>
    <w:rsid w:val="00426B9A"/>
    <w:rsid w:val="004304C1"/>
    <w:rsid w:val="00431694"/>
    <w:rsid w:val="004342C7"/>
    <w:rsid w:val="00434AF8"/>
    <w:rsid w:val="00434D6E"/>
    <w:rsid w:val="0043620D"/>
    <w:rsid w:val="00436A62"/>
    <w:rsid w:val="0044131C"/>
    <w:rsid w:val="004434B8"/>
    <w:rsid w:val="00443748"/>
    <w:rsid w:val="00443DC6"/>
    <w:rsid w:val="00444968"/>
    <w:rsid w:val="0044627A"/>
    <w:rsid w:val="004462B1"/>
    <w:rsid w:val="00446AD4"/>
    <w:rsid w:val="00451F33"/>
    <w:rsid w:val="00452FE7"/>
    <w:rsid w:val="004535A4"/>
    <w:rsid w:val="00453732"/>
    <w:rsid w:val="00465F15"/>
    <w:rsid w:val="00466D3C"/>
    <w:rsid w:val="004675A2"/>
    <w:rsid w:val="00470573"/>
    <w:rsid w:val="00473067"/>
    <w:rsid w:val="004750DA"/>
    <w:rsid w:val="0047736F"/>
    <w:rsid w:val="00477591"/>
    <w:rsid w:val="00480983"/>
    <w:rsid w:val="00483981"/>
    <w:rsid w:val="00487734"/>
    <w:rsid w:val="004878B6"/>
    <w:rsid w:val="0049013A"/>
    <w:rsid w:val="00492074"/>
    <w:rsid w:val="00492105"/>
    <w:rsid w:val="00492C50"/>
    <w:rsid w:val="00492EA8"/>
    <w:rsid w:val="0049705D"/>
    <w:rsid w:val="004A00C2"/>
    <w:rsid w:val="004A0EFA"/>
    <w:rsid w:val="004A572A"/>
    <w:rsid w:val="004A5E63"/>
    <w:rsid w:val="004B51F0"/>
    <w:rsid w:val="004B7DB5"/>
    <w:rsid w:val="004C0AC9"/>
    <w:rsid w:val="004C0FC1"/>
    <w:rsid w:val="004C11FA"/>
    <w:rsid w:val="004C3D18"/>
    <w:rsid w:val="004C4453"/>
    <w:rsid w:val="004C4AA3"/>
    <w:rsid w:val="004C70A5"/>
    <w:rsid w:val="004D072E"/>
    <w:rsid w:val="004D37B4"/>
    <w:rsid w:val="004D5F24"/>
    <w:rsid w:val="004D6BFF"/>
    <w:rsid w:val="004E2CB0"/>
    <w:rsid w:val="004E3706"/>
    <w:rsid w:val="004E412D"/>
    <w:rsid w:val="004E5238"/>
    <w:rsid w:val="004E7D14"/>
    <w:rsid w:val="004F031D"/>
    <w:rsid w:val="004F5FD8"/>
    <w:rsid w:val="005035B2"/>
    <w:rsid w:val="00504046"/>
    <w:rsid w:val="00505252"/>
    <w:rsid w:val="00511D86"/>
    <w:rsid w:val="00512E1B"/>
    <w:rsid w:val="0051392C"/>
    <w:rsid w:val="00513C09"/>
    <w:rsid w:val="005151F4"/>
    <w:rsid w:val="005158DE"/>
    <w:rsid w:val="005175CE"/>
    <w:rsid w:val="00520795"/>
    <w:rsid w:val="005229C6"/>
    <w:rsid w:val="00523ADF"/>
    <w:rsid w:val="00525648"/>
    <w:rsid w:val="00526F15"/>
    <w:rsid w:val="0053049F"/>
    <w:rsid w:val="005324C0"/>
    <w:rsid w:val="00533607"/>
    <w:rsid w:val="00534AA6"/>
    <w:rsid w:val="00534B78"/>
    <w:rsid w:val="00535DE4"/>
    <w:rsid w:val="005367D9"/>
    <w:rsid w:val="00540775"/>
    <w:rsid w:val="00541AFA"/>
    <w:rsid w:val="00544467"/>
    <w:rsid w:val="00545495"/>
    <w:rsid w:val="00545992"/>
    <w:rsid w:val="00546AF4"/>
    <w:rsid w:val="00551937"/>
    <w:rsid w:val="00552763"/>
    <w:rsid w:val="00552B03"/>
    <w:rsid w:val="00552C6C"/>
    <w:rsid w:val="00554AC8"/>
    <w:rsid w:val="00557BF7"/>
    <w:rsid w:val="00560643"/>
    <w:rsid w:val="00562279"/>
    <w:rsid w:val="0056284A"/>
    <w:rsid w:val="00563D67"/>
    <w:rsid w:val="00565DF1"/>
    <w:rsid w:val="00567A99"/>
    <w:rsid w:val="005719D5"/>
    <w:rsid w:val="00572709"/>
    <w:rsid w:val="005735A7"/>
    <w:rsid w:val="005747C5"/>
    <w:rsid w:val="00580A19"/>
    <w:rsid w:val="005856FF"/>
    <w:rsid w:val="0058767F"/>
    <w:rsid w:val="00590F84"/>
    <w:rsid w:val="005926F6"/>
    <w:rsid w:val="00593876"/>
    <w:rsid w:val="005940F2"/>
    <w:rsid w:val="005A0B64"/>
    <w:rsid w:val="005A0F80"/>
    <w:rsid w:val="005A162E"/>
    <w:rsid w:val="005A2662"/>
    <w:rsid w:val="005A3FE3"/>
    <w:rsid w:val="005A4841"/>
    <w:rsid w:val="005A501F"/>
    <w:rsid w:val="005A5182"/>
    <w:rsid w:val="005A7404"/>
    <w:rsid w:val="005B59A0"/>
    <w:rsid w:val="005B6FAB"/>
    <w:rsid w:val="005C0541"/>
    <w:rsid w:val="005C4E63"/>
    <w:rsid w:val="005D0A45"/>
    <w:rsid w:val="005D28D2"/>
    <w:rsid w:val="005D5646"/>
    <w:rsid w:val="005D5ABB"/>
    <w:rsid w:val="005D7245"/>
    <w:rsid w:val="005E18DA"/>
    <w:rsid w:val="005E26A0"/>
    <w:rsid w:val="005E4B8A"/>
    <w:rsid w:val="005E51CE"/>
    <w:rsid w:val="005E6287"/>
    <w:rsid w:val="005E75BD"/>
    <w:rsid w:val="005F092B"/>
    <w:rsid w:val="005F18AC"/>
    <w:rsid w:val="005F26D2"/>
    <w:rsid w:val="005F695A"/>
    <w:rsid w:val="005F6FEF"/>
    <w:rsid w:val="00602733"/>
    <w:rsid w:val="00602CD7"/>
    <w:rsid w:val="006063AA"/>
    <w:rsid w:val="00610A88"/>
    <w:rsid w:val="00614234"/>
    <w:rsid w:val="00615D07"/>
    <w:rsid w:val="00616036"/>
    <w:rsid w:val="00616905"/>
    <w:rsid w:val="00620AD7"/>
    <w:rsid w:val="006216EA"/>
    <w:rsid w:val="006221EF"/>
    <w:rsid w:val="00623AEB"/>
    <w:rsid w:val="0062616C"/>
    <w:rsid w:val="006264F3"/>
    <w:rsid w:val="00626978"/>
    <w:rsid w:val="00626EDC"/>
    <w:rsid w:val="0063075E"/>
    <w:rsid w:val="00630C3D"/>
    <w:rsid w:val="00631671"/>
    <w:rsid w:val="00634C17"/>
    <w:rsid w:val="006362A6"/>
    <w:rsid w:val="00637898"/>
    <w:rsid w:val="00637B7B"/>
    <w:rsid w:val="00637F0D"/>
    <w:rsid w:val="00643DA9"/>
    <w:rsid w:val="0064733D"/>
    <w:rsid w:val="00647FCF"/>
    <w:rsid w:val="00651092"/>
    <w:rsid w:val="00652BC5"/>
    <w:rsid w:val="006538B0"/>
    <w:rsid w:val="0065449A"/>
    <w:rsid w:val="006566C1"/>
    <w:rsid w:val="006575AE"/>
    <w:rsid w:val="00657DAF"/>
    <w:rsid w:val="006660B3"/>
    <w:rsid w:val="006665C2"/>
    <w:rsid w:val="00666FEB"/>
    <w:rsid w:val="00670407"/>
    <w:rsid w:val="006735A0"/>
    <w:rsid w:val="0067392B"/>
    <w:rsid w:val="006748E6"/>
    <w:rsid w:val="00674C9A"/>
    <w:rsid w:val="00674D96"/>
    <w:rsid w:val="006767FE"/>
    <w:rsid w:val="00676A14"/>
    <w:rsid w:val="00685646"/>
    <w:rsid w:val="006863A6"/>
    <w:rsid w:val="0068738C"/>
    <w:rsid w:val="00691A72"/>
    <w:rsid w:val="00692B14"/>
    <w:rsid w:val="00693261"/>
    <w:rsid w:val="0069421A"/>
    <w:rsid w:val="0069678E"/>
    <w:rsid w:val="006971D2"/>
    <w:rsid w:val="0069742C"/>
    <w:rsid w:val="006A06DC"/>
    <w:rsid w:val="006A07AF"/>
    <w:rsid w:val="006A0AFB"/>
    <w:rsid w:val="006A105E"/>
    <w:rsid w:val="006A312D"/>
    <w:rsid w:val="006A32B8"/>
    <w:rsid w:val="006A4816"/>
    <w:rsid w:val="006A4B90"/>
    <w:rsid w:val="006A622E"/>
    <w:rsid w:val="006A6A0D"/>
    <w:rsid w:val="006B071D"/>
    <w:rsid w:val="006B109C"/>
    <w:rsid w:val="006B3D0F"/>
    <w:rsid w:val="006B540C"/>
    <w:rsid w:val="006B67CC"/>
    <w:rsid w:val="006B6A32"/>
    <w:rsid w:val="006B6E12"/>
    <w:rsid w:val="006C2642"/>
    <w:rsid w:val="006D4895"/>
    <w:rsid w:val="006D680B"/>
    <w:rsid w:val="006D73B6"/>
    <w:rsid w:val="006D766E"/>
    <w:rsid w:val="006E122E"/>
    <w:rsid w:val="006E1D80"/>
    <w:rsid w:val="006E267A"/>
    <w:rsid w:val="006E2C7B"/>
    <w:rsid w:val="006E3EA7"/>
    <w:rsid w:val="006E4B1E"/>
    <w:rsid w:val="006E4B45"/>
    <w:rsid w:val="006E7753"/>
    <w:rsid w:val="006F15D4"/>
    <w:rsid w:val="006F1EB4"/>
    <w:rsid w:val="006F3E57"/>
    <w:rsid w:val="006F544F"/>
    <w:rsid w:val="006F700D"/>
    <w:rsid w:val="00700096"/>
    <w:rsid w:val="007040D7"/>
    <w:rsid w:val="00706746"/>
    <w:rsid w:val="00706A03"/>
    <w:rsid w:val="00706ACB"/>
    <w:rsid w:val="007078B0"/>
    <w:rsid w:val="00710059"/>
    <w:rsid w:val="007121FE"/>
    <w:rsid w:val="0071226A"/>
    <w:rsid w:val="007124CB"/>
    <w:rsid w:val="0071406F"/>
    <w:rsid w:val="00715F36"/>
    <w:rsid w:val="00716616"/>
    <w:rsid w:val="0071680D"/>
    <w:rsid w:val="007221DF"/>
    <w:rsid w:val="007225A0"/>
    <w:rsid w:val="00723A1A"/>
    <w:rsid w:val="00724E4A"/>
    <w:rsid w:val="007268FD"/>
    <w:rsid w:val="00730883"/>
    <w:rsid w:val="00730983"/>
    <w:rsid w:val="007312FB"/>
    <w:rsid w:val="007342C4"/>
    <w:rsid w:val="00735669"/>
    <w:rsid w:val="007373C1"/>
    <w:rsid w:val="00737E63"/>
    <w:rsid w:val="007415E7"/>
    <w:rsid w:val="00741822"/>
    <w:rsid w:val="00742128"/>
    <w:rsid w:val="00751318"/>
    <w:rsid w:val="00751B1C"/>
    <w:rsid w:val="00751D91"/>
    <w:rsid w:val="00752D1F"/>
    <w:rsid w:val="007533D9"/>
    <w:rsid w:val="00765CC2"/>
    <w:rsid w:val="007716E1"/>
    <w:rsid w:val="007741AE"/>
    <w:rsid w:val="007761CE"/>
    <w:rsid w:val="007766C5"/>
    <w:rsid w:val="00776F4F"/>
    <w:rsid w:val="00781B4E"/>
    <w:rsid w:val="00781B5F"/>
    <w:rsid w:val="00781D43"/>
    <w:rsid w:val="00782DDF"/>
    <w:rsid w:val="00787D6F"/>
    <w:rsid w:val="00792AA4"/>
    <w:rsid w:val="00792F54"/>
    <w:rsid w:val="00793207"/>
    <w:rsid w:val="00793E51"/>
    <w:rsid w:val="00795F9D"/>
    <w:rsid w:val="00796D31"/>
    <w:rsid w:val="00797E51"/>
    <w:rsid w:val="007A0D1C"/>
    <w:rsid w:val="007A10C7"/>
    <w:rsid w:val="007A2214"/>
    <w:rsid w:val="007A2B1D"/>
    <w:rsid w:val="007A2EEF"/>
    <w:rsid w:val="007A7886"/>
    <w:rsid w:val="007B19D2"/>
    <w:rsid w:val="007B36EB"/>
    <w:rsid w:val="007B3A77"/>
    <w:rsid w:val="007B3D2E"/>
    <w:rsid w:val="007B3D63"/>
    <w:rsid w:val="007B66E7"/>
    <w:rsid w:val="007C0642"/>
    <w:rsid w:val="007C160C"/>
    <w:rsid w:val="007C6DD9"/>
    <w:rsid w:val="007D01C7"/>
    <w:rsid w:val="007D0534"/>
    <w:rsid w:val="007D28D3"/>
    <w:rsid w:val="007D3966"/>
    <w:rsid w:val="007D44DA"/>
    <w:rsid w:val="007D4F2C"/>
    <w:rsid w:val="007D5837"/>
    <w:rsid w:val="007D6B4D"/>
    <w:rsid w:val="007D6D7F"/>
    <w:rsid w:val="007D76DE"/>
    <w:rsid w:val="007E3678"/>
    <w:rsid w:val="007F25C6"/>
    <w:rsid w:val="007F2BBD"/>
    <w:rsid w:val="007F407F"/>
    <w:rsid w:val="0080045E"/>
    <w:rsid w:val="008079E9"/>
    <w:rsid w:val="00807B28"/>
    <w:rsid w:val="00807BC8"/>
    <w:rsid w:val="00810350"/>
    <w:rsid w:val="0081089B"/>
    <w:rsid w:val="008115C0"/>
    <w:rsid w:val="008145A8"/>
    <w:rsid w:val="00820C51"/>
    <w:rsid w:val="00821D17"/>
    <w:rsid w:val="00822E3C"/>
    <w:rsid w:val="008237FF"/>
    <w:rsid w:val="00823F9F"/>
    <w:rsid w:val="008270FD"/>
    <w:rsid w:val="00827DBC"/>
    <w:rsid w:val="008324A6"/>
    <w:rsid w:val="00832865"/>
    <w:rsid w:val="00834D1F"/>
    <w:rsid w:val="00836162"/>
    <w:rsid w:val="00836B9E"/>
    <w:rsid w:val="00840863"/>
    <w:rsid w:val="00842530"/>
    <w:rsid w:val="00843F98"/>
    <w:rsid w:val="008463D9"/>
    <w:rsid w:val="008464E6"/>
    <w:rsid w:val="00846AF5"/>
    <w:rsid w:val="00846B49"/>
    <w:rsid w:val="00846F90"/>
    <w:rsid w:val="0085090E"/>
    <w:rsid w:val="00850F80"/>
    <w:rsid w:val="00853622"/>
    <w:rsid w:val="008574C9"/>
    <w:rsid w:val="008676AD"/>
    <w:rsid w:val="00871B0D"/>
    <w:rsid w:val="00872A85"/>
    <w:rsid w:val="00872ABB"/>
    <w:rsid w:val="008755B7"/>
    <w:rsid w:val="00876CB9"/>
    <w:rsid w:val="0088053A"/>
    <w:rsid w:val="00881078"/>
    <w:rsid w:val="008826CC"/>
    <w:rsid w:val="00882E95"/>
    <w:rsid w:val="00884DDC"/>
    <w:rsid w:val="00885435"/>
    <w:rsid w:val="00890176"/>
    <w:rsid w:val="00891034"/>
    <w:rsid w:val="00891EAF"/>
    <w:rsid w:val="00893ACF"/>
    <w:rsid w:val="008A02F7"/>
    <w:rsid w:val="008A241E"/>
    <w:rsid w:val="008A2648"/>
    <w:rsid w:val="008A5514"/>
    <w:rsid w:val="008A704D"/>
    <w:rsid w:val="008A7555"/>
    <w:rsid w:val="008A759A"/>
    <w:rsid w:val="008B2CE0"/>
    <w:rsid w:val="008B473A"/>
    <w:rsid w:val="008B49B7"/>
    <w:rsid w:val="008B50BD"/>
    <w:rsid w:val="008C0496"/>
    <w:rsid w:val="008C11ED"/>
    <w:rsid w:val="008C2DBE"/>
    <w:rsid w:val="008C4F84"/>
    <w:rsid w:val="008C647B"/>
    <w:rsid w:val="008C74FE"/>
    <w:rsid w:val="008D05A2"/>
    <w:rsid w:val="008D114B"/>
    <w:rsid w:val="008D1FAF"/>
    <w:rsid w:val="008D5098"/>
    <w:rsid w:val="008E0073"/>
    <w:rsid w:val="008E144B"/>
    <w:rsid w:val="008E1CFF"/>
    <w:rsid w:val="008E3EDD"/>
    <w:rsid w:val="008E7907"/>
    <w:rsid w:val="008E7BC8"/>
    <w:rsid w:val="008F0755"/>
    <w:rsid w:val="008F1102"/>
    <w:rsid w:val="008F15C7"/>
    <w:rsid w:val="008F1E1E"/>
    <w:rsid w:val="008F2FF8"/>
    <w:rsid w:val="008F596B"/>
    <w:rsid w:val="0090058F"/>
    <w:rsid w:val="00900A21"/>
    <w:rsid w:val="0090202D"/>
    <w:rsid w:val="00903122"/>
    <w:rsid w:val="00904BFC"/>
    <w:rsid w:val="0091064C"/>
    <w:rsid w:val="00913AEE"/>
    <w:rsid w:val="00913CA9"/>
    <w:rsid w:val="00914487"/>
    <w:rsid w:val="009149A2"/>
    <w:rsid w:val="0091622F"/>
    <w:rsid w:val="009210C5"/>
    <w:rsid w:val="00921165"/>
    <w:rsid w:val="00924C4D"/>
    <w:rsid w:val="00924D3A"/>
    <w:rsid w:val="00925173"/>
    <w:rsid w:val="009273E0"/>
    <w:rsid w:val="00930A62"/>
    <w:rsid w:val="00933095"/>
    <w:rsid w:val="00933C11"/>
    <w:rsid w:val="00935376"/>
    <w:rsid w:val="00937EEF"/>
    <w:rsid w:val="0094007F"/>
    <w:rsid w:val="009402A6"/>
    <w:rsid w:val="00940616"/>
    <w:rsid w:val="00942FF3"/>
    <w:rsid w:val="00943484"/>
    <w:rsid w:val="00943A44"/>
    <w:rsid w:val="009453EB"/>
    <w:rsid w:val="00945408"/>
    <w:rsid w:val="009479CF"/>
    <w:rsid w:val="00947B46"/>
    <w:rsid w:val="009507C8"/>
    <w:rsid w:val="00950D99"/>
    <w:rsid w:val="00952CC6"/>
    <w:rsid w:val="00955E93"/>
    <w:rsid w:val="009602A5"/>
    <w:rsid w:val="00961C44"/>
    <w:rsid w:val="00961FE3"/>
    <w:rsid w:val="009630D5"/>
    <w:rsid w:val="00963389"/>
    <w:rsid w:val="009645D6"/>
    <w:rsid w:val="00964696"/>
    <w:rsid w:val="00965C28"/>
    <w:rsid w:val="0096668D"/>
    <w:rsid w:val="009732C7"/>
    <w:rsid w:val="00976A74"/>
    <w:rsid w:val="00980307"/>
    <w:rsid w:val="009803BE"/>
    <w:rsid w:val="0098192E"/>
    <w:rsid w:val="0098495E"/>
    <w:rsid w:val="00985700"/>
    <w:rsid w:val="00985B16"/>
    <w:rsid w:val="00985C2B"/>
    <w:rsid w:val="009878CB"/>
    <w:rsid w:val="00987FD1"/>
    <w:rsid w:val="00990915"/>
    <w:rsid w:val="00991311"/>
    <w:rsid w:val="00992D56"/>
    <w:rsid w:val="0099499A"/>
    <w:rsid w:val="00994E96"/>
    <w:rsid w:val="009953F4"/>
    <w:rsid w:val="009962AC"/>
    <w:rsid w:val="009A3C4E"/>
    <w:rsid w:val="009A557C"/>
    <w:rsid w:val="009A55D8"/>
    <w:rsid w:val="009A5AA5"/>
    <w:rsid w:val="009A6314"/>
    <w:rsid w:val="009A6EF1"/>
    <w:rsid w:val="009B01EA"/>
    <w:rsid w:val="009B4667"/>
    <w:rsid w:val="009B69DF"/>
    <w:rsid w:val="009B7177"/>
    <w:rsid w:val="009B77A7"/>
    <w:rsid w:val="009C0D36"/>
    <w:rsid w:val="009C6293"/>
    <w:rsid w:val="009C65EB"/>
    <w:rsid w:val="009C7542"/>
    <w:rsid w:val="009C7970"/>
    <w:rsid w:val="009D2369"/>
    <w:rsid w:val="009D39E1"/>
    <w:rsid w:val="009D4530"/>
    <w:rsid w:val="009D6524"/>
    <w:rsid w:val="009D7425"/>
    <w:rsid w:val="009D774F"/>
    <w:rsid w:val="009D793E"/>
    <w:rsid w:val="009E0260"/>
    <w:rsid w:val="009E2FF7"/>
    <w:rsid w:val="009E363F"/>
    <w:rsid w:val="009E4B35"/>
    <w:rsid w:val="009E76C6"/>
    <w:rsid w:val="009E7EE2"/>
    <w:rsid w:val="009F0804"/>
    <w:rsid w:val="00A00413"/>
    <w:rsid w:val="00A04059"/>
    <w:rsid w:val="00A0425A"/>
    <w:rsid w:val="00A067C0"/>
    <w:rsid w:val="00A110E1"/>
    <w:rsid w:val="00A13D22"/>
    <w:rsid w:val="00A13E7D"/>
    <w:rsid w:val="00A14A98"/>
    <w:rsid w:val="00A203F3"/>
    <w:rsid w:val="00A24944"/>
    <w:rsid w:val="00A27208"/>
    <w:rsid w:val="00A30483"/>
    <w:rsid w:val="00A30567"/>
    <w:rsid w:val="00A318B9"/>
    <w:rsid w:val="00A363BF"/>
    <w:rsid w:val="00A40D60"/>
    <w:rsid w:val="00A41F21"/>
    <w:rsid w:val="00A46740"/>
    <w:rsid w:val="00A50AD0"/>
    <w:rsid w:val="00A50AF0"/>
    <w:rsid w:val="00A523E8"/>
    <w:rsid w:val="00A52523"/>
    <w:rsid w:val="00A52960"/>
    <w:rsid w:val="00A52C88"/>
    <w:rsid w:val="00A53BEB"/>
    <w:rsid w:val="00A574FB"/>
    <w:rsid w:val="00A66782"/>
    <w:rsid w:val="00A72380"/>
    <w:rsid w:val="00A72A4C"/>
    <w:rsid w:val="00A73168"/>
    <w:rsid w:val="00A75490"/>
    <w:rsid w:val="00A7586A"/>
    <w:rsid w:val="00A75DDE"/>
    <w:rsid w:val="00A8522E"/>
    <w:rsid w:val="00A85697"/>
    <w:rsid w:val="00A85FD4"/>
    <w:rsid w:val="00A8720F"/>
    <w:rsid w:val="00A929C3"/>
    <w:rsid w:val="00A93F91"/>
    <w:rsid w:val="00A953F8"/>
    <w:rsid w:val="00A96AC7"/>
    <w:rsid w:val="00A9789E"/>
    <w:rsid w:val="00A97E7A"/>
    <w:rsid w:val="00AA0D3C"/>
    <w:rsid w:val="00AA1237"/>
    <w:rsid w:val="00AA1BBD"/>
    <w:rsid w:val="00AA2B0D"/>
    <w:rsid w:val="00AA3E8F"/>
    <w:rsid w:val="00AA5981"/>
    <w:rsid w:val="00AA6B0C"/>
    <w:rsid w:val="00AB00F3"/>
    <w:rsid w:val="00AB411A"/>
    <w:rsid w:val="00AB48D1"/>
    <w:rsid w:val="00AB52EE"/>
    <w:rsid w:val="00AB6E39"/>
    <w:rsid w:val="00AB7951"/>
    <w:rsid w:val="00AB7FC7"/>
    <w:rsid w:val="00AC0155"/>
    <w:rsid w:val="00AC0759"/>
    <w:rsid w:val="00AC1F9D"/>
    <w:rsid w:val="00AC4209"/>
    <w:rsid w:val="00AC45F1"/>
    <w:rsid w:val="00AC4A4E"/>
    <w:rsid w:val="00AC791D"/>
    <w:rsid w:val="00AD024E"/>
    <w:rsid w:val="00AD0D81"/>
    <w:rsid w:val="00AD41BD"/>
    <w:rsid w:val="00AE0CDE"/>
    <w:rsid w:val="00AE2AF5"/>
    <w:rsid w:val="00AE2F17"/>
    <w:rsid w:val="00AE4762"/>
    <w:rsid w:val="00AE4DEF"/>
    <w:rsid w:val="00AE57D9"/>
    <w:rsid w:val="00AF434F"/>
    <w:rsid w:val="00AF5724"/>
    <w:rsid w:val="00AF6454"/>
    <w:rsid w:val="00AF6A10"/>
    <w:rsid w:val="00B001A5"/>
    <w:rsid w:val="00B04173"/>
    <w:rsid w:val="00B068FE"/>
    <w:rsid w:val="00B07C16"/>
    <w:rsid w:val="00B13C8F"/>
    <w:rsid w:val="00B140DB"/>
    <w:rsid w:val="00B15444"/>
    <w:rsid w:val="00B16304"/>
    <w:rsid w:val="00B17111"/>
    <w:rsid w:val="00B22119"/>
    <w:rsid w:val="00B22F29"/>
    <w:rsid w:val="00B22F69"/>
    <w:rsid w:val="00B245A9"/>
    <w:rsid w:val="00B25B33"/>
    <w:rsid w:val="00B2609D"/>
    <w:rsid w:val="00B30716"/>
    <w:rsid w:val="00B30816"/>
    <w:rsid w:val="00B3084D"/>
    <w:rsid w:val="00B30DD2"/>
    <w:rsid w:val="00B30E89"/>
    <w:rsid w:val="00B32B66"/>
    <w:rsid w:val="00B34B1F"/>
    <w:rsid w:val="00B364FD"/>
    <w:rsid w:val="00B37051"/>
    <w:rsid w:val="00B37F31"/>
    <w:rsid w:val="00B434D1"/>
    <w:rsid w:val="00B468C1"/>
    <w:rsid w:val="00B46973"/>
    <w:rsid w:val="00B4754E"/>
    <w:rsid w:val="00B47F6B"/>
    <w:rsid w:val="00B51B8C"/>
    <w:rsid w:val="00B528E4"/>
    <w:rsid w:val="00B53CA6"/>
    <w:rsid w:val="00B55942"/>
    <w:rsid w:val="00B60430"/>
    <w:rsid w:val="00B61752"/>
    <w:rsid w:val="00B70AA7"/>
    <w:rsid w:val="00B71C2D"/>
    <w:rsid w:val="00B72FCA"/>
    <w:rsid w:val="00B746A9"/>
    <w:rsid w:val="00B764C6"/>
    <w:rsid w:val="00B766C7"/>
    <w:rsid w:val="00B81823"/>
    <w:rsid w:val="00B8647B"/>
    <w:rsid w:val="00B86D7C"/>
    <w:rsid w:val="00B926F5"/>
    <w:rsid w:val="00B935B0"/>
    <w:rsid w:val="00B949B9"/>
    <w:rsid w:val="00B94EB5"/>
    <w:rsid w:val="00B94F99"/>
    <w:rsid w:val="00B954DA"/>
    <w:rsid w:val="00B96244"/>
    <w:rsid w:val="00B9787C"/>
    <w:rsid w:val="00B97F15"/>
    <w:rsid w:val="00B97F16"/>
    <w:rsid w:val="00B97F40"/>
    <w:rsid w:val="00BA0C42"/>
    <w:rsid w:val="00BA1685"/>
    <w:rsid w:val="00BA29BF"/>
    <w:rsid w:val="00BA6B21"/>
    <w:rsid w:val="00BA71B1"/>
    <w:rsid w:val="00BB0A97"/>
    <w:rsid w:val="00BB248C"/>
    <w:rsid w:val="00BB4454"/>
    <w:rsid w:val="00BC00EE"/>
    <w:rsid w:val="00BC07F8"/>
    <w:rsid w:val="00BC1F96"/>
    <w:rsid w:val="00BC40D9"/>
    <w:rsid w:val="00BC61D3"/>
    <w:rsid w:val="00BD0125"/>
    <w:rsid w:val="00BD0215"/>
    <w:rsid w:val="00BD145C"/>
    <w:rsid w:val="00BD1B16"/>
    <w:rsid w:val="00BD216C"/>
    <w:rsid w:val="00BD34D7"/>
    <w:rsid w:val="00BD44AB"/>
    <w:rsid w:val="00BD4560"/>
    <w:rsid w:val="00BD7886"/>
    <w:rsid w:val="00BD7F73"/>
    <w:rsid w:val="00BE1C1F"/>
    <w:rsid w:val="00BE1D28"/>
    <w:rsid w:val="00BE277F"/>
    <w:rsid w:val="00BE6BB5"/>
    <w:rsid w:val="00BF0B38"/>
    <w:rsid w:val="00BF4881"/>
    <w:rsid w:val="00C001A9"/>
    <w:rsid w:val="00C0026D"/>
    <w:rsid w:val="00C02CCA"/>
    <w:rsid w:val="00C03263"/>
    <w:rsid w:val="00C05375"/>
    <w:rsid w:val="00C05689"/>
    <w:rsid w:val="00C05C37"/>
    <w:rsid w:val="00C05D70"/>
    <w:rsid w:val="00C05F48"/>
    <w:rsid w:val="00C0628F"/>
    <w:rsid w:val="00C064B9"/>
    <w:rsid w:val="00C11AF7"/>
    <w:rsid w:val="00C131B2"/>
    <w:rsid w:val="00C1494B"/>
    <w:rsid w:val="00C15344"/>
    <w:rsid w:val="00C1764E"/>
    <w:rsid w:val="00C21C97"/>
    <w:rsid w:val="00C22EA7"/>
    <w:rsid w:val="00C23E91"/>
    <w:rsid w:val="00C24F89"/>
    <w:rsid w:val="00C258D2"/>
    <w:rsid w:val="00C2627B"/>
    <w:rsid w:val="00C26894"/>
    <w:rsid w:val="00C276CE"/>
    <w:rsid w:val="00C2781D"/>
    <w:rsid w:val="00C27957"/>
    <w:rsid w:val="00C34F17"/>
    <w:rsid w:val="00C34FE9"/>
    <w:rsid w:val="00C37E5F"/>
    <w:rsid w:val="00C40915"/>
    <w:rsid w:val="00C436DB"/>
    <w:rsid w:val="00C43A9A"/>
    <w:rsid w:val="00C44608"/>
    <w:rsid w:val="00C4479F"/>
    <w:rsid w:val="00C44E35"/>
    <w:rsid w:val="00C45C22"/>
    <w:rsid w:val="00C460D1"/>
    <w:rsid w:val="00C4635E"/>
    <w:rsid w:val="00C5002A"/>
    <w:rsid w:val="00C51F9A"/>
    <w:rsid w:val="00C528FA"/>
    <w:rsid w:val="00C5718F"/>
    <w:rsid w:val="00C57CDD"/>
    <w:rsid w:val="00C60723"/>
    <w:rsid w:val="00C633ED"/>
    <w:rsid w:val="00C63985"/>
    <w:rsid w:val="00C6459C"/>
    <w:rsid w:val="00C7111C"/>
    <w:rsid w:val="00C721BC"/>
    <w:rsid w:val="00C73530"/>
    <w:rsid w:val="00C76F24"/>
    <w:rsid w:val="00C77063"/>
    <w:rsid w:val="00C7716D"/>
    <w:rsid w:val="00C77C05"/>
    <w:rsid w:val="00C80FFC"/>
    <w:rsid w:val="00C83088"/>
    <w:rsid w:val="00C8412F"/>
    <w:rsid w:val="00C841D5"/>
    <w:rsid w:val="00C86A7A"/>
    <w:rsid w:val="00C91357"/>
    <w:rsid w:val="00C91E9C"/>
    <w:rsid w:val="00C92E0E"/>
    <w:rsid w:val="00CA0CDA"/>
    <w:rsid w:val="00CA25F6"/>
    <w:rsid w:val="00CA51CE"/>
    <w:rsid w:val="00CA5914"/>
    <w:rsid w:val="00CA5A9A"/>
    <w:rsid w:val="00CA6A65"/>
    <w:rsid w:val="00CA70DA"/>
    <w:rsid w:val="00CB0B33"/>
    <w:rsid w:val="00CB54D4"/>
    <w:rsid w:val="00CB666B"/>
    <w:rsid w:val="00CB6AD0"/>
    <w:rsid w:val="00CC401C"/>
    <w:rsid w:val="00CD1829"/>
    <w:rsid w:val="00CD24FA"/>
    <w:rsid w:val="00CD489B"/>
    <w:rsid w:val="00CD4CA0"/>
    <w:rsid w:val="00CE0E01"/>
    <w:rsid w:val="00CE1961"/>
    <w:rsid w:val="00CE300C"/>
    <w:rsid w:val="00CE6E4D"/>
    <w:rsid w:val="00CE7784"/>
    <w:rsid w:val="00CF103B"/>
    <w:rsid w:val="00CF2A51"/>
    <w:rsid w:val="00CF31B1"/>
    <w:rsid w:val="00CF39A2"/>
    <w:rsid w:val="00CF46D5"/>
    <w:rsid w:val="00CF6AB8"/>
    <w:rsid w:val="00CF6E19"/>
    <w:rsid w:val="00D003D8"/>
    <w:rsid w:val="00D02BA0"/>
    <w:rsid w:val="00D0711B"/>
    <w:rsid w:val="00D101E0"/>
    <w:rsid w:val="00D12163"/>
    <w:rsid w:val="00D1231A"/>
    <w:rsid w:val="00D12AF9"/>
    <w:rsid w:val="00D1467F"/>
    <w:rsid w:val="00D17A5D"/>
    <w:rsid w:val="00D22110"/>
    <w:rsid w:val="00D22680"/>
    <w:rsid w:val="00D245F9"/>
    <w:rsid w:val="00D27A88"/>
    <w:rsid w:val="00D306B5"/>
    <w:rsid w:val="00D423DC"/>
    <w:rsid w:val="00D43E6C"/>
    <w:rsid w:val="00D449FB"/>
    <w:rsid w:val="00D46879"/>
    <w:rsid w:val="00D47CF8"/>
    <w:rsid w:val="00D5088E"/>
    <w:rsid w:val="00D51D65"/>
    <w:rsid w:val="00D550A9"/>
    <w:rsid w:val="00D6270A"/>
    <w:rsid w:val="00D638E6"/>
    <w:rsid w:val="00D65C5C"/>
    <w:rsid w:val="00D66B40"/>
    <w:rsid w:val="00D66B8D"/>
    <w:rsid w:val="00D67BA8"/>
    <w:rsid w:val="00D70BDD"/>
    <w:rsid w:val="00D73A7A"/>
    <w:rsid w:val="00D7429A"/>
    <w:rsid w:val="00D75FE7"/>
    <w:rsid w:val="00D800B0"/>
    <w:rsid w:val="00D8481C"/>
    <w:rsid w:val="00D84AD8"/>
    <w:rsid w:val="00D87C82"/>
    <w:rsid w:val="00D914FF"/>
    <w:rsid w:val="00D916B5"/>
    <w:rsid w:val="00D92D10"/>
    <w:rsid w:val="00D93291"/>
    <w:rsid w:val="00D93714"/>
    <w:rsid w:val="00D94961"/>
    <w:rsid w:val="00D94FB3"/>
    <w:rsid w:val="00D96496"/>
    <w:rsid w:val="00DA203D"/>
    <w:rsid w:val="00DA2E68"/>
    <w:rsid w:val="00DA396F"/>
    <w:rsid w:val="00DA4499"/>
    <w:rsid w:val="00DA4B39"/>
    <w:rsid w:val="00DA6275"/>
    <w:rsid w:val="00DA6406"/>
    <w:rsid w:val="00DB1BBF"/>
    <w:rsid w:val="00DB3DD5"/>
    <w:rsid w:val="00DB4B3C"/>
    <w:rsid w:val="00DB5D57"/>
    <w:rsid w:val="00DB63DF"/>
    <w:rsid w:val="00DB7B0D"/>
    <w:rsid w:val="00DB7E00"/>
    <w:rsid w:val="00DC0FE1"/>
    <w:rsid w:val="00DC10C3"/>
    <w:rsid w:val="00DC1602"/>
    <w:rsid w:val="00DC3A58"/>
    <w:rsid w:val="00DC3AEA"/>
    <w:rsid w:val="00DC75E9"/>
    <w:rsid w:val="00DC7C4E"/>
    <w:rsid w:val="00DD01DA"/>
    <w:rsid w:val="00DD0CEE"/>
    <w:rsid w:val="00DD0EDA"/>
    <w:rsid w:val="00DD1633"/>
    <w:rsid w:val="00DD1D21"/>
    <w:rsid w:val="00DD437B"/>
    <w:rsid w:val="00DD446C"/>
    <w:rsid w:val="00DD51A8"/>
    <w:rsid w:val="00DE2046"/>
    <w:rsid w:val="00DE333F"/>
    <w:rsid w:val="00DE4B28"/>
    <w:rsid w:val="00DF0246"/>
    <w:rsid w:val="00DF0CDB"/>
    <w:rsid w:val="00DF181E"/>
    <w:rsid w:val="00DF1D4B"/>
    <w:rsid w:val="00DF4423"/>
    <w:rsid w:val="00DF61CD"/>
    <w:rsid w:val="00E00882"/>
    <w:rsid w:val="00E01535"/>
    <w:rsid w:val="00E02764"/>
    <w:rsid w:val="00E05075"/>
    <w:rsid w:val="00E0627D"/>
    <w:rsid w:val="00E06B18"/>
    <w:rsid w:val="00E06B60"/>
    <w:rsid w:val="00E06BBB"/>
    <w:rsid w:val="00E0753F"/>
    <w:rsid w:val="00E07B77"/>
    <w:rsid w:val="00E07E80"/>
    <w:rsid w:val="00E1108A"/>
    <w:rsid w:val="00E17C1C"/>
    <w:rsid w:val="00E21930"/>
    <w:rsid w:val="00E21CBA"/>
    <w:rsid w:val="00E21CE3"/>
    <w:rsid w:val="00E22D2F"/>
    <w:rsid w:val="00E24151"/>
    <w:rsid w:val="00E2451E"/>
    <w:rsid w:val="00E3027E"/>
    <w:rsid w:val="00E305A3"/>
    <w:rsid w:val="00E327A3"/>
    <w:rsid w:val="00E35A16"/>
    <w:rsid w:val="00E3783B"/>
    <w:rsid w:val="00E379E7"/>
    <w:rsid w:val="00E41C0A"/>
    <w:rsid w:val="00E42317"/>
    <w:rsid w:val="00E449B6"/>
    <w:rsid w:val="00E4517F"/>
    <w:rsid w:val="00E46541"/>
    <w:rsid w:val="00E46F0D"/>
    <w:rsid w:val="00E5289E"/>
    <w:rsid w:val="00E52943"/>
    <w:rsid w:val="00E53494"/>
    <w:rsid w:val="00E5522A"/>
    <w:rsid w:val="00E557E6"/>
    <w:rsid w:val="00E57AFB"/>
    <w:rsid w:val="00E60268"/>
    <w:rsid w:val="00E60B20"/>
    <w:rsid w:val="00E61626"/>
    <w:rsid w:val="00E61DB1"/>
    <w:rsid w:val="00E62784"/>
    <w:rsid w:val="00E63919"/>
    <w:rsid w:val="00E64BF2"/>
    <w:rsid w:val="00E65CF7"/>
    <w:rsid w:val="00E663FA"/>
    <w:rsid w:val="00E721B6"/>
    <w:rsid w:val="00E72B3B"/>
    <w:rsid w:val="00E7471E"/>
    <w:rsid w:val="00E747EB"/>
    <w:rsid w:val="00E74E14"/>
    <w:rsid w:val="00E776CF"/>
    <w:rsid w:val="00E77891"/>
    <w:rsid w:val="00E82314"/>
    <w:rsid w:val="00E83439"/>
    <w:rsid w:val="00E835B0"/>
    <w:rsid w:val="00E85CDF"/>
    <w:rsid w:val="00E873E0"/>
    <w:rsid w:val="00E903E0"/>
    <w:rsid w:val="00E92C2B"/>
    <w:rsid w:val="00E9623A"/>
    <w:rsid w:val="00EA3530"/>
    <w:rsid w:val="00EA5DC1"/>
    <w:rsid w:val="00EA6C21"/>
    <w:rsid w:val="00EB3C04"/>
    <w:rsid w:val="00EB4800"/>
    <w:rsid w:val="00EB55F2"/>
    <w:rsid w:val="00EB5A4D"/>
    <w:rsid w:val="00EB7B4E"/>
    <w:rsid w:val="00EC02DD"/>
    <w:rsid w:val="00EC1C56"/>
    <w:rsid w:val="00EC27FE"/>
    <w:rsid w:val="00EC2A95"/>
    <w:rsid w:val="00EC609F"/>
    <w:rsid w:val="00EC6E57"/>
    <w:rsid w:val="00EC72BA"/>
    <w:rsid w:val="00ED2F47"/>
    <w:rsid w:val="00ED3A00"/>
    <w:rsid w:val="00ED3BA1"/>
    <w:rsid w:val="00ED672C"/>
    <w:rsid w:val="00EE081B"/>
    <w:rsid w:val="00EE280D"/>
    <w:rsid w:val="00EE2E1D"/>
    <w:rsid w:val="00EE2F58"/>
    <w:rsid w:val="00EE3067"/>
    <w:rsid w:val="00EE3FBE"/>
    <w:rsid w:val="00EE7EEA"/>
    <w:rsid w:val="00EF0533"/>
    <w:rsid w:val="00EF6131"/>
    <w:rsid w:val="00EF6B76"/>
    <w:rsid w:val="00EF7B78"/>
    <w:rsid w:val="00F0265C"/>
    <w:rsid w:val="00F02E9A"/>
    <w:rsid w:val="00F03095"/>
    <w:rsid w:val="00F05586"/>
    <w:rsid w:val="00F07994"/>
    <w:rsid w:val="00F115E5"/>
    <w:rsid w:val="00F1452C"/>
    <w:rsid w:val="00F14C13"/>
    <w:rsid w:val="00F16456"/>
    <w:rsid w:val="00F17E64"/>
    <w:rsid w:val="00F20633"/>
    <w:rsid w:val="00F209C1"/>
    <w:rsid w:val="00F239B4"/>
    <w:rsid w:val="00F254B7"/>
    <w:rsid w:val="00F26029"/>
    <w:rsid w:val="00F27275"/>
    <w:rsid w:val="00F2734D"/>
    <w:rsid w:val="00F3260B"/>
    <w:rsid w:val="00F35D7C"/>
    <w:rsid w:val="00F37069"/>
    <w:rsid w:val="00F40A74"/>
    <w:rsid w:val="00F43790"/>
    <w:rsid w:val="00F4390C"/>
    <w:rsid w:val="00F43ED7"/>
    <w:rsid w:val="00F44BA0"/>
    <w:rsid w:val="00F46135"/>
    <w:rsid w:val="00F469CE"/>
    <w:rsid w:val="00F544C8"/>
    <w:rsid w:val="00F55442"/>
    <w:rsid w:val="00F55B41"/>
    <w:rsid w:val="00F56AF8"/>
    <w:rsid w:val="00F57262"/>
    <w:rsid w:val="00F60205"/>
    <w:rsid w:val="00F60B5D"/>
    <w:rsid w:val="00F61078"/>
    <w:rsid w:val="00F612AF"/>
    <w:rsid w:val="00F63D11"/>
    <w:rsid w:val="00F650FC"/>
    <w:rsid w:val="00F67994"/>
    <w:rsid w:val="00F67CE8"/>
    <w:rsid w:val="00F731A9"/>
    <w:rsid w:val="00F760F2"/>
    <w:rsid w:val="00F775EB"/>
    <w:rsid w:val="00F81088"/>
    <w:rsid w:val="00F81E86"/>
    <w:rsid w:val="00F83152"/>
    <w:rsid w:val="00F864EC"/>
    <w:rsid w:val="00F869A5"/>
    <w:rsid w:val="00F86B99"/>
    <w:rsid w:val="00F90258"/>
    <w:rsid w:val="00F931EC"/>
    <w:rsid w:val="00F95689"/>
    <w:rsid w:val="00F95D28"/>
    <w:rsid w:val="00F97F94"/>
    <w:rsid w:val="00FA0805"/>
    <w:rsid w:val="00FA1BCC"/>
    <w:rsid w:val="00FA4CF0"/>
    <w:rsid w:val="00FA6DF9"/>
    <w:rsid w:val="00FB06E8"/>
    <w:rsid w:val="00FC09E7"/>
    <w:rsid w:val="00FC1CFB"/>
    <w:rsid w:val="00FC2705"/>
    <w:rsid w:val="00FC3A0E"/>
    <w:rsid w:val="00FC4CB9"/>
    <w:rsid w:val="00FC5F6D"/>
    <w:rsid w:val="00FD167A"/>
    <w:rsid w:val="00FD180C"/>
    <w:rsid w:val="00FD3773"/>
    <w:rsid w:val="00FD3BED"/>
    <w:rsid w:val="00FD4D7A"/>
    <w:rsid w:val="00FD6BB0"/>
    <w:rsid w:val="00FD73A8"/>
    <w:rsid w:val="00FE15C2"/>
    <w:rsid w:val="00FE26F0"/>
    <w:rsid w:val="00FE2FC5"/>
    <w:rsid w:val="00FE5C22"/>
    <w:rsid w:val="00FE5E8A"/>
    <w:rsid w:val="00FF0442"/>
    <w:rsid w:val="00FF0595"/>
    <w:rsid w:val="00FF0D87"/>
    <w:rsid w:val="00FF0FD3"/>
    <w:rsid w:val="00FF32AA"/>
    <w:rsid w:val="00FF60C7"/>
    <w:rsid w:val="00FF6123"/>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F2CA"/>
  <w15:docId w15:val="{A4DFFC7F-E5CF-45EE-A7ED-A4A39101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67"/>
    <w:rPr>
      <w:rFonts w:asciiTheme="minorHAnsi" w:hAnsiTheme="minorHAnsi"/>
    </w:rPr>
  </w:style>
  <w:style w:type="paragraph" w:styleId="Heading1">
    <w:name w:val="heading 1"/>
    <w:basedOn w:val="Normal"/>
    <w:next w:val="Normal"/>
    <w:link w:val="Heading1Char"/>
    <w:qFormat/>
    <w:rsid w:val="007A0D1C"/>
    <w:pPr>
      <w:keepNext/>
      <w:keepLines/>
      <w:spacing w:before="120"/>
      <w:contextualSpacing/>
      <w:outlineLvl w:val="0"/>
    </w:pPr>
    <w:rPr>
      <w:rFonts w:eastAsiaTheme="majorEastAsia" w:cs="Calibri"/>
      <w:b/>
      <w:bCs/>
      <w:color w:val="342568" w:themeColor="accent1" w:themeShade="BF"/>
      <w:sz w:val="40"/>
      <w:szCs w:val="28"/>
    </w:rPr>
  </w:style>
  <w:style w:type="paragraph" w:styleId="Heading2">
    <w:name w:val="heading 2"/>
    <w:basedOn w:val="Normal"/>
    <w:next w:val="Normal"/>
    <w:link w:val="Heading2Char"/>
    <w:uiPriority w:val="9"/>
    <w:unhideWhenUsed/>
    <w:qFormat/>
    <w:rsid w:val="007A0D1C"/>
    <w:pPr>
      <w:keepNext/>
      <w:keepLines/>
      <w:spacing w:before="200" w:after="60"/>
      <w:outlineLvl w:val="1"/>
    </w:pPr>
    <w:rPr>
      <w:rFonts w:eastAsiaTheme="majorEastAsia" w:cs="Calibri"/>
      <w:b/>
      <w:bCs/>
      <w:color w:val="595959" w:themeColor="text1" w:themeTint="A6"/>
      <w:sz w:val="32"/>
      <w:szCs w:val="26"/>
    </w:rPr>
  </w:style>
  <w:style w:type="paragraph" w:styleId="Heading3">
    <w:name w:val="heading 3"/>
    <w:basedOn w:val="Normal"/>
    <w:next w:val="Normal"/>
    <w:link w:val="Heading3Char"/>
    <w:uiPriority w:val="9"/>
    <w:unhideWhenUsed/>
    <w:qFormat/>
    <w:rsid w:val="00A27208"/>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5940F2"/>
    <w:pPr>
      <w:spacing w:before="120"/>
      <w:outlineLvl w:val="3"/>
    </w:pPr>
    <w:rPr>
      <w:rFonts w:ascii="Calibri" w:eastAsiaTheme="minorHAnsi" w:hAnsi="Calibri" w:cs="Calibri"/>
      <w:b/>
      <w:szCs w:val="24"/>
      <w:lang w:eastAsia="en-AU"/>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D1C"/>
    <w:rPr>
      <w:rFonts w:eastAsiaTheme="majorEastAsia" w:cs="Calibri"/>
      <w:b/>
      <w:bCs/>
      <w:color w:val="342568" w:themeColor="accent1" w:themeShade="BF"/>
      <w:sz w:val="40"/>
      <w:szCs w:val="28"/>
    </w:rPr>
  </w:style>
  <w:style w:type="character" w:customStyle="1" w:styleId="Heading2Char">
    <w:name w:val="Heading 2 Char"/>
    <w:basedOn w:val="DefaultParagraphFont"/>
    <w:link w:val="Heading2"/>
    <w:uiPriority w:val="9"/>
    <w:rsid w:val="007A0D1C"/>
    <w:rPr>
      <w:rFonts w:eastAsiaTheme="majorEastAsia" w:cs="Calibri"/>
      <w:b/>
      <w:bCs/>
      <w:color w:val="595959" w:themeColor="text1" w:themeTint="A6"/>
      <w:sz w:val="32"/>
      <w:szCs w:val="26"/>
    </w:rPr>
  </w:style>
  <w:style w:type="character" w:customStyle="1" w:styleId="Heading3Char">
    <w:name w:val="Heading 3 Char"/>
    <w:basedOn w:val="DefaultParagraphFont"/>
    <w:link w:val="Heading3"/>
    <w:uiPriority w:val="9"/>
    <w:rsid w:val="00A27208"/>
    <w:rPr>
      <w:b/>
      <w:bCs/>
      <w:color w:val="595959" w:themeColor="text1" w:themeTint="A6"/>
      <w:sz w:val="26"/>
      <w:szCs w:val="26"/>
    </w:rPr>
  </w:style>
  <w:style w:type="character" w:customStyle="1" w:styleId="Heading4Char">
    <w:name w:val="Heading 4 Char"/>
    <w:basedOn w:val="DefaultParagraphFont"/>
    <w:link w:val="Heading4"/>
    <w:uiPriority w:val="9"/>
    <w:rsid w:val="00A85697"/>
    <w:rPr>
      <w:rFonts w:eastAsiaTheme="minorHAnsi" w:cs="Calibri"/>
      <w:b/>
      <w:szCs w:val="24"/>
      <w:lang w:eastAsia="en-AU"/>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220381"/>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CDA"/>
    <w:rPr>
      <w:color w:val="580F8B"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5940F2"/>
    <w:pPr>
      <w:numPr>
        <w:ilvl w:val="2"/>
        <w:numId w:val="4"/>
      </w:numPr>
      <w:ind w:left="1800" w:hanging="360"/>
    </w:pPr>
    <w:rPr>
      <w:rFonts w:ascii="Calibri" w:hAnsi="Calibri"/>
    </w:r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1D86"/>
    <w:pPr>
      <w:tabs>
        <w:tab w:val="right" w:leader="dot" w:pos="9736"/>
      </w:tabs>
      <w:spacing w:after="0" w:line="360" w:lineRule="auto"/>
      <w:contextualSpacing/>
    </w:pPr>
    <w:rPr>
      <w:b/>
      <w:noProof/>
    </w:rPr>
  </w:style>
  <w:style w:type="paragraph" w:styleId="TOC2">
    <w:name w:val="toc 2"/>
    <w:basedOn w:val="Normal"/>
    <w:next w:val="Normal"/>
    <w:autoRedefine/>
    <w:uiPriority w:val="39"/>
    <w:unhideWhenUsed/>
    <w:qFormat/>
    <w:rsid w:val="00C76F24"/>
    <w:pPr>
      <w:spacing w:after="0" w:line="360" w:lineRule="auto"/>
      <w:ind w:left="221"/>
      <w:contextualSpacing/>
    </w:pPr>
  </w:style>
  <w:style w:type="paragraph" w:styleId="Revision">
    <w:name w:val="Revision"/>
    <w:hidden/>
    <w:uiPriority w:val="99"/>
    <w:semiHidden/>
    <w:rsid w:val="00080A2D"/>
    <w:pPr>
      <w:spacing w:after="0" w:line="240" w:lineRule="auto"/>
    </w:pPr>
  </w:style>
  <w:style w:type="table" w:customStyle="1" w:styleId="TableGrid1">
    <w:name w:val="Table Grid1"/>
    <w:basedOn w:val="TableNormal"/>
    <w:next w:val="TableGrid"/>
    <w:rsid w:val="005747C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llabusbulletlist">
    <w:name w:val="Syllabus bullet list"/>
    <w:uiPriority w:val="99"/>
    <w:rsid w:val="005747C5"/>
    <w:pPr>
      <w:numPr>
        <w:numId w:val="3"/>
      </w:numPr>
    </w:pPr>
  </w:style>
  <w:style w:type="paragraph" w:customStyle="1" w:styleId="SyllabusListParagraph">
    <w:name w:val="Syllabus List Paragraph"/>
    <w:basedOn w:val="ListParagraph"/>
    <w:link w:val="SyllabusListParagraphChar"/>
    <w:qFormat/>
    <w:rsid w:val="00220381"/>
    <w:pPr>
      <w:numPr>
        <w:numId w:val="35"/>
      </w:numPr>
      <w:contextualSpacing w:val="0"/>
    </w:pPr>
    <w:rPr>
      <w:sz w:val="22"/>
      <w:szCs w:val="20"/>
    </w:rPr>
  </w:style>
  <w:style w:type="character" w:customStyle="1" w:styleId="SyllabusListParagraphChar">
    <w:name w:val="Syllabus List Paragraph Char"/>
    <w:basedOn w:val="DefaultParagraphFont"/>
    <w:link w:val="SyllabusListParagraph"/>
    <w:rsid w:val="00B70AA7"/>
    <w:rPr>
      <w:rFonts w:asciiTheme="minorHAnsi" w:hAnsiTheme="minorHAnsi"/>
      <w:szCs w:val="20"/>
    </w:rPr>
  </w:style>
  <w:style w:type="numbering" w:customStyle="1" w:styleId="Syllabusbulletlist1">
    <w:name w:val="Syllabus bullet list1"/>
    <w:uiPriority w:val="99"/>
    <w:rsid w:val="00AF5724"/>
  </w:style>
  <w:style w:type="numbering" w:customStyle="1" w:styleId="Syllabusbulletlist2">
    <w:name w:val="Syllabus bullet list2"/>
    <w:uiPriority w:val="99"/>
    <w:rsid w:val="00AA3E8F"/>
  </w:style>
  <w:style w:type="paragraph" w:customStyle="1" w:styleId="SyllabusTitle2">
    <w:name w:val="Syllabus Title 2"/>
    <w:basedOn w:val="Normal"/>
    <w:qFormat/>
    <w:rsid w:val="00220381"/>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220381"/>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220381"/>
    <w:rPr>
      <w:rFonts w:asciiTheme="minorHAnsi" w:hAnsiTheme="minorHAnsi"/>
      <w:b/>
      <w:color w:val="580F8B"/>
      <w:sz w:val="40"/>
      <w14:textFill>
        <w14:solidFill>
          <w14:srgbClr w14:val="580F8B">
            <w14:lumMod w14:val="75000"/>
            <w14:lumMod w14:val="75000"/>
            <w14:lumMod w14:val="75000"/>
          </w14:srgbClr>
        </w14:solidFill>
      </w14:textFill>
    </w:rPr>
  </w:style>
  <w:style w:type="character" w:styleId="FollowedHyperlink">
    <w:name w:val="FollowedHyperlink"/>
    <w:basedOn w:val="DefaultParagraphFont"/>
    <w:uiPriority w:val="99"/>
    <w:semiHidden/>
    <w:unhideWhenUsed/>
    <w:rsid w:val="001D5CDA"/>
    <w:rPr>
      <w:color w:val="595959" w:themeColor="text1" w:themeTint="A6"/>
      <w:u w:val="single"/>
    </w:rPr>
  </w:style>
  <w:style w:type="numbering" w:customStyle="1" w:styleId="SyllabusBullets">
    <w:name w:val="SyllabusBullets"/>
    <w:uiPriority w:val="99"/>
    <w:rsid w:val="008C11ED"/>
    <w:pPr>
      <w:numPr>
        <w:numId w:val="4"/>
      </w:numPr>
    </w:pPr>
  </w:style>
  <w:style w:type="character" w:styleId="UnresolvedMention">
    <w:name w:val="Unresolved Mention"/>
    <w:basedOn w:val="DefaultParagraphFont"/>
    <w:uiPriority w:val="99"/>
    <w:semiHidden/>
    <w:unhideWhenUsed/>
    <w:rsid w:val="00B468C1"/>
    <w:rPr>
      <w:color w:val="605E5C"/>
      <w:shd w:val="clear" w:color="auto" w:fill="E1DFDD"/>
    </w:rPr>
  </w:style>
  <w:style w:type="numbering" w:customStyle="1" w:styleId="Syllabusbulletlist3">
    <w:name w:val="Syllabus bullet list3"/>
    <w:uiPriority w:val="99"/>
    <w:rsid w:val="00E22D2F"/>
  </w:style>
  <w:style w:type="paragraph" w:styleId="CommentSubject">
    <w:name w:val="annotation subject"/>
    <w:basedOn w:val="Normal"/>
    <w:next w:val="Normal"/>
    <w:link w:val="CommentSubjectChar"/>
    <w:uiPriority w:val="99"/>
    <w:semiHidden/>
    <w:unhideWhenUsed/>
    <w:rsid w:val="00795F9D"/>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5F9D"/>
    <w:rPr>
      <w:b/>
      <w:bCs/>
      <w:sz w:val="20"/>
      <w:szCs w:val="20"/>
    </w:rPr>
  </w:style>
  <w:style w:type="paragraph" w:customStyle="1" w:styleId="Footereven">
    <w:name w:val="Footer even"/>
    <w:basedOn w:val="Normal"/>
    <w:qFormat/>
    <w:rsid w:val="00220381"/>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220381"/>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220381"/>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220381"/>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220381"/>
    <w:pPr>
      <w:outlineLvl w:val="0"/>
    </w:pPr>
    <w:rPr>
      <w:b/>
      <w:color w:val="580F8B"/>
      <w:sz w:val="40"/>
    </w:rPr>
  </w:style>
  <w:style w:type="paragraph" w:customStyle="1" w:styleId="SyllabusAppendixHeading1">
    <w:name w:val="Syllabus Appendix Heading 1"/>
    <w:basedOn w:val="SyllabusHeading1"/>
    <w:link w:val="SyllabusAppendixHeading1Char"/>
    <w:qFormat/>
    <w:rsid w:val="00220381"/>
    <w:rPr>
      <w:rFonts w:eastAsiaTheme="majorEastAsia" w:cs="Calibri"/>
      <w:szCs w:val="28"/>
    </w:rPr>
  </w:style>
  <w:style w:type="character" w:customStyle="1" w:styleId="SyllabusAppendixHeading1Char">
    <w:name w:val="Syllabus Appendix Heading 1 Char"/>
    <w:basedOn w:val="Heading1Char"/>
    <w:link w:val="SyllabusAppendixHeading1"/>
    <w:rsid w:val="00220381"/>
    <w:rPr>
      <w:rFonts w:asciiTheme="minorHAnsi" w:eastAsiaTheme="majorEastAsia" w:hAnsiTheme="minorHAnsi" w:cs="Calibri"/>
      <w:b/>
      <w:bCs w:val="0"/>
      <w:color w:val="580F8B"/>
      <w:sz w:val="40"/>
      <w:szCs w:val="28"/>
    </w:rPr>
  </w:style>
  <w:style w:type="paragraph" w:customStyle="1" w:styleId="SyllabusHeading3">
    <w:name w:val="Syllabus Heading 3"/>
    <w:basedOn w:val="Normal"/>
    <w:qFormat/>
    <w:rsid w:val="00220381"/>
    <w:pPr>
      <w:spacing w:before="120"/>
      <w:outlineLvl w:val="2"/>
    </w:pPr>
    <w:rPr>
      <w:b/>
      <w:color w:val="595959"/>
      <w:sz w:val="28"/>
    </w:rPr>
  </w:style>
  <w:style w:type="paragraph" w:customStyle="1" w:styleId="SyllabusAppendixHeading2">
    <w:name w:val="Syllabus Appendix Heading 2"/>
    <w:basedOn w:val="SyllabusHeading3"/>
    <w:qFormat/>
    <w:rsid w:val="00220381"/>
    <w:pPr>
      <w:widowControl w:val="0"/>
      <w:spacing w:before="0"/>
      <w:outlineLvl w:val="1"/>
    </w:pPr>
  </w:style>
  <w:style w:type="paragraph" w:customStyle="1" w:styleId="SyllabusAppendixHeading3">
    <w:name w:val="Syllabus Appendix Heading 3"/>
    <w:basedOn w:val="Normal"/>
    <w:qFormat/>
    <w:rsid w:val="00220381"/>
    <w:pPr>
      <w:keepNext/>
      <w:spacing w:after="0"/>
    </w:pPr>
    <w:rPr>
      <w:rFonts w:cs="Arial"/>
      <w:b/>
      <w:bCs/>
      <w:noProof/>
    </w:rPr>
  </w:style>
  <w:style w:type="paragraph" w:customStyle="1" w:styleId="SyllabusHeading2">
    <w:name w:val="Syllabus Heading 2"/>
    <w:basedOn w:val="Normal"/>
    <w:qFormat/>
    <w:rsid w:val="00220381"/>
    <w:pPr>
      <w:spacing w:before="240"/>
      <w:outlineLvl w:val="1"/>
    </w:pPr>
    <w:rPr>
      <w:b/>
      <w:color w:val="595959"/>
      <w:sz w:val="32"/>
    </w:rPr>
  </w:style>
  <w:style w:type="paragraph" w:customStyle="1" w:styleId="SyllabusHeading4">
    <w:name w:val="Syllabus Heading 4"/>
    <w:basedOn w:val="Normal"/>
    <w:qFormat/>
    <w:rsid w:val="00220381"/>
    <w:pPr>
      <w:spacing w:before="120"/>
    </w:pPr>
    <w:rPr>
      <w:rFonts w:eastAsiaTheme="minorHAnsi" w:cs="Calibri"/>
      <w:b/>
      <w:sz w:val="24"/>
      <w:lang w:eastAsia="en-AU"/>
    </w:rPr>
  </w:style>
  <w:style w:type="table" w:customStyle="1" w:styleId="SyllabusTable">
    <w:name w:val="Syllabus Table"/>
    <w:basedOn w:val="TableNormal"/>
    <w:uiPriority w:val="99"/>
    <w:rsid w:val="00220381"/>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220381"/>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220381"/>
    <w:rPr>
      <w:rFonts w:asciiTheme="minorHAnsi" w:eastAsiaTheme="majorEastAsia" w:hAnsiTheme="minorHAnsi" w:cstheme="majorBidi"/>
      <w:b/>
      <w:smallCaps/>
      <w:spacing w:val="5"/>
      <w:kern w:val="28"/>
      <w:sz w:val="60"/>
      <w:szCs w:val="52"/>
    </w:rPr>
  </w:style>
  <w:style w:type="character" w:styleId="PageNumber">
    <w:name w:val="page number"/>
    <w:basedOn w:val="DefaultParagraphFont"/>
    <w:uiPriority w:val="99"/>
    <w:semiHidden/>
    <w:unhideWhenUsed/>
    <w:rsid w:val="00220381"/>
  </w:style>
  <w:style w:type="character" w:styleId="CommentReference">
    <w:name w:val="annotation reference"/>
    <w:basedOn w:val="DefaultParagraphFont"/>
    <w:uiPriority w:val="99"/>
    <w:semiHidden/>
    <w:unhideWhenUsed/>
    <w:rsid w:val="004342C7"/>
    <w:rPr>
      <w:sz w:val="16"/>
      <w:szCs w:val="16"/>
    </w:rPr>
  </w:style>
  <w:style w:type="paragraph" w:styleId="CommentText">
    <w:name w:val="annotation text"/>
    <w:basedOn w:val="Normal"/>
    <w:link w:val="CommentTextChar"/>
    <w:uiPriority w:val="99"/>
    <w:unhideWhenUsed/>
    <w:rsid w:val="004342C7"/>
    <w:pPr>
      <w:spacing w:line="240" w:lineRule="auto"/>
    </w:pPr>
    <w:rPr>
      <w:sz w:val="20"/>
      <w:szCs w:val="20"/>
    </w:rPr>
  </w:style>
  <w:style w:type="character" w:customStyle="1" w:styleId="CommentTextChar">
    <w:name w:val="Comment Text Char"/>
    <w:basedOn w:val="DefaultParagraphFont"/>
    <w:link w:val="CommentText"/>
    <w:uiPriority w:val="99"/>
    <w:rsid w:val="004342C7"/>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4443">
      <w:bodyDiv w:val="1"/>
      <w:marLeft w:val="0"/>
      <w:marRight w:val="0"/>
      <w:marTop w:val="0"/>
      <w:marBottom w:val="0"/>
      <w:divBdr>
        <w:top w:val="none" w:sz="0" w:space="0" w:color="auto"/>
        <w:left w:val="none" w:sz="0" w:space="0" w:color="auto"/>
        <w:bottom w:val="none" w:sz="0" w:space="0" w:color="auto"/>
        <w:right w:val="none" w:sz="0" w:space="0" w:color="auto"/>
      </w:divBdr>
    </w:div>
    <w:div w:id="580912009">
      <w:bodyDiv w:val="1"/>
      <w:marLeft w:val="0"/>
      <w:marRight w:val="0"/>
      <w:marTop w:val="0"/>
      <w:marBottom w:val="0"/>
      <w:divBdr>
        <w:top w:val="none" w:sz="0" w:space="0" w:color="auto"/>
        <w:left w:val="none" w:sz="0" w:space="0" w:color="auto"/>
        <w:bottom w:val="none" w:sz="0" w:space="0" w:color="auto"/>
        <w:right w:val="none" w:sz="0" w:space="0" w:color="auto"/>
      </w:divBdr>
    </w:div>
    <w:div w:id="691880168">
      <w:bodyDiv w:val="1"/>
      <w:marLeft w:val="0"/>
      <w:marRight w:val="0"/>
      <w:marTop w:val="0"/>
      <w:marBottom w:val="0"/>
      <w:divBdr>
        <w:top w:val="none" w:sz="0" w:space="0" w:color="auto"/>
        <w:left w:val="none" w:sz="0" w:space="0" w:color="auto"/>
        <w:bottom w:val="none" w:sz="0" w:space="0" w:color="auto"/>
        <w:right w:val="none" w:sz="0" w:space="0" w:color="auto"/>
      </w:divBdr>
    </w:div>
    <w:div w:id="829173349">
      <w:bodyDiv w:val="1"/>
      <w:marLeft w:val="0"/>
      <w:marRight w:val="0"/>
      <w:marTop w:val="0"/>
      <w:marBottom w:val="0"/>
      <w:divBdr>
        <w:top w:val="none" w:sz="0" w:space="0" w:color="auto"/>
        <w:left w:val="none" w:sz="0" w:space="0" w:color="auto"/>
        <w:bottom w:val="none" w:sz="0" w:space="0" w:color="auto"/>
        <w:right w:val="none" w:sz="0" w:space="0" w:color="auto"/>
      </w:divBdr>
    </w:div>
    <w:div w:id="1531988475">
      <w:bodyDiv w:val="1"/>
      <w:marLeft w:val="0"/>
      <w:marRight w:val="0"/>
      <w:marTop w:val="0"/>
      <w:marBottom w:val="0"/>
      <w:divBdr>
        <w:top w:val="none" w:sz="0" w:space="0" w:color="auto"/>
        <w:left w:val="none" w:sz="0" w:space="0" w:color="auto"/>
        <w:bottom w:val="none" w:sz="0" w:space="0" w:color="auto"/>
        <w:right w:val="none" w:sz="0" w:space="0" w:color="auto"/>
      </w:divBdr>
    </w:div>
    <w:div w:id="2024553218">
      <w:bodyDiv w:val="1"/>
      <w:marLeft w:val="0"/>
      <w:marRight w:val="0"/>
      <w:marTop w:val="0"/>
      <w:marBottom w:val="0"/>
      <w:divBdr>
        <w:top w:val="none" w:sz="0" w:space="0" w:color="auto"/>
        <w:left w:val="none" w:sz="0" w:space="0" w:color="auto"/>
        <w:bottom w:val="none" w:sz="0" w:space="0" w:color="auto"/>
        <w:right w:val="none" w:sz="0" w:space="0" w:color="auto"/>
      </w:divBdr>
      <w:divsChild>
        <w:div w:id="646008530">
          <w:marLeft w:val="0"/>
          <w:marRight w:val="0"/>
          <w:marTop w:val="0"/>
          <w:marBottom w:val="0"/>
          <w:divBdr>
            <w:top w:val="none" w:sz="0" w:space="0" w:color="auto"/>
            <w:left w:val="none" w:sz="0" w:space="0" w:color="auto"/>
            <w:bottom w:val="none" w:sz="0" w:space="0" w:color="auto"/>
            <w:right w:val="none" w:sz="0" w:space="0" w:color="auto"/>
          </w:divBdr>
        </w:div>
        <w:div w:id="160040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straliacouncil.gov.au/investment-and-development/protocols-and-resources/protocols-for-using-first-nations-cultural-and-intellectual-property-in-the-art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rragunnawali.org.au/about/subject-guid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ragunnawali.org.au/about/terminology-gui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www.scsa.wa.edu.au" TargetMode="External"/></Relationships>
</file>

<file path=word/theme/theme1.xml><?xml version="1.0" encoding="utf-8"?>
<a:theme xmlns:a="http://schemas.openxmlformats.org/drawingml/2006/main" name="Office Theme">
  <a:themeElements>
    <a:clrScheme name="SCSA Y11-12">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580F8B"/>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A3B5-2AE5-4B1F-8AD3-8DF2A641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6334</Words>
  <Characters>36109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Jenna Khor</cp:lastModifiedBy>
  <cp:revision>7</cp:revision>
  <cp:lastPrinted>2024-07-31T02:59:00Z</cp:lastPrinted>
  <dcterms:created xsi:type="dcterms:W3CDTF">2024-08-20T00:52:00Z</dcterms:created>
  <dcterms:modified xsi:type="dcterms:W3CDTF">2024-09-02T09:08:00Z</dcterms:modified>
</cp:coreProperties>
</file>