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E8E9BF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2656D">
        <w:rPr>
          <w:noProof/>
        </w:rPr>
        <w:t>Business Man</w:t>
      </w:r>
      <w:r w:rsidR="006D5B00">
        <w:rPr>
          <w:noProof/>
        </w:rPr>
        <w:t>a</w:t>
      </w:r>
      <w:r w:rsidR="0002656D">
        <w:rPr>
          <w:noProof/>
        </w:rPr>
        <w:t>gement and Enterprise</w:t>
      </w:r>
    </w:p>
    <w:p w14:paraId="48A9D027" w14:textId="00B9180A" w:rsidR="00AA2B0D" w:rsidRPr="0002656D" w:rsidRDefault="00717735" w:rsidP="00227D40">
      <w:pPr>
        <w:pStyle w:val="SCSATitle2"/>
      </w:pPr>
      <w:r w:rsidRPr="0002656D">
        <w:t>G</w:t>
      </w:r>
      <w:r w:rsidR="00B6200C">
        <w:t>eneral</w:t>
      </w:r>
      <w:r w:rsidR="00AA2B0D" w:rsidRPr="0002656D">
        <w:t xml:space="preserve"> course</w:t>
      </w:r>
    </w:p>
    <w:p w14:paraId="48E1D5DD" w14:textId="36B1E06C" w:rsidR="001F2E53" w:rsidRPr="0002656D" w:rsidRDefault="00326EAC" w:rsidP="00227D40">
      <w:pPr>
        <w:pStyle w:val="SCSATitle3"/>
      </w:pPr>
      <w:r w:rsidRPr="0002656D">
        <w:t xml:space="preserve">Year </w:t>
      </w:r>
      <w:r w:rsidR="00777AF3" w:rsidRPr="0002656D">
        <w:t>12</w:t>
      </w:r>
      <w:r w:rsidRPr="0002656D">
        <w:t xml:space="preserve"> </w:t>
      </w:r>
      <w:r w:rsidR="00FC77F4" w:rsidRPr="0002656D">
        <w:t>s</w:t>
      </w:r>
      <w:r w:rsidRPr="0002656D">
        <w:t xml:space="preserve">yllabus </w:t>
      </w:r>
      <w:r w:rsidR="00FE6119" w:rsidRPr="0002656D">
        <w:t>– What’s changing: General capabilities</w:t>
      </w:r>
    </w:p>
    <w:p w14:paraId="35A356C3" w14:textId="41C61895" w:rsidR="002C05E5" w:rsidRPr="00B41296" w:rsidRDefault="001F2E53" w:rsidP="00227D40">
      <w:pPr>
        <w:pStyle w:val="SCSATitle3"/>
      </w:pPr>
      <w:bookmarkStart w:id="0" w:name="_Hlk197502329"/>
      <w:r w:rsidRPr="0002656D">
        <w:t>For teaching in 2027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27CB6E9" w14:textId="77777777" w:rsidR="007F28E0" w:rsidRPr="00B46658" w:rsidRDefault="007F28E0" w:rsidP="007F28E0">
      <w:pPr>
        <w:rPr>
          <w:rFonts w:cstheme="minorHAnsi"/>
          <w:b/>
          <w:bCs/>
        </w:rPr>
      </w:pPr>
      <w:r w:rsidRPr="00B46658">
        <w:rPr>
          <w:rFonts w:cstheme="minorHAnsi"/>
          <w:b/>
          <w:bCs/>
        </w:rPr>
        <w:t>Background</w:t>
      </w:r>
    </w:p>
    <w:p w14:paraId="3581F178" w14:textId="77777777" w:rsidR="007F28E0" w:rsidRPr="00B46658" w:rsidRDefault="007F28E0" w:rsidP="007F28E0">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51966ED" w14:textId="77777777" w:rsidR="007F28E0" w:rsidRPr="00B46658" w:rsidRDefault="007F28E0" w:rsidP="007F28E0">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A8E863C" w14:textId="77777777" w:rsidR="007F28E0" w:rsidRPr="00B46658" w:rsidRDefault="007F28E0" w:rsidP="007F28E0">
      <w:pPr>
        <w:rPr>
          <w:rFonts w:cstheme="minorHAnsi"/>
          <w:b/>
          <w:bCs/>
          <w:sz w:val="20"/>
          <w:szCs w:val="20"/>
        </w:rPr>
      </w:pPr>
      <w:r w:rsidRPr="00B46658">
        <w:rPr>
          <w:rFonts w:cstheme="minorHAnsi"/>
          <w:b/>
          <w:bCs/>
          <w:sz w:val="20"/>
          <w:szCs w:val="20"/>
        </w:rPr>
        <w:t>Important information</w:t>
      </w:r>
    </w:p>
    <w:p w14:paraId="58C09A77" w14:textId="77777777" w:rsidR="007F28E0" w:rsidRPr="00B46658" w:rsidRDefault="007F28E0" w:rsidP="007F28E0">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FF2ABEE" w14:textId="77777777" w:rsidR="007F28E0" w:rsidRPr="00B46658" w:rsidRDefault="007F28E0" w:rsidP="007F28E0">
      <w:pPr>
        <w:rPr>
          <w:rFonts w:cstheme="minorHAnsi"/>
          <w:sz w:val="20"/>
          <w:szCs w:val="20"/>
        </w:rPr>
      </w:pPr>
      <w:r w:rsidRPr="00B46658">
        <w:rPr>
          <w:rFonts w:cstheme="minorHAnsi"/>
          <w:sz w:val="20"/>
          <w:szCs w:val="20"/>
        </w:rPr>
        <w:t>This document contains information that will be included in the syllabus effective from 1 January 2027.</w:t>
      </w:r>
    </w:p>
    <w:p w14:paraId="4BBACE75" w14:textId="77777777" w:rsidR="007F28E0" w:rsidRPr="00B46658" w:rsidRDefault="007F28E0" w:rsidP="007F28E0">
      <w:pPr>
        <w:rPr>
          <w:rFonts w:cstheme="minorHAnsi"/>
          <w:sz w:val="20"/>
          <w:szCs w:val="20"/>
        </w:rPr>
      </w:pPr>
      <w:r w:rsidRPr="00B46658">
        <w:rPr>
          <w:rFonts w:cstheme="minorHAnsi"/>
          <w:sz w:val="20"/>
          <w:szCs w:val="20"/>
        </w:rPr>
        <w:t>Users of the syllabus are responsible for checking its currency.</w:t>
      </w:r>
    </w:p>
    <w:p w14:paraId="588F483A" w14:textId="77777777" w:rsidR="007F28E0" w:rsidRPr="00B46658" w:rsidRDefault="007F28E0" w:rsidP="007F28E0">
      <w:pPr>
        <w:rPr>
          <w:rFonts w:cstheme="minorHAnsi"/>
          <w:sz w:val="20"/>
          <w:szCs w:val="20"/>
        </w:rPr>
      </w:pPr>
      <w:r w:rsidRPr="00B46658">
        <w:rPr>
          <w:rFonts w:cstheme="minorHAnsi"/>
          <w:sz w:val="20"/>
          <w:szCs w:val="20"/>
        </w:rPr>
        <w:t>Syllabuses are formally reviewed by the Authority on a cyclical basis, typically every five years.</w:t>
      </w:r>
    </w:p>
    <w:p w14:paraId="0BD2BE3A" w14:textId="77777777" w:rsidR="007F28E0" w:rsidRPr="00B46658" w:rsidRDefault="007F28E0" w:rsidP="007F28E0">
      <w:pPr>
        <w:jc w:val="both"/>
        <w:rPr>
          <w:rFonts w:cstheme="minorHAnsi"/>
          <w:b/>
          <w:sz w:val="20"/>
          <w:szCs w:val="20"/>
        </w:rPr>
      </w:pPr>
      <w:r w:rsidRPr="00B46658">
        <w:rPr>
          <w:rFonts w:cstheme="minorHAnsi"/>
          <w:b/>
          <w:sz w:val="20"/>
          <w:szCs w:val="20"/>
        </w:rPr>
        <w:t>Copyright</w:t>
      </w:r>
    </w:p>
    <w:p w14:paraId="2ED872CA" w14:textId="77777777" w:rsidR="007F28E0" w:rsidRPr="00B46658" w:rsidRDefault="007F28E0" w:rsidP="007F28E0">
      <w:pPr>
        <w:jc w:val="both"/>
        <w:rPr>
          <w:rFonts w:cstheme="minorHAnsi"/>
          <w:sz w:val="20"/>
          <w:szCs w:val="20"/>
          <w:lang w:val="en-GB"/>
        </w:rPr>
      </w:pPr>
      <w:r w:rsidRPr="00B46658">
        <w:rPr>
          <w:rFonts w:cstheme="minorHAnsi"/>
          <w:sz w:val="20"/>
          <w:szCs w:val="20"/>
          <w:lang w:val="en-GB"/>
        </w:rPr>
        <w:t>© School Curriculum and Standards Authority, 2025</w:t>
      </w:r>
    </w:p>
    <w:p w14:paraId="40B8804E" w14:textId="77777777" w:rsidR="007F28E0" w:rsidRPr="00B46658" w:rsidRDefault="007F28E0" w:rsidP="007F28E0">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1F10C6" w14:textId="77777777" w:rsidR="007F28E0" w:rsidRPr="00B46658" w:rsidRDefault="007F28E0" w:rsidP="007F28E0">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1FD326A4" w14:textId="77777777" w:rsidR="007F28E0" w:rsidRPr="00B46658" w:rsidRDefault="007F28E0" w:rsidP="007F28E0">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516233">
          <w:footerReference w:type="even" r:id="rId10"/>
          <w:pgSz w:w="11906" w:h="16838"/>
          <w:pgMar w:top="1644" w:right="1418" w:bottom="1276" w:left="1418" w:header="680" w:footer="567" w:gutter="0"/>
          <w:cols w:space="708"/>
          <w:titlePg/>
          <w:docGrid w:linePitch="360"/>
        </w:sectPr>
      </w:pPr>
    </w:p>
    <w:p w14:paraId="1404858C" w14:textId="51A67F90"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02656D">
        <w:t>capabilities</w:t>
      </w:r>
      <w:bookmarkEnd w:id="1"/>
    </w:p>
    <w:p w14:paraId="2524049B" w14:textId="25F20CA5" w:rsidR="006054A2" w:rsidRPr="009C3CBD" w:rsidRDefault="006054A2" w:rsidP="009C3CBD">
      <w:r w:rsidRPr="009C3CBD">
        <w:t>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w:t>
      </w:r>
      <w:r w:rsidR="0002656D">
        <w:t xml:space="preserve"> Business Management and Ent</w:t>
      </w:r>
      <w:r w:rsidR="0002656D" w:rsidRPr="0002656D">
        <w:t>erprise</w:t>
      </w:r>
      <w:bookmarkStart w:id="3" w:name="_Hlk197498480"/>
      <w:r w:rsidR="0002656D" w:rsidRPr="0002656D">
        <w:t xml:space="preserve"> </w:t>
      </w:r>
      <w:r w:rsidR="00163C64" w:rsidRPr="0002656D">
        <w:t>General</w:t>
      </w:r>
      <w:r w:rsidRPr="0002656D">
        <w:t xml:space="preserve"> </w:t>
      </w:r>
      <w:bookmarkEnd w:id="3"/>
      <w:r w:rsidRPr="0002656D">
        <w:t>course</w:t>
      </w:r>
      <w:r w:rsidRPr="009C3CBD">
        <w:t>. The general capabilities are not assessed unless they are identified within the specified unit content.</w:t>
      </w:r>
    </w:p>
    <w:p w14:paraId="4FB393F1" w14:textId="77777777" w:rsidR="007F28E0" w:rsidRPr="009C3CBD" w:rsidRDefault="007F28E0" w:rsidP="007F28E0">
      <w:pPr>
        <w:pStyle w:val="SCSAHeading3"/>
      </w:pPr>
      <w:r w:rsidRPr="009C3CBD">
        <w:t>Critical and creative thinking</w:t>
      </w:r>
    </w:p>
    <w:p w14:paraId="373F698E" w14:textId="77777777" w:rsidR="007F28E0" w:rsidRPr="009C3CBD" w:rsidRDefault="007F28E0" w:rsidP="007F28E0">
      <w:r w:rsidRPr="0052658B">
        <w:rPr>
          <w:rFonts w:ascii="Calibri" w:hAnsi="Calibri" w:cs="Calibri"/>
        </w:rPr>
        <w:t xml:space="preserve">Students develop critical and creative thinking as they apply business concepts, theories and processes to analyse business situations and/or issues when responding to scenarios and case studies. They interpret information relevant to business activity and draw conclusions as they make recommendations </w:t>
      </w:r>
      <w:r>
        <w:rPr>
          <w:rFonts w:ascii="Calibri" w:hAnsi="Calibri" w:cs="Calibri"/>
        </w:rPr>
        <w:t>regarding</w:t>
      </w:r>
      <w:r w:rsidRPr="0052658B">
        <w:rPr>
          <w:rFonts w:ascii="Calibri" w:hAnsi="Calibri" w:cs="Calibri"/>
        </w:rPr>
        <w:t xml:space="preserve"> feasibility and/or implementation</w:t>
      </w:r>
      <w:r w:rsidRPr="0052658B">
        <w:rPr>
          <w:bCs/>
        </w:rPr>
        <w:t>.</w:t>
      </w:r>
    </w:p>
    <w:p w14:paraId="7F220729" w14:textId="77777777" w:rsidR="007F28E0" w:rsidRPr="009C3CBD" w:rsidRDefault="007F28E0" w:rsidP="007F28E0">
      <w:pPr>
        <w:pStyle w:val="SCSAHeading3"/>
      </w:pPr>
      <w:r w:rsidRPr="009C3CBD">
        <w:t>Ethical understanding</w:t>
      </w:r>
    </w:p>
    <w:p w14:paraId="5779B99D" w14:textId="77777777" w:rsidR="007F28E0" w:rsidRPr="00D66FED" w:rsidRDefault="007F28E0" w:rsidP="007F28E0">
      <w:pPr>
        <w:spacing w:before="120"/>
        <w:rPr>
          <w:rFonts w:ascii="Calibri" w:hAnsi="Calibri" w:cs="Calibri"/>
        </w:rPr>
      </w:pPr>
      <w:r w:rsidRPr="00D66FED">
        <w:rPr>
          <w:rFonts w:ascii="Calibri" w:hAnsi="Calibri" w:cs="Calibri"/>
        </w:rPr>
        <w:t>Students develop ethical understanding</w:t>
      </w:r>
      <w:r>
        <w:rPr>
          <w:rFonts w:ascii="Calibri" w:hAnsi="Calibri" w:cs="Calibri"/>
        </w:rPr>
        <w:t xml:space="preserve"> as they</w:t>
      </w:r>
      <w:r w:rsidRPr="00D66FED">
        <w:rPr>
          <w:rFonts w:ascii="Calibri" w:hAnsi="Calibri" w:cs="Calibri"/>
        </w:rPr>
        <w:t xml:space="preserve"> explor</w:t>
      </w:r>
      <w:r>
        <w:rPr>
          <w:rFonts w:ascii="Calibri" w:hAnsi="Calibri" w:cs="Calibri"/>
        </w:rPr>
        <w:t>e</w:t>
      </w:r>
      <w:r w:rsidRPr="00D66FED">
        <w:rPr>
          <w:rFonts w:ascii="Calibri" w:hAnsi="Calibri" w:cs="Calibri"/>
        </w:rPr>
        <w:t xml:space="preserve"> the impact of ethical issues on business image and activity. They consider sustainable business practices as they examine factors that influence business image and consumer spending patterns. </w:t>
      </w:r>
      <w:r w:rsidRPr="0051590A">
        <w:rPr>
          <w:rFonts w:ascii="Calibri" w:hAnsi="Calibri" w:cs="Calibri"/>
        </w:rPr>
        <w:t xml:space="preserve">Students explore the legal frameworks </w:t>
      </w:r>
      <w:r>
        <w:rPr>
          <w:rFonts w:ascii="Calibri" w:hAnsi="Calibri" w:cs="Calibri"/>
        </w:rPr>
        <w:t>that</w:t>
      </w:r>
      <w:r w:rsidRPr="0051590A">
        <w:rPr>
          <w:rFonts w:ascii="Calibri" w:hAnsi="Calibri" w:cs="Calibri"/>
        </w:rPr>
        <w:t xml:space="preserve"> relate to consumer rights and protection, employee protections at work and the responsibilities of employers to operate and engage in business activity in an ethical manner.</w:t>
      </w:r>
    </w:p>
    <w:p w14:paraId="3F8850AC" w14:textId="75ED2151" w:rsidR="00426B9A" w:rsidRPr="009C3CBD" w:rsidRDefault="00426B9A" w:rsidP="007A5272">
      <w:pPr>
        <w:pStyle w:val="SCSAHeading3"/>
      </w:pPr>
      <w:r w:rsidRPr="009C3CBD">
        <w:t>Literacy</w:t>
      </w:r>
    </w:p>
    <w:p w14:paraId="4662F5BE" w14:textId="7F6DC347" w:rsidR="007F28E0" w:rsidRDefault="005A51BE" w:rsidP="009C3CBD">
      <w:pPr>
        <w:rPr>
          <w:bCs/>
        </w:rPr>
      </w:pPr>
      <w:r w:rsidRPr="001A3E34">
        <w:rPr>
          <w:rFonts w:ascii="Calibri" w:hAnsi="Calibri" w:cs="Calibri"/>
        </w:rPr>
        <w:t xml:space="preserve">Students develop literacy capability as they read, research and analyse information related to business </w:t>
      </w:r>
      <w:r w:rsidRPr="00D66FED">
        <w:rPr>
          <w:rFonts w:ascii="Calibri" w:hAnsi="Calibri" w:cs="Calibri"/>
        </w:rPr>
        <w:t xml:space="preserve">activity. They learn to use </w:t>
      </w:r>
      <w:r w:rsidR="00252835">
        <w:rPr>
          <w:rFonts w:ascii="Calibri" w:hAnsi="Calibri" w:cs="Calibri"/>
        </w:rPr>
        <w:t>business</w:t>
      </w:r>
      <w:r w:rsidRPr="00D66FED">
        <w:rPr>
          <w:rFonts w:ascii="Calibri" w:hAnsi="Calibri" w:cs="Calibri"/>
        </w:rPr>
        <w:t xml:space="preserve"> language and terminology when applying concepts, theories and processes to a range of business situations. Students communicate information relevant to business activity using a range of formats, such as </w:t>
      </w:r>
      <w:r w:rsidRPr="00D66FED">
        <w:rPr>
          <w:bCs/>
        </w:rPr>
        <w:t>written, oral or multimedia, when developing short and</w:t>
      </w:r>
      <w:r w:rsidR="00694F48">
        <w:rPr>
          <w:bCs/>
        </w:rPr>
        <w:t>/</w:t>
      </w:r>
      <w:r w:rsidRPr="00D66FED">
        <w:rPr>
          <w:bCs/>
        </w:rPr>
        <w:t xml:space="preserve">or extended answer responses to scenarios </w:t>
      </w:r>
      <w:r w:rsidR="00694F48">
        <w:rPr>
          <w:bCs/>
        </w:rPr>
        <w:t>and/</w:t>
      </w:r>
      <w:r w:rsidRPr="00D66FED">
        <w:rPr>
          <w:bCs/>
        </w:rPr>
        <w:t>or case studies, or when preparing recommendations, reports or any other form</w:t>
      </w:r>
      <w:r w:rsidR="006D5B00">
        <w:rPr>
          <w:bCs/>
        </w:rPr>
        <w:t>at</w:t>
      </w:r>
      <w:r w:rsidRPr="00D66FED">
        <w:rPr>
          <w:bCs/>
        </w:rPr>
        <w:t xml:space="preserve"> that demonstrate</w:t>
      </w:r>
      <w:r w:rsidR="006D5B00">
        <w:rPr>
          <w:bCs/>
        </w:rPr>
        <w:t>s</w:t>
      </w:r>
      <w:r w:rsidRPr="00D66FED">
        <w:rPr>
          <w:bCs/>
        </w:rPr>
        <w:t xml:space="preserve"> critical analysis and preparation of business information.</w:t>
      </w:r>
    </w:p>
    <w:p w14:paraId="2173CC5E" w14:textId="470262F6" w:rsidR="00426B9A" w:rsidRPr="009C3CBD" w:rsidRDefault="006054A2" w:rsidP="00F86882">
      <w:pPr>
        <w:pStyle w:val="SCSAHeading3"/>
      </w:pPr>
      <w:r w:rsidRPr="009C3CBD">
        <w:t>Addressing the other general capabilities</w:t>
      </w:r>
    </w:p>
    <w:bookmarkEnd w:id="2"/>
    <w:p w14:paraId="20DD5EA9" w14:textId="1BCA3A7A" w:rsidR="006054A2" w:rsidRPr="009C3CBD" w:rsidRDefault="006054A2" w:rsidP="009C3CBD">
      <w:r w:rsidRPr="009C3CBD">
        <w:t>Although the following general capabilities have not been identified as a focus in th</w:t>
      </w:r>
      <w:r w:rsidRPr="0002656D">
        <w:t xml:space="preserve">e </w:t>
      </w:r>
      <w:r w:rsidR="0002656D" w:rsidRPr="0002656D">
        <w:t xml:space="preserve">Business Management and Enterprise </w:t>
      </w:r>
      <w:r w:rsidR="009833D4" w:rsidRPr="0002656D">
        <w:t>General</w:t>
      </w:r>
      <w:r w:rsidRPr="0002656D">
        <w:t xml:space="preserve"> </w:t>
      </w:r>
      <w:r w:rsidR="008C0D76" w:rsidRPr="0002656D">
        <w:t xml:space="preserve">Year 12 </w:t>
      </w:r>
      <w:r w:rsidR="007F28E0" w:rsidRPr="009C3CBD">
        <w:t>syllabus</w:t>
      </w:r>
      <w:r w:rsidRPr="0002656D">
        <w:t>, teachers may find opportunities to incorporate</w:t>
      </w:r>
      <w:r w:rsidRPr="009C3CBD">
        <w:t xml:space="preserve"> these capabilities into the teaching and learning program.</w:t>
      </w:r>
    </w:p>
    <w:p w14:paraId="2014F66D" w14:textId="77777777" w:rsidR="007F28E0" w:rsidRPr="00611332" w:rsidRDefault="007F28E0" w:rsidP="007F28E0">
      <w:pPr>
        <w:pStyle w:val="ListParagraph"/>
        <w:numPr>
          <w:ilvl w:val="0"/>
          <w:numId w:val="19"/>
        </w:numPr>
      </w:pPr>
      <w:r w:rsidRPr="00611332">
        <w:t>Digital literacy</w:t>
      </w:r>
    </w:p>
    <w:p w14:paraId="5F3E7D2D" w14:textId="77777777" w:rsidR="007F28E0" w:rsidRPr="00611332" w:rsidRDefault="007F28E0" w:rsidP="007F28E0">
      <w:pPr>
        <w:pStyle w:val="ListParagraph"/>
        <w:numPr>
          <w:ilvl w:val="0"/>
          <w:numId w:val="19"/>
        </w:numPr>
      </w:pPr>
      <w:r w:rsidRPr="00611332">
        <w:t>Intercultural understanding</w:t>
      </w:r>
    </w:p>
    <w:p w14:paraId="3E48FA6F" w14:textId="61276510" w:rsidR="00777AF3" w:rsidRPr="00611332" w:rsidRDefault="00611332" w:rsidP="009C3CBD">
      <w:pPr>
        <w:pStyle w:val="ListParagraph"/>
        <w:numPr>
          <w:ilvl w:val="0"/>
          <w:numId w:val="19"/>
        </w:numPr>
      </w:pPr>
      <w:r w:rsidRPr="00611332">
        <w:t>Numeracy</w:t>
      </w:r>
    </w:p>
    <w:p w14:paraId="039F860B" w14:textId="7BE9FD89" w:rsidR="009833D4" w:rsidRPr="00611332" w:rsidRDefault="00611332" w:rsidP="009C3CBD">
      <w:pPr>
        <w:pStyle w:val="ListParagraph"/>
        <w:numPr>
          <w:ilvl w:val="0"/>
          <w:numId w:val="19"/>
        </w:numPr>
      </w:pPr>
      <w:r w:rsidRPr="00611332">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54F74810" w:rsidR="009F5CD5" w:rsidRPr="009C3CBD" w:rsidRDefault="009F5CD5" w:rsidP="002C6BB2">
      <w:pPr>
        <w:pStyle w:val="SCSAHeading3"/>
      </w:pPr>
      <w:r w:rsidRPr="009C3CBD">
        <w:t xml:space="preserve">Summary representation of the </w:t>
      </w:r>
      <w:r w:rsidR="00642512">
        <w:t>g</w:t>
      </w:r>
      <w:r w:rsidRPr="009C3CBD">
        <w:t xml:space="preserve">eneral </w:t>
      </w:r>
      <w:r w:rsidR="00642512">
        <w:t>c</w:t>
      </w:r>
      <w:r w:rsidRPr="009C3CBD">
        <w:t>apabilities in the</w:t>
      </w:r>
      <w:r w:rsidR="0002656D">
        <w:t xml:space="preserve"> Business Management and Enterprise </w:t>
      </w:r>
      <w:r w:rsidRPr="0002656D">
        <w:t>General</w:t>
      </w:r>
      <w:r w:rsidRPr="009C3CBD">
        <w:t xml:space="preserve"> course</w:t>
      </w:r>
    </w:p>
    <w:p w14:paraId="7628E51C" w14:textId="77777777" w:rsidR="00F86882" w:rsidRDefault="00F86882" w:rsidP="00F86882">
      <w:pPr>
        <w:spacing w:line="252" w:lineRule="auto"/>
        <w:rPr>
          <w:rFonts w:ascii="Calibri" w:hAnsi="Calibri" w:cs="Calibri"/>
          <w:kern w:val="0"/>
          <w:lang w:eastAsia="en-US"/>
        </w:rPr>
      </w:pPr>
      <w:r>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830"/>
        <w:gridCol w:w="3282"/>
        <w:gridCol w:w="854"/>
        <w:gridCol w:w="584"/>
        <w:gridCol w:w="585"/>
        <w:gridCol w:w="585"/>
        <w:gridCol w:w="585"/>
        <w:gridCol w:w="585"/>
        <w:gridCol w:w="585"/>
        <w:gridCol w:w="585"/>
      </w:tblGrid>
      <w:tr w:rsidR="009F5CD5" w:rsidRPr="006A76EA" w14:paraId="1C793338" w14:textId="77777777" w:rsidTr="00C71E60">
        <w:trPr>
          <w:cnfStyle w:val="100000000000" w:firstRow="1" w:lastRow="0" w:firstColumn="0" w:lastColumn="0" w:oddVBand="0" w:evenVBand="0" w:oddHBand="0" w:evenHBand="0" w:firstRowFirstColumn="0" w:firstRowLastColumn="0" w:lastRowFirstColumn="0" w:lastRowLastColumn="0"/>
          <w:trHeight w:val="261"/>
        </w:trPr>
        <w:tc>
          <w:tcPr>
            <w:tcW w:w="830"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282"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085B5CCF" w:rsidR="009F5CD5" w:rsidRPr="006A76EA" w:rsidRDefault="009F5CD5" w:rsidP="004D0002">
            <w:pPr>
              <w:spacing w:after="100" w:afterAutospacing="1"/>
              <w:rPr>
                <w:b w:val="0"/>
                <w:bCs/>
              </w:rPr>
            </w:pPr>
            <w:r w:rsidRPr="006A76EA">
              <w:rPr>
                <w:bCs/>
              </w:rPr>
              <w:t xml:space="preserve">Course </w:t>
            </w:r>
            <w:r w:rsidR="00642512">
              <w:rPr>
                <w:bCs/>
              </w:rPr>
              <w:t>t</w:t>
            </w:r>
            <w:r w:rsidRPr="006A76EA">
              <w:rPr>
                <w:bCs/>
              </w:rPr>
              <w:t>ype</w:t>
            </w:r>
          </w:p>
        </w:tc>
        <w:tc>
          <w:tcPr>
            <w:tcW w:w="4094" w:type="dxa"/>
            <w:gridSpan w:val="7"/>
          </w:tcPr>
          <w:p w14:paraId="38BBECD3" w14:textId="43B60DC2" w:rsidR="009F5CD5" w:rsidRPr="006A76EA" w:rsidRDefault="009F5CD5" w:rsidP="004D0002">
            <w:pPr>
              <w:spacing w:after="100" w:afterAutospacing="1"/>
              <w:jc w:val="center"/>
              <w:rPr>
                <w:b w:val="0"/>
                <w:bCs/>
              </w:rPr>
            </w:pPr>
            <w:r w:rsidRPr="006A76EA">
              <w:rPr>
                <w:bCs/>
              </w:rPr>
              <w:t xml:space="preserve">General </w:t>
            </w:r>
            <w:r w:rsidR="00642512">
              <w:rPr>
                <w:bCs/>
              </w:rPr>
              <w:t>c</w:t>
            </w:r>
            <w:r w:rsidRPr="006A76EA">
              <w:rPr>
                <w:bCs/>
              </w:rPr>
              <w:t>apabilities</w:t>
            </w:r>
          </w:p>
        </w:tc>
      </w:tr>
      <w:tr w:rsidR="007F28E0" w:rsidRPr="006A76EA" w14:paraId="5C91EA17" w14:textId="77777777" w:rsidTr="00C71E60">
        <w:trPr>
          <w:trHeight w:val="142"/>
        </w:trPr>
        <w:tc>
          <w:tcPr>
            <w:tcW w:w="830" w:type="dxa"/>
            <w:vMerge/>
          </w:tcPr>
          <w:p w14:paraId="70AEB9A4" w14:textId="77777777" w:rsidR="007F28E0" w:rsidRPr="006A76EA" w:rsidRDefault="007F28E0" w:rsidP="007F28E0">
            <w:pPr>
              <w:spacing w:after="100" w:afterAutospacing="1"/>
              <w:rPr>
                <w:b/>
                <w:bCs/>
              </w:rPr>
            </w:pPr>
          </w:p>
        </w:tc>
        <w:tc>
          <w:tcPr>
            <w:tcW w:w="3282" w:type="dxa"/>
            <w:vMerge/>
          </w:tcPr>
          <w:p w14:paraId="7A14C1A9" w14:textId="77777777" w:rsidR="007F28E0" w:rsidRPr="006A76EA" w:rsidRDefault="007F28E0" w:rsidP="007F28E0">
            <w:pPr>
              <w:spacing w:after="100" w:afterAutospacing="1"/>
              <w:rPr>
                <w:b/>
                <w:bCs/>
              </w:rPr>
            </w:pPr>
          </w:p>
        </w:tc>
        <w:tc>
          <w:tcPr>
            <w:tcW w:w="854" w:type="dxa"/>
            <w:vMerge/>
          </w:tcPr>
          <w:p w14:paraId="09565E9E" w14:textId="77777777" w:rsidR="007F28E0" w:rsidRPr="006A76EA" w:rsidRDefault="007F28E0" w:rsidP="007F28E0">
            <w:pPr>
              <w:spacing w:after="100" w:afterAutospacing="1"/>
              <w:rPr>
                <w:b/>
                <w:bCs/>
              </w:rPr>
            </w:pPr>
          </w:p>
        </w:tc>
        <w:tc>
          <w:tcPr>
            <w:tcW w:w="584" w:type="dxa"/>
          </w:tcPr>
          <w:p w14:paraId="51788E5E" w14:textId="69FABF0F" w:rsidR="007F28E0" w:rsidRPr="006A76EA" w:rsidRDefault="007F28E0" w:rsidP="00C71E60">
            <w:pPr>
              <w:spacing w:after="100" w:afterAutospacing="1"/>
              <w:jc w:val="center"/>
              <w:rPr>
                <w:b/>
                <w:bCs/>
              </w:rPr>
            </w:pPr>
            <w:r w:rsidRPr="001F0833">
              <w:rPr>
                <w:rFonts w:ascii="Calibri" w:eastAsia="Calibri" w:hAnsi="Calibri" w:cs="Calibri"/>
                <w:b/>
                <w:bCs/>
              </w:rPr>
              <w:t>CCT</w:t>
            </w:r>
          </w:p>
        </w:tc>
        <w:tc>
          <w:tcPr>
            <w:tcW w:w="585" w:type="dxa"/>
          </w:tcPr>
          <w:p w14:paraId="18FA841E" w14:textId="06886DE4" w:rsidR="007F28E0" w:rsidRPr="006A76EA" w:rsidRDefault="007F28E0" w:rsidP="00C71E60">
            <w:pPr>
              <w:spacing w:after="100" w:afterAutospacing="1"/>
              <w:jc w:val="center"/>
              <w:rPr>
                <w:b/>
                <w:bCs/>
              </w:rPr>
            </w:pPr>
            <w:r w:rsidRPr="001F0833">
              <w:rPr>
                <w:rFonts w:ascii="Calibri" w:eastAsia="Calibri" w:hAnsi="Calibri" w:cs="Calibri"/>
                <w:b/>
                <w:bCs/>
              </w:rPr>
              <w:t>DL</w:t>
            </w:r>
          </w:p>
        </w:tc>
        <w:tc>
          <w:tcPr>
            <w:tcW w:w="585" w:type="dxa"/>
          </w:tcPr>
          <w:p w14:paraId="5DAB2FD0" w14:textId="1BE925AD" w:rsidR="007F28E0" w:rsidRPr="006A76EA" w:rsidRDefault="007F28E0" w:rsidP="00C71E60">
            <w:pPr>
              <w:spacing w:after="100" w:afterAutospacing="1"/>
              <w:jc w:val="center"/>
              <w:rPr>
                <w:b/>
                <w:bCs/>
              </w:rPr>
            </w:pPr>
            <w:r w:rsidRPr="001F0833">
              <w:rPr>
                <w:rFonts w:ascii="Calibri" w:eastAsia="Calibri" w:hAnsi="Calibri" w:cs="Calibri"/>
                <w:b/>
                <w:bCs/>
              </w:rPr>
              <w:t>EU</w:t>
            </w:r>
          </w:p>
        </w:tc>
        <w:tc>
          <w:tcPr>
            <w:tcW w:w="585" w:type="dxa"/>
          </w:tcPr>
          <w:p w14:paraId="0B563241" w14:textId="5A518289" w:rsidR="007F28E0" w:rsidRPr="006A76EA" w:rsidRDefault="007F28E0" w:rsidP="00C71E60">
            <w:pPr>
              <w:spacing w:after="100" w:afterAutospacing="1"/>
              <w:jc w:val="center"/>
              <w:rPr>
                <w:b/>
                <w:bCs/>
              </w:rPr>
            </w:pPr>
            <w:r w:rsidRPr="001F0833">
              <w:rPr>
                <w:rFonts w:ascii="Calibri" w:eastAsia="Calibri" w:hAnsi="Calibri" w:cs="Calibri"/>
                <w:b/>
                <w:bCs/>
              </w:rPr>
              <w:t>IU</w:t>
            </w:r>
          </w:p>
        </w:tc>
        <w:tc>
          <w:tcPr>
            <w:tcW w:w="585" w:type="dxa"/>
          </w:tcPr>
          <w:p w14:paraId="04D2AC7A" w14:textId="04242D7D" w:rsidR="007F28E0" w:rsidRPr="006A76EA" w:rsidRDefault="007F28E0" w:rsidP="00C71E60">
            <w:pPr>
              <w:spacing w:after="100" w:afterAutospacing="1"/>
              <w:jc w:val="center"/>
              <w:rPr>
                <w:b/>
                <w:bCs/>
              </w:rPr>
            </w:pPr>
            <w:r w:rsidRPr="001F0833">
              <w:rPr>
                <w:rFonts w:ascii="Calibri" w:eastAsia="Calibri" w:hAnsi="Calibri" w:cs="Calibri"/>
                <w:b/>
                <w:bCs/>
              </w:rPr>
              <w:t>L</w:t>
            </w:r>
          </w:p>
        </w:tc>
        <w:tc>
          <w:tcPr>
            <w:tcW w:w="585" w:type="dxa"/>
          </w:tcPr>
          <w:p w14:paraId="212F7507" w14:textId="280CC6F5" w:rsidR="007F28E0" w:rsidRPr="006A76EA" w:rsidRDefault="007F28E0" w:rsidP="00C71E60">
            <w:pPr>
              <w:spacing w:after="100" w:afterAutospacing="1"/>
              <w:jc w:val="center"/>
              <w:rPr>
                <w:b/>
                <w:bCs/>
              </w:rPr>
            </w:pPr>
            <w:r w:rsidRPr="001F0833">
              <w:rPr>
                <w:rFonts w:ascii="Calibri" w:eastAsia="Calibri" w:hAnsi="Calibri" w:cs="Calibri"/>
                <w:b/>
                <w:bCs/>
              </w:rPr>
              <w:t>N</w:t>
            </w:r>
          </w:p>
        </w:tc>
        <w:tc>
          <w:tcPr>
            <w:tcW w:w="585" w:type="dxa"/>
          </w:tcPr>
          <w:p w14:paraId="34A94391" w14:textId="70C141C7" w:rsidR="007F28E0" w:rsidRPr="006A76EA" w:rsidRDefault="007F28E0" w:rsidP="00C71E60">
            <w:pPr>
              <w:spacing w:after="100" w:afterAutospacing="1"/>
              <w:jc w:val="center"/>
              <w:rPr>
                <w:b/>
                <w:bCs/>
              </w:rPr>
            </w:pPr>
            <w:r w:rsidRPr="001F0833">
              <w:rPr>
                <w:rFonts w:ascii="Calibri" w:eastAsia="Calibri" w:hAnsi="Calibri" w:cs="Calibri"/>
                <w:b/>
                <w:bCs/>
              </w:rPr>
              <w:t>PSC</w:t>
            </w:r>
          </w:p>
        </w:tc>
      </w:tr>
      <w:bookmarkEnd w:id="4"/>
      <w:tr w:rsidR="00C71E60" w14:paraId="5AB1BAAD" w14:textId="77777777" w:rsidTr="00C71E60">
        <w:trPr>
          <w:trHeight w:val="261"/>
        </w:trPr>
        <w:tc>
          <w:tcPr>
            <w:tcW w:w="830" w:type="dxa"/>
          </w:tcPr>
          <w:p w14:paraId="64CE5B15" w14:textId="77777777" w:rsidR="007F28E0" w:rsidRDefault="007F28E0" w:rsidP="007F28E0">
            <w:pPr>
              <w:spacing w:after="100" w:afterAutospacing="1"/>
            </w:pPr>
            <w:r>
              <w:t>Year 11</w:t>
            </w:r>
          </w:p>
        </w:tc>
        <w:tc>
          <w:tcPr>
            <w:tcW w:w="3282" w:type="dxa"/>
          </w:tcPr>
          <w:p w14:paraId="5B890F97" w14:textId="2127A8AB" w:rsidR="007F28E0" w:rsidRPr="00306B43" w:rsidRDefault="007F28E0" w:rsidP="007F28E0">
            <w:pPr>
              <w:spacing w:after="100" w:afterAutospacing="1"/>
            </w:pPr>
            <w:r w:rsidRPr="00306B43">
              <w:rPr>
                <w:rFonts w:cs="Calibri"/>
              </w:rPr>
              <w:t xml:space="preserve">Business Management and Enterprise </w:t>
            </w:r>
            <w:r w:rsidRPr="00306B43">
              <w:t>(GEBME)</w:t>
            </w:r>
          </w:p>
        </w:tc>
        <w:tc>
          <w:tcPr>
            <w:tcW w:w="854" w:type="dxa"/>
          </w:tcPr>
          <w:p w14:paraId="34280154" w14:textId="404470C7" w:rsidR="007F28E0" w:rsidRDefault="007F28E0" w:rsidP="007F28E0">
            <w:pPr>
              <w:spacing w:after="100" w:afterAutospacing="1"/>
            </w:pPr>
            <w:r>
              <w:t>General</w:t>
            </w:r>
          </w:p>
        </w:tc>
        <w:tc>
          <w:tcPr>
            <w:tcW w:w="584" w:type="dxa"/>
          </w:tcPr>
          <w:p w14:paraId="7DC7B573" w14:textId="77777777" w:rsidR="007F28E0" w:rsidRPr="009362D9" w:rsidRDefault="007F28E0" w:rsidP="00C71E60">
            <w:pPr>
              <w:spacing w:after="100" w:afterAutospacing="1"/>
              <w:jc w:val="center"/>
            </w:pPr>
            <w:r w:rsidRPr="009362D9">
              <w:sym w:font="Wingdings" w:char="F0FC"/>
            </w:r>
          </w:p>
        </w:tc>
        <w:tc>
          <w:tcPr>
            <w:tcW w:w="585" w:type="dxa"/>
            <w:shd w:val="clear" w:color="auto" w:fill="DECFE8" w:themeFill="accent5"/>
          </w:tcPr>
          <w:p w14:paraId="7188F6FC" w14:textId="0FF9D328" w:rsidR="007F28E0" w:rsidRPr="009362D9" w:rsidRDefault="007F28E0" w:rsidP="00C71E60">
            <w:pPr>
              <w:spacing w:after="100" w:afterAutospacing="1"/>
              <w:jc w:val="center"/>
            </w:pPr>
          </w:p>
        </w:tc>
        <w:tc>
          <w:tcPr>
            <w:tcW w:w="585" w:type="dxa"/>
          </w:tcPr>
          <w:p w14:paraId="2E780547" w14:textId="2088D618" w:rsidR="007F28E0" w:rsidRPr="009362D9" w:rsidRDefault="007F28E0" w:rsidP="00C71E60">
            <w:pPr>
              <w:spacing w:after="100" w:afterAutospacing="1"/>
              <w:jc w:val="center"/>
            </w:pPr>
            <w:r w:rsidRPr="009362D9">
              <w:sym w:font="Wingdings" w:char="F0FC"/>
            </w:r>
          </w:p>
        </w:tc>
        <w:tc>
          <w:tcPr>
            <w:tcW w:w="585" w:type="dxa"/>
            <w:shd w:val="clear" w:color="auto" w:fill="DECFE8" w:themeFill="accent5"/>
          </w:tcPr>
          <w:p w14:paraId="4D6F45A4" w14:textId="1A1B4DFD" w:rsidR="007F28E0" w:rsidRPr="009362D9" w:rsidRDefault="007F28E0" w:rsidP="00C71E60">
            <w:pPr>
              <w:spacing w:after="100" w:afterAutospacing="1"/>
              <w:jc w:val="center"/>
            </w:pPr>
          </w:p>
        </w:tc>
        <w:tc>
          <w:tcPr>
            <w:tcW w:w="585" w:type="dxa"/>
          </w:tcPr>
          <w:p w14:paraId="40CF7E0B" w14:textId="5DC424B0" w:rsidR="007F28E0" w:rsidRPr="009362D9" w:rsidRDefault="007F28E0" w:rsidP="00C71E60">
            <w:pPr>
              <w:spacing w:after="100" w:afterAutospacing="1"/>
              <w:jc w:val="center"/>
            </w:pPr>
            <w:r w:rsidRPr="009362D9">
              <w:sym w:font="Wingdings" w:char="F0FC"/>
            </w:r>
          </w:p>
        </w:tc>
        <w:tc>
          <w:tcPr>
            <w:tcW w:w="585" w:type="dxa"/>
            <w:shd w:val="clear" w:color="auto" w:fill="DECFE8" w:themeFill="accent5"/>
          </w:tcPr>
          <w:p w14:paraId="73234130" w14:textId="10450750" w:rsidR="007F28E0" w:rsidRPr="009362D9" w:rsidRDefault="007F28E0" w:rsidP="00C71E60">
            <w:pPr>
              <w:spacing w:after="100" w:afterAutospacing="1"/>
              <w:jc w:val="center"/>
            </w:pPr>
          </w:p>
        </w:tc>
        <w:tc>
          <w:tcPr>
            <w:tcW w:w="585" w:type="dxa"/>
            <w:shd w:val="clear" w:color="auto" w:fill="DECFE8" w:themeFill="accent5"/>
          </w:tcPr>
          <w:p w14:paraId="2A88BC6F" w14:textId="77777777" w:rsidR="007F28E0" w:rsidRDefault="007F28E0" w:rsidP="00C71E60">
            <w:pPr>
              <w:spacing w:after="100" w:afterAutospacing="1"/>
              <w:jc w:val="center"/>
            </w:pPr>
          </w:p>
        </w:tc>
      </w:tr>
      <w:tr w:rsidR="00C71E60" w14:paraId="315BA509" w14:textId="77777777" w:rsidTr="00C71E60">
        <w:trPr>
          <w:trHeight w:val="261"/>
        </w:trPr>
        <w:tc>
          <w:tcPr>
            <w:tcW w:w="830" w:type="dxa"/>
          </w:tcPr>
          <w:p w14:paraId="6F535C35" w14:textId="77777777" w:rsidR="007F28E0" w:rsidRDefault="007F28E0" w:rsidP="007F28E0">
            <w:pPr>
              <w:spacing w:after="100" w:afterAutospacing="1"/>
            </w:pPr>
            <w:r>
              <w:t>Year 12</w:t>
            </w:r>
          </w:p>
        </w:tc>
        <w:tc>
          <w:tcPr>
            <w:tcW w:w="3282" w:type="dxa"/>
          </w:tcPr>
          <w:p w14:paraId="6C054387" w14:textId="0C3AF838" w:rsidR="007F28E0" w:rsidRPr="00306B43" w:rsidRDefault="007F28E0" w:rsidP="007F28E0">
            <w:pPr>
              <w:spacing w:after="100" w:afterAutospacing="1"/>
            </w:pPr>
            <w:r w:rsidRPr="00306B43">
              <w:rPr>
                <w:rFonts w:cs="Calibri"/>
              </w:rPr>
              <w:t xml:space="preserve">Business Management and Enterprise </w:t>
            </w:r>
            <w:r w:rsidRPr="00306B43">
              <w:t>(GTBME)</w:t>
            </w:r>
          </w:p>
        </w:tc>
        <w:tc>
          <w:tcPr>
            <w:tcW w:w="854" w:type="dxa"/>
          </w:tcPr>
          <w:p w14:paraId="20FC9000" w14:textId="0BD73E55" w:rsidR="007F28E0" w:rsidRDefault="007F28E0" w:rsidP="007F28E0">
            <w:pPr>
              <w:spacing w:after="100" w:afterAutospacing="1"/>
            </w:pPr>
            <w:r>
              <w:t>General</w:t>
            </w:r>
          </w:p>
        </w:tc>
        <w:tc>
          <w:tcPr>
            <w:tcW w:w="584" w:type="dxa"/>
          </w:tcPr>
          <w:p w14:paraId="142D1084" w14:textId="77777777" w:rsidR="007F28E0" w:rsidRPr="009362D9" w:rsidRDefault="007F28E0" w:rsidP="00C71E60">
            <w:pPr>
              <w:spacing w:after="100" w:afterAutospacing="1"/>
              <w:jc w:val="center"/>
            </w:pPr>
            <w:r w:rsidRPr="009362D9">
              <w:sym w:font="Wingdings" w:char="F0FC"/>
            </w:r>
          </w:p>
        </w:tc>
        <w:tc>
          <w:tcPr>
            <w:tcW w:w="585" w:type="dxa"/>
            <w:shd w:val="clear" w:color="auto" w:fill="DECFE8" w:themeFill="accent5"/>
          </w:tcPr>
          <w:p w14:paraId="1FDF5A7E" w14:textId="7E265435" w:rsidR="007F28E0" w:rsidRPr="009362D9" w:rsidRDefault="007F28E0" w:rsidP="00C71E60">
            <w:pPr>
              <w:spacing w:after="100" w:afterAutospacing="1"/>
              <w:jc w:val="center"/>
            </w:pPr>
          </w:p>
        </w:tc>
        <w:tc>
          <w:tcPr>
            <w:tcW w:w="585" w:type="dxa"/>
          </w:tcPr>
          <w:p w14:paraId="569F52A3" w14:textId="3C8A0925" w:rsidR="007F28E0" w:rsidRPr="009362D9" w:rsidRDefault="007F28E0" w:rsidP="00C71E60">
            <w:pPr>
              <w:spacing w:after="100" w:afterAutospacing="1"/>
              <w:jc w:val="center"/>
            </w:pPr>
            <w:r w:rsidRPr="009362D9">
              <w:sym w:font="Wingdings" w:char="F0FC"/>
            </w:r>
          </w:p>
        </w:tc>
        <w:tc>
          <w:tcPr>
            <w:tcW w:w="585" w:type="dxa"/>
            <w:shd w:val="clear" w:color="auto" w:fill="DECFE8" w:themeFill="accent5"/>
          </w:tcPr>
          <w:p w14:paraId="39322044" w14:textId="5CCE082B" w:rsidR="007F28E0" w:rsidRPr="009362D9" w:rsidRDefault="007F28E0" w:rsidP="00C71E60">
            <w:pPr>
              <w:spacing w:after="100" w:afterAutospacing="1"/>
              <w:jc w:val="center"/>
            </w:pPr>
          </w:p>
        </w:tc>
        <w:tc>
          <w:tcPr>
            <w:tcW w:w="585" w:type="dxa"/>
          </w:tcPr>
          <w:p w14:paraId="530C9D81" w14:textId="48C06587" w:rsidR="007F28E0" w:rsidRPr="009362D9" w:rsidRDefault="007F28E0" w:rsidP="00C71E60">
            <w:pPr>
              <w:spacing w:after="100" w:afterAutospacing="1"/>
              <w:jc w:val="center"/>
            </w:pPr>
            <w:r w:rsidRPr="009362D9">
              <w:sym w:font="Wingdings" w:char="F0FC"/>
            </w:r>
          </w:p>
        </w:tc>
        <w:tc>
          <w:tcPr>
            <w:tcW w:w="585" w:type="dxa"/>
            <w:shd w:val="clear" w:color="auto" w:fill="DECFE8" w:themeFill="accent5"/>
          </w:tcPr>
          <w:p w14:paraId="26033EAC" w14:textId="43363DC9" w:rsidR="007F28E0" w:rsidRPr="009362D9" w:rsidRDefault="007F28E0" w:rsidP="00C71E60">
            <w:pPr>
              <w:spacing w:after="100" w:afterAutospacing="1"/>
              <w:jc w:val="center"/>
            </w:pPr>
          </w:p>
        </w:tc>
        <w:tc>
          <w:tcPr>
            <w:tcW w:w="585" w:type="dxa"/>
            <w:shd w:val="clear" w:color="auto" w:fill="DECFE8" w:themeFill="accent5"/>
          </w:tcPr>
          <w:p w14:paraId="65881A08" w14:textId="77777777" w:rsidR="007F28E0" w:rsidRDefault="007F28E0" w:rsidP="00C71E60">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7307C796" w14:textId="77777777" w:rsidR="007F28E0" w:rsidRPr="001F0833" w:rsidRDefault="007F28E0" w:rsidP="007F28E0">
      <w:pPr>
        <w:rPr>
          <w:rFonts w:ascii="Calibri" w:eastAsia="Calibri" w:hAnsi="Calibri" w:cs="Calibri"/>
        </w:rPr>
      </w:pPr>
      <w:bookmarkStart w:id="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5"/>
    </w:p>
    <w:sectPr w:rsidR="007F28E0" w:rsidRPr="001F0833" w:rsidSect="0051623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3E06" w14:textId="77777777" w:rsidR="000A7F3D" w:rsidRDefault="000A7F3D" w:rsidP="00742128">
      <w:pPr>
        <w:spacing w:after="0" w:line="240" w:lineRule="auto"/>
      </w:pPr>
      <w:r>
        <w:separator/>
      </w:r>
    </w:p>
  </w:endnote>
  <w:endnote w:type="continuationSeparator" w:id="0">
    <w:p w14:paraId="7CF6C238" w14:textId="77777777" w:rsidR="000A7F3D" w:rsidRDefault="000A7F3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697C205" w:rsidR="00F86F26" w:rsidRPr="008324A6" w:rsidRDefault="00F86F26" w:rsidP="00227D40">
    <w:pPr>
      <w:pStyle w:val="SCSAFootereven"/>
    </w:pPr>
    <w:r w:rsidRPr="00A53CCD">
      <w:rPr>
        <w:noProof/>
      </w:rPr>
      <w:t>20</w:t>
    </w:r>
    <w:r w:rsidR="00C63FF4" w:rsidRPr="00A53CCD">
      <w:rPr>
        <w:noProof/>
      </w:rPr>
      <w:t>25</w:t>
    </w:r>
    <w:r w:rsidRPr="00A53CCD">
      <w:rPr>
        <w:noProof/>
      </w:rPr>
      <w:t>/</w:t>
    </w:r>
    <w:r w:rsidR="00A53CCD" w:rsidRPr="00A53CCD">
      <w:rPr>
        <w:noProof/>
      </w:rPr>
      <w:t>39203</w:t>
    </w:r>
    <w:r w:rsidR="00516233">
      <w:rPr>
        <w:noProof/>
      </w:rPr>
      <w:t>[</w:t>
    </w:r>
    <w:r w:rsidR="00694F48">
      <w:rPr>
        <w:noProof/>
      </w:rPr>
      <w:t>v</w:t>
    </w:r>
    <w:r w:rsidR="007F28E0">
      <w:rPr>
        <w:noProof/>
      </w:rPr>
      <w:t>3</w:t>
    </w:r>
    <w:r w:rsidR="0051623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E29C9A4" w:rsidR="00F86F26" w:rsidRPr="00777AF3" w:rsidRDefault="00306B43" w:rsidP="00227D40">
    <w:pPr>
      <w:pStyle w:val="SCSAFootereven"/>
    </w:pPr>
    <w:r>
      <w:rPr>
        <w:noProof/>
      </w:rPr>
      <w:t>Business Management and Enterprise</w:t>
    </w:r>
    <w:r w:rsidR="00777AF3">
      <w:rPr>
        <w:noProof/>
      </w:rPr>
      <w:t xml:space="preserve"> </w:t>
    </w:r>
    <w:r w:rsidR="00777AF3" w:rsidRPr="00306B43">
      <w:rPr>
        <w:noProof/>
      </w:rPr>
      <w:t>| General | Year 12</w:t>
    </w:r>
    <w:r w:rsidRPr="00306B43">
      <w:rPr>
        <w:noProof/>
      </w:rPr>
      <w:t xml:space="preserve"> </w:t>
    </w:r>
    <w:r w:rsidR="00C22F6F" w:rsidRPr="00306B43">
      <w:rPr>
        <w:noProof/>
      </w:rPr>
      <w:t>s</w:t>
    </w:r>
    <w:r w:rsidR="00777AF3" w:rsidRPr="00306B43">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A2B6F5C" w:rsidR="00F86F26" w:rsidRPr="00AA2B0D" w:rsidRDefault="00306B43" w:rsidP="00227D40">
    <w:pPr>
      <w:pStyle w:val="SCSAFooterodd"/>
    </w:pPr>
    <w:r>
      <w:rPr>
        <w:noProof/>
      </w:rPr>
      <w:t>Business Managem</w:t>
    </w:r>
    <w:r w:rsidRPr="00306B43">
      <w:rPr>
        <w:noProof/>
      </w:rPr>
      <w:t>ent and Enterprise</w:t>
    </w:r>
    <w:r w:rsidR="00F86F26" w:rsidRPr="00306B43">
      <w:rPr>
        <w:noProof/>
      </w:rPr>
      <w:t xml:space="preserve"> | </w:t>
    </w:r>
    <w:r w:rsidR="00777AF3" w:rsidRPr="00306B43">
      <w:rPr>
        <w:noProof/>
      </w:rPr>
      <w:t>General</w:t>
    </w:r>
    <w:r w:rsidR="000C6F75" w:rsidRPr="00306B43">
      <w:rPr>
        <w:noProof/>
      </w:rPr>
      <w:t xml:space="preserve"> </w:t>
    </w:r>
    <w:r w:rsidR="00F86F26" w:rsidRPr="00306B43">
      <w:rPr>
        <w:noProof/>
      </w:rPr>
      <w:t xml:space="preserve">| Year </w:t>
    </w:r>
    <w:r w:rsidR="00777AF3" w:rsidRPr="00306B43">
      <w:rPr>
        <w:noProof/>
      </w:rPr>
      <w:t xml:space="preserve">12 </w:t>
    </w:r>
    <w:r w:rsidR="00C22F6F" w:rsidRPr="00306B43">
      <w:rPr>
        <w:noProof/>
      </w:rPr>
      <w:t>s</w:t>
    </w:r>
    <w:r w:rsidR="00F86F26" w:rsidRPr="00306B43">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6CE6" w14:textId="77777777" w:rsidR="000A7F3D" w:rsidRDefault="000A7F3D" w:rsidP="00742128">
      <w:pPr>
        <w:spacing w:after="0" w:line="240" w:lineRule="auto"/>
      </w:pPr>
      <w:r>
        <w:separator/>
      </w:r>
    </w:p>
  </w:footnote>
  <w:footnote w:type="continuationSeparator" w:id="0">
    <w:p w14:paraId="1D7E473B" w14:textId="77777777" w:rsidR="000A7F3D" w:rsidRDefault="000A7F3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656D"/>
    <w:rsid w:val="000273D2"/>
    <w:rsid w:val="000358C4"/>
    <w:rsid w:val="00036500"/>
    <w:rsid w:val="00044FDD"/>
    <w:rsid w:val="00047063"/>
    <w:rsid w:val="00053A6C"/>
    <w:rsid w:val="000573DD"/>
    <w:rsid w:val="000577DF"/>
    <w:rsid w:val="000606D5"/>
    <w:rsid w:val="00066145"/>
    <w:rsid w:val="0009024C"/>
    <w:rsid w:val="0009076A"/>
    <w:rsid w:val="000926C3"/>
    <w:rsid w:val="00094E92"/>
    <w:rsid w:val="000A441D"/>
    <w:rsid w:val="000A6ABE"/>
    <w:rsid w:val="000A7B41"/>
    <w:rsid w:val="000A7F3D"/>
    <w:rsid w:val="000B1346"/>
    <w:rsid w:val="000B135B"/>
    <w:rsid w:val="000B4506"/>
    <w:rsid w:val="000C1E2C"/>
    <w:rsid w:val="000C69C8"/>
    <w:rsid w:val="000C6E0F"/>
    <w:rsid w:val="000C6F75"/>
    <w:rsid w:val="000D22E2"/>
    <w:rsid w:val="000D35A8"/>
    <w:rsid w:val="000D5DBB"/>
    <w:rsid w:val="000E41BB"/>
    <w:rsid w:val="000E6E0B"/>
    <w:rsid w:val="000E7350"/>
    <w:rsid w:val="000F404F"/>
    <w:rsid w:val="00103478"/>
    <w:rsid w:val="00105D81"/>
    <w:rsid w:val="001072D5"/>
    <w:rsid w:val="001176E8"/>
    <w:rsid w:val="0012754D"/>
    <w:rsid w:val="0013465E"/>
    <w:rsid w:val="001352A1"/>
    <w:rsid w:val="001408CD"/>
    <w:rsid w:val="001451B9"/>
    <w:rsid w:val="00151627"/>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299B"/>
    <w:rsid w:val="002145EE"/>
    <w:rsid w:val="00217901"/>
    <w:rsid w:val="00223D1B"/>
    <w:rsid w:val="00227D40"/>
    <w:rsid w:val="00236BF3"/>
    <w:rsid w:val="0024125D"/>
    <w:rsid w:val="0024439F"/>
    <w:rsid w:val="002451B5"/>
    <w:rsid w:val="0025283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D68A4"/>
    <w:rsid w:val="002E00C0"/>
    <w:rsid w:val="002E06EC"/>
    <w:rsid w:val="002E08D2"/>
    <w:rsid w:val="002E35C2"/>
    <w:rsid w:val="002E78F4"/>
    <w:rsid w:val="002F133A"/>
    <w:rsid w:val="00300116"/>
    <w:rsid w:val="00304E41"/>
    <w:rsid w:val="003069C1"/>
    <w:rsid w:val="00306B43"/>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46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B2E32"/>
    <w:rsid w:val="003C0879"/>
    <w:rsid w:val="003C1EF3"/>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37E12"/>
    <w:rsid w:val="0044627A"/>
    <w:rsid w:val="00455893"/>
    <w:rsid w:val="00465BF8"/>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2FD9"/>
    <w:rsid w:val="0051590A"/>
    <w:rsid w:val="00516233"/>
    <w:rsid w:val="00516487"/>
    <w:rsid w:val="00521808"/>
    <w:rsid w:val="005240D9"/>
    <w:rsid w:val="00525B58"/>
    <w:rsid w:val="0053382D"/>
    <w:rsid w:val="00537F6A"/>
    <w:rsid w:val="00540775"/>
    <w:rsid w:val="00542E80"/>
    <w:rsid w:val="00554AC8"/>
    <w:rsid w:val="00557D1B"/>
    <w:rsid w:val="00561005"/>
    <w:rsid w:val="005627B9"/>
    <w:rsid w:val="00564B14"/>
    <w:rsid w:val="005700C6"/>
    <w:rsid w:val="00573C05"/>
    <w:rsid w:val="005742F5"/>
    <w:rsid w:val="0058749E"/>
    <w:rsid w:val="00590B71"/>
    <w:rsid w:val="00591074"/>
    <w:rsid w:val="005A3395"/>
    <w:rsid w:val="005A501F"/>
    <w:rsid w:val="005A51BE"/>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11332"/>
    <w:rsid w:val="00612C49"/>
    <w:rsid w:val="00623F3C"/>
    <w:rsid w:val="00626978"/>
    <w:rsid w:val="00630538"/>
    <w:rsid w:val="00630C3D"/>
    <w:rsid w:val="006316FC"/>
    <w:rsid w:val="00633E30"/>
    <w:rsid w:val="0063592D"/>
    <w:rsid w:val="00637F0D"/>
    <w:rsid w:val="00642512"/>
    <w:rsid w:val="00643DA9"/>
    <w:rsid w:val="00651B27"/>
    <w:rsid w:val="00652BC5"/>
    <w:rsid w:val="006538D8"/>
    <w:rsid w:val="00655969"/>
    <w:rsid w:val="006560C8"/>
    <w:rsid w:val="006561AD"/>
    <w:rsid w:val="00666FEB"/>
    <w:rsid w:val="006722DF"/>
    <w:rsid w:val="006748E6"/>
    <w:rsid w:val="00680BD6"/>
    <w:rsid w:val="00691A72"/>
    <w:rsid w:val="00693261"/>
    <w:rsid w:val="0069421A"/>
    <w:rsid w:val="00694F48"/>
    <w:rsid w:val="006A5E8C"/>
    <w:rsid w:val="006C230A"/>
    <w:rsid w:val="006C633A"/>
    <w:rsid w:val="006C6F42"/>
    <w:rsid w:val="006D0C8A"/>
    <w:rsid w:val="006D102C"/>
    <w:rsid w:val="006D5B00"/>
    <w:rsid w:val="006D6474"/>
    <w:rsid w:val="006D7225"/>
    <w:rsid w:val="006E122E"/>
    <w:rsid w:val="006E1D80"/>
    <w:rsid w:val="006E2558"/>
    <w:rsid w:val="006E2B8F"/>
    <w:rsid w:val="006F544F"/>
    <w:rsid w:val="006F6A32"/>
    <w:rsid w:val="007013C9"/>
    <w:rsid w:val="0071572C"/>
    <w:rsid w:val="0071660C"/>
    <w:rsid w:val="00716616"/>
    <w:rsid w:val="007167A4"/>
    <w:rsid w:val="00717735"/>
    <w:rsid w:val="0072351C"/>
    <w:rsid w:val="007342C4"/>
    <w:rsid w:val="00737E63"/>
    <w:rsid w:val="007410DD"/>
    <w:rsid w:val="007414DB"/>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94C50"/>
    <w:rsid w:val="007A4144"/>
    <w:rsid w:val="007A5272"/>
    <w:rsid w:val="007B19D2"/>
    <w:rsid w:val="007B19E8"/>
    <w:rsid w:val="007B7AA0"/>
    <w:rsid w:val="007C3C9C"/>
    <w:rsid w:val="007C609E"/>
    <w:rsid w:val="007D1AA6"/>
    <w:rsid w:val="007D4452"/>
    <w:rsid w:val="007D4CB3"/>
    <w:rsid w:val="007D513A"/>
    <w:rsid w:val="007E1AFD"/>
    <w:rsid w:val="007E4139"/>
    <w:rsid w:val="007E6C9B"/>
    <w:rsid w:val="007E7AA9"/>
    <w:rsid w:val="007F0A11"/>
    <w:rsid w:val="007F15E2"/>
    <w:rsid w:val="007F28E0"/>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0D76"/>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17D4"/>
    <w:rsid w:val="009037E3"/>
    <w:rsid w:val="00904BFC"/>
    <w:rsid w:val="00910786"/>
    <w:rsid w:val="00915177"/>
    <w:rsid w:val="009168B9"/>
    <w:rsid w:val="009173D8"/>
    <w:rsid w:val="00920E26"/>
    <w:rsid w:val="009228C2"/>
    <w:rsid w:val="00924C4D"/>
    <w:rsid w:val="00925173"/>
    <w:rsid w:val="009304A9"/>
    <w:rsid w:val="009305C3"/>
    <w:rsid w:val="00933095"/>
    <w:rsid w:val="009362D9"/>
    <w:rsid w:val="00936D65"/>
    <w:rsid w:val="009377BF"/>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95AF4"/>
    <w:rsid w:val="00997887"/>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97B"/>
    <w:rsid w:val="009F5CD5"/>
    <w:rsid w:val="00A01B33"/>
    <w:rsid w:val="00A02C9C"/>
    <w:rsid w:val="00A0425A"/>
    <w:rsid w:val="00A076CF"/>
    <w:rsid w:val="00A15FE7"/>
    <w:rsid w:val="00A243E1"/>
    <w:rsid w:val="00A24944"/>
    <w:rsid w:val="00A27208"/>
    <w:rsid w:val="00A3298F"/>
    <w:rsid w:val="00A33ED4"/>
    <w:rsid w:val="00A37374"/>
    <w:rsid w:val="00A42E97"/>
    <w:rsid w:val="00A43A54"/>
    <w:rsid w:val="00A53CCD"/>
    <w:rsid w:val="00A548E7"/>
    <w:rsid w:val="00A57BE7"/>
    <w:rsid w:val="00A65DDB"/>
    <w:rsid w:val="00A70344"/>
    <w:rsid w:val="00A72264"/>
    <w:rsid w:val="00A7392D"/>
    <w:rsid w:val="00A80AC7"/>
    <w:rsid w:val="00A8257B"/>
    <w:rsid w:val="00A85FD4"/>
    <w:rsid w:val="00A87827"/>
    <w:rsid w:val="00A93F91"/>
    <w:rsid w:val="00AA2B0D"/>
    <w:rsid w:val="00AA650B"/>
    <w:rsid w:val="00AA72A0"/>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200C"/>
    <w:rsid w:val="00B6583C"/>
    <w:rsid w:val="00B65976"/>
    <w:rsid w:val="00B65D3D"/>
    <w:rsid w:val="00B707C1"/>
    <w:rsid w:val="00B71C2D"/>
    <w:rsid w:val="00B8058F"/>
    <w:rsid w:val="00B86B49"/>
    <w:rsid w:val="00B935B0"/>
    <w:rsid w:val="00B937EB"/>
    <w:rsid w:val="00B949B9"/>
    <w:rsid w:val="00B97F16"/>
    <w:rsid w:val="00BA6C74"/>
    <w:rsid w:val="00BB0A97"/>
    <w:rsid w:val="00BB4454"/>
    <w:rsid w:val="00BB77D6"/>
    <w:rsid w:val="00BC1F96"/>
    <w:rsid w:val="00BD0125"/>
    <w:rsid w:val="00BD037E"/>
    <w:rsid w:val="00BE0C2B"/>
    <w:rsid w:val="00BE277F"/>
    <w:rsid w:val="00BF0672"/>
    <w:rsid w:val="00BF52DB"/>
    <w:rsid w:val="00BF7D5E"/>
    <w:rsid w:val="00C001A9"/>
    <w:rsid w:val="00C00D5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1E60"/>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39C8"/>
    <w:rsid w:val="00D472E1"/>
    <w:rsid w:val="00D479BD"/>
    <w:rsid w:val="00D5217D"/>
    <w:rsid w:val="00D55A06"/>
    <w:rsid w:val="00D62E94"/>
    <w:rsid w:val="00D65C5C"/>
    <w:rsid w:val="00D66A4A"/>
    <w:rsid w:val="00D66FED"/>
    <w:rsid w:val="00D83942"/>
    <w:rsid w:val="00D90DBA"/>
    <w:rsid w:val="00D92D10"/>
    <w:rsid w:val="00D96C8B"/>
    <w:rsid w:val="00DA0E77"/>
    <w:rsid w:val="00DA34F0"/>
    <w:rsid w:val="00DA4DDC"/>
    <w:rsid w:val="00DB41B4"/>
    <w:rsid w:val="00DB4B3C"/>
    <w:rsid w:val="00DB6D74"/>
    <w:rsid w:val="00DC2E31"/>
    <w:rsid w:val="00DC3A58"/>
    <w:rsid w:val="00DD0EDA"/>
    <w:rsid w:val="00DD1D21"/>
    <w:rsid w:val="00DD51A8"/>
    <w:rsid w:val="00DE1ABE"/>
    <w:rsid w:val="00E00C60"/>
    <w:rsid w:val="00E0593E"/>
    <w:rsid w:val="00E1108A"/>
    <w:rsid w:val="00E13B15"/>
    <w:rsid w:val="00E14462"/>
    <w:rsid w:val="00E23B7B"/>
    <w:rsid w:val="00E31C3D"/>
    <w:rsid w:val="00E327A3"/>
    <w:rsid w:val="00E33CC5"/>
    <w:rsid w:val="00E33DBC"/>
    <w:rsid w:val="00E35721"/>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8386A"/>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5838"/>
    <w:rsid w:val="00F16805"/>
    <w:rsid w:val="00F176D6"/>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882"/>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0A8C"/>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7</cp:revision>
  <cp:lastPrinted>2025-05-07T01:25:00Z</cp:lastPrinted>
  <dcterms:created xsi:type="dcterms:W3CDTF">2025-08-05T07:08:00Z</dcterms:created>
  <dcterms:modified xsi:type="dcterms:W3CDTF">2025-08-26T06:36:00Z</dcterms:modified>
</cp:coreProperties>
</file>