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857" w:rsidRPr="00AE00DD" w:rsidRDefault="00453BBE" w:rsidP="00453BBE">
      <w:pPr>
        <w:pStyle w:val="Heading1"/>
        <w:spacing w:before="0" w:after="0"/>
        <w:jc w:val="center"/>
      </w:pPr>
      <w:r>
        <w:rPr>
          <w:caps w:val="0"/>
          <w:noProof/>
        </w:rPr>
        <w:drawing>
          <wp:anchor distT="0" distB="0" distL="114300" distR="114300" simplePos="0" relativeHeight="251653632" behindDoc="0" locked="0" layoutInCell="1" allowOverlap="1">
            <wp:simplePos x="0" y="0"/>
            <wp:positionH relativeFrom="column">
              <wp:posOffset>-15240</wp:posOffset>
            </wp:positionH>
            <wp:positionV relativeFrom="paragraph">
              <wp:posOffset>-320040</wp:posOffset>
            </wp:positionV>
            <wp:extent cx="1855470" cy="5397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SA_logo_pur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470" cy="539750"/>
                    </a:xfrm>
                    <a:prstGeom prst="rect">
                      <a:avLst/>
                    </a:prstGeom>
                  </pic:spPr>
                </pic:pic>
              </a:graphicData>
            </a:graphic>
            <wp14:sizeRelH relativeFrom="margin">
              <wp14:pctWidth>0</wp14:pctWidth>
            </wp14:sizeRelH>
            <wp14:sizeRelV relativeFrom="margin">
              <wp14:pctHeight>0</wp14:pctHeight>
            </wp14:sizeRelV>
          </wp:anchor>
        </w:drawing>
      </w:r>
      <w:r w:rsidR="00AE00DD">
        <w:rPr>
          <w:caps w:val="0"/>
        </w:rPr>
        <w:t>VET</w:t>
      </w:r>
      <w:r w:rsidR="00AE00DD" w:rsidRPr="00AE00DD">
        <w:t xml:space="preserve"> </w:t>
      </w:r>
      <w:r w:rsidR="00AE00DD" w:rsidRPr="00AE00DD">
        <w:rPr>
          <w:caps w:val="0"/>
        </w:rPr>
        <w:t xml:space="preserve">industry specific credit allocation scenarios for </w:t>
      </w:r>
      <w:r w:rsidR="00AE00DD">
        <w:rPr>
          <w:caps w:val="0"/>
        </w:rPr>
        <w:t>WACE</w:t>
      </w:r>
    </w:p>
    <w:p w:rsidR="00555303" w:rsidRPr="00A922D4" w:rsidRDefault="00432857" w:rsidP="00AE00DD">
      <w:pPr>
        <w:spacing w:after="0"/>
        <w:rPr>
          <w:sz w:val="20"/>
        </w:rPr>
      </w:pPr>
      <w:r w:rsidRPr="00A922D4">
        <w:rPr>
          <w:sz w:val="20"/>
        </w:rPr>
        <w:t>For a Certificate II or Certificate III VET industry specific course, one full year of Year 11 credit (Units 1 and 2) is awarded if a student has achieved</w:t>
      </w:r>
      <w:r w:rsidR="00272311" w:rsidRPr="00A922D4">
        <w:rPr>
          <w:sz w:val="20"/>
        </w:rPr>
        <w:t xml:space="preserve"> a</w:t>
      </w:r>
      <w:r w:rsidR="00555303" w:rsidRPr="00A922D4">
        <w:rPr>
          <w:sz w:val="20"/>
        </w:rPr>
        <w:t>:</w:t>
      </w:r>
      <w:r w:rsidRPr="00A922D4">
        <w:rPr>
          <w:sz w:val="20"/>
        </w:rPr>
        <w:t xml:space="preserve"> </w:t>
      </w:r>
    </w:p>
    <w:p w:rsidR="00555303" w:rsidRPr="00A922D4" w:rsidRDefault="00432857" w:rsidP="00AE00DD">
      <w:pPr>
        <w:pStyle w:val="ListParagraph"/>
        <w:numPr>
          <w:ilvl w:val="0"/>
          <w:numId w:val="3"/>
        </w:numPr>
        <w:ind w:left="357" w:hanging="357"/>
        <w:rPr>
          <w:sz w:val="20"/>
        </w:rPr>
      </w:pPr>
      <w:r w:rsidRPr="00A922D4">
        <w:rPr>
          <w:b/>
          <w:sz w:val="20"/>
        </w:rPr>
        <w:t>Qualification component</w:t>
      </w:r>
      <w:r w:rsidRPr="00A922D4">
        <w:rPr>
          <w:sz w:val="20"/>
        </w:rPr>
        <w:t xml:space="preserve">: completion of </w:t>
      </w:r>
      <w:r w:rsidR="00AE00DD" w:rsidRPr="00A922D4">
        <w:rPr>
          <w:sz w:val="20"/>
        </w:rPr>
        <w:t xml:space="preserve">greater than or equal to </w:t>
      </w:r>
      <w:r w:rsidRPr="00A922D4">
        <w:rPr>
          <w:sz w:val="20"/>
        </w:rPr>
        <w:t xml:space="preserve">110 nominal hours of the VET industry specific qualification and </w:t>
      </w:r>
    </w:p>
    <w:p w:rsidR="00432857" w:rsidRPr="00A922D4" w:rsidRDefault="00432857" w:rsidP="00AE00DD">
      <w:pPr>
        <w:pStyle w:val="ListParagraph"/>
        <w:numPr>
          <w:ilvl w:val="0"/>
          <w:numId w:val="3"/>
        </w:numPr>
        <w:ind w:left="357" w:hanging="357"/>
        <w:rPr>
          <w:sz w:val="20"/>
        </w:rPr>
      </w:pPr>
      <w:r w:rsidRPr="00A922D4">
        <w:rPr>
          <w:b/>
          <w:sz w:val="20"/>
        </w:rPr>
        <w:t>Workplace learning component</w:t>
      </w:r>
      <w:r w:rsidRPr="00A922D4">
        <w:rPr>
          <w:sz w:val="20"/>
        </w:rPr>
        <w:t>: completion of at least one unit of the workplace learning endorsed program in an industry relevant to the qualification industry area.</w:t>
      </w:r>
    </w:p>
    <w:p w:rsidR="00432857" w:rsidRPr="00A922D4" w:rsidRDefault="00432857" w:rsidP="00196CD5">
      <w:pPr>
        <w:spacing w:after="0"/>
        <w:rPr>
          <w:b/>
          <w:caps/>
          <w:sz w:val="20"/>
        </w:rPr>
      </w:pPr>
      <w:r w:rsidRPr="00A922D4">
        <w:rPr>
          <w:b/>
          <w:sz w:val="20"/>
        </w:rPr>
        <w:t xml:space="preserve">Credit Scenarios </w:t>
      </w:r>
      <w:r w:rsidR="00555303" w:rsidRPr="00A922D4">
        <w:rPr>
          <w:b/>
          <w:sz w:val="20"/>
        </w:rPr>
        <w:t>-</w:t>
      </w:r>
      <w:r w:rsidRPr="00A922D4">
        <w:rPr>
          <w:b/>
          <w:sz w:val="20"/>
        </w:rPr>
        <w:t xml:space="preserve"> VET industry specific courses</w:t>
      </w:r>
    </w:p>
    <w:tbl>
      <w:tblPr>
        <w:tblStyle w:val="GridTable4-Accent3"/>
        <w:tblW w:w="14175" w:type="dxa"/>
        <w:tblLook w:val="06A0" w:firstRow="1" w:lastRow="0" w:firstColumn="1" w:lastColumn="0" w:noHBand="1" w:noVBand="1"/>
      </w:tblPr>
      <w:tblGrid>
        <w:gridCol w:w="1520"/>
        <w:gridCol w:w="1707"/>
        <w:gridCol w:w="1843"/>
        <w:gridCol w:w="1701"/>
        <w:gridCol w:w="1842"/>
        <w:gridCol w:w="1843"/>
        <w:gridCol w:w="1559"/>
        <w:gridCol w:w="2160"/>
      </w:tblGrid>
      <w:tr w:rsidR="00AE00DD" w:rsidRPr="00196CD5" w:rsidTr="00196CD5">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227" w:type="dxa"/>
            <w:gridSpan w:val="2"/>
            <w:vAlign w:val="center"/>
          </w:tcPr>
          <w:p w:rsidR="00432857" w:rsidRPr="00196CD5" w:rsidRDefault="00432857" w:rsidP="00A922D4">
            <w:pPr>
              <w:spacing w:after="0"/>
              <w:jc w:val="center"/>
              <w:rPr>
                <w:rFonts w:eastAsia="Calibri"/>
                <w:sz w:val="18"/>
                <w:szCs w:val="20"/>
              </w:rPr>
            </w:pPr>
            <w:r w:rsidRPr="00196CD5">
              <w:rPr>
                <w:rFonts w:eastAsia="Calibri"/>
                <w:sz w:val="18"/>
                <w:szCs w:val="20"/>
              </w:rPr>
              <w:t>≥110 hours</w:t>
            </w:r>
            <w:r w:rsidRPr="00196CD5">
              <w:rPr>
                <w:rFonts w:eastAsia="Calibri"/>
                <w:sz w:val="18"/>
                <w:szCs w:val="20"/>
                <w:vertAlign w:val="superscript"/>
              </w:rPr>
              <w:footnoteReference w:id="1"/>
            </w:r>
            <w:r w:rsidRPr="00196CD5">
              <w:rPr>
                <w:rFonts w:eastAsia="Calibri"/>
                <w:sz w:val="18"/>
                <w:szCs w:val="20"/>
              </w:rPr>
              <w:t xml:space="preserve"> Qualification Scenarios</w:t>
            </w:r>
          </w:p>
        </w:tc>
        <w:tc>
          <w:tcPr>
            <w:tcW w:w="8788" w:type="dxa"/>
            <w:gridSpan w:val="5"/>
            <w:vAlign w:val="center"/>
          </w:tcPr>
          <w:p w:rsidR="00432857" w:rsidRPr="00196CD5" w:rsidRDefault="00432857" w:rsidP="00A922D4">
            <w:pPr>
              <w:spacing w:after="0"/>
              <w:jc w:val="center"/>
              <w:cnfStyle w:val="100000000000" w:firstRow="1"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WACE Credit</w:t>
            </w:r>
          </w:p>
        </w:tc>
        <w:tc>
          <w:tcPr>
            <w:tcW w:w="2160" w:type="dxa"/>
            <w:vAlign w:val="center"/>
          </w:tcPr>
          <w:p w:rsidR="00432857" w:rsidRPr="00196CD5" w:rsidRDefault="00432857" w:rsidP="00A922D4">
            <w:pPr>
              <w:spacing w:after="0"/>
              <w:jc w:val="center"/>
              <w:cnfStyle w:val="100000000000" w:firstRow="1" w:lastRow="0" w:firstColumn="0" w:lastColumn="0" w:oddVBand="0" w:evenVBand="0" w:oddHBand="0" w:evenHBand="0" w:firstRowFirstColumn="0" w:firstRowLastColumn="0" w:lastRowFirstColumn="0" w:lastRowLastColumn="0"/>
              <w:rPr>
                <w:rFonts w:eastAsia="Calibri"/>
                <w:sz w:val="18"/>
                <w:szCs w:val="20"/>
              </w:rPr>
            </w:pPr>
          </w:p>
        </w:tc>
      </w:tr>
      <w:tr w:rsidR="00AE00DD" w:rsidRPr="00196CD5" w:rsidTr="00196CD5">
        <w:trPr>
          <w:trHeight w:val="251"/>
        </w:trPr>
        <w:tc>
          <w:tcPr>
            <w:cnfStyle w:val="001000000000" w:firstRow="0" w:lastRow="0" w:firstColumn="1" w:lastColumn="0" w:oddVBand="0" w:evenVBand="0" w:oddHBand="0" w:evenHBand="0" w:firstRowFirstColumn="0" w:firstRowLastColumn="0" w:lastRowFirstColumn="0" w:lastRowLastColumn="0"/>
            <w:tcW w:w="1520" w:type="dxa"/>
            <w:vMerge w:val="restart"/>
            <w:vAlign w:val="center"/>
          </w:tcPr>
          <w:p w:rsidR="00432857" w:rsidRPr="00196CD5" w:rsidRDefault="00432857" w:rsidP="00A922D4">
            <w:pPr>
              <w:spacing w:after="0"/>
              <w:rPr>
                <w:rFonts w:eastAsia="Calibri"/>
                <w:b w:val="0"/>
                <w:bCs w:val="0"/>
                <w:sz w:val="18"/>
                <w:szCs w:val="20"/>
              </w:rPr>
            </w:pPr>
            <w:r w:rsidRPr="00196CD5">
              <w:rPr>
                <w:rFonts w:eastAsia="Calibri"/>
                <w:sz w:val="18"/>
                <w:szCs w:val="20"/>
              </w:rPr>
              <w:t>AQF Level</w:t>
            </w:r>
          </w:p>
        </w:tc>
        <w:tc>
          <w:tcPr>
            <w:tcW w:w="1707" w:type="dxa"/>
            <w:vMerge w:val="restart"/>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r w:rsidRPr="00196CD5">
              <w:rPr>
                <w:rFonts w:eastAsia="Calibri"/>
                <w:b/>
                <w:sz w:val="18"/>
                <w:szCs w:val="20"/>
              </w:rPr>
              <w:t>WPL component</w:t>
            </w:r>
          </w:p>
        </w:tc>
        <w:tc>
          <w:tcPr>
            <w:tcW w:w="3544" w:type="dxa"/>
            <w:gridSpan w:val="2"/>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r w:rsidRPr="00196CD5">
              <w:rPr>
                <w:rFonts w:eastAsia="Calibri"/>
                <w:b/>
                <w:sz w:val="18"/>
                <w:szCs w:val="20"/>
              </w:rPr>
              <w:t>Course unit credit</w:t>
            </w:r>
          </w:p>
        </w:tc>
        <w:tc>
          <w:tcPr>
            <w:tcW w:w="5244" w:type="dxa"/>
            <w:gridSpan w:val="3"/>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r w:rsidRPr="00196CD5">
              <w:rPr>
                <w:rFonts w:eastAsia="Calibri"/>
                <w:b/>
                <w:sz w:val="18"/>
                <w:szCs w:val="20"/>
              </w:rPr>
              <w:t>Unit equivalence</w:t>
            </w:r>
          </w:p>
        </w:tc>
        <w:tc>
          <w:tcPr>
            <w:tcW w:w="2160" w:type="dxa"/>
            <w:vMerge w:val="restart"/>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r w:rsidRPr="00196CD5">
              <w:rPr>
                <w:rFonts w:eastAsia="Calibri"/>
                <w:b/>
                <w:sz w:val="18"/>
                <w:szCs w:val="20"/>
              </w:rPr>
              <w:t>Cert II requirement met</w:t>
            </w:r>
          </w:p>
        </w:tc>
      </w:tr>
      <w:tr w:rsidR="00AE00DD" w:rsidRPr="00196CD5" w:rsidTr="00196CD5">
        <w:trPr>
          <w:trHeight w:val="251"/>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rsidR="00432857" w:rsidRPr="00196CD5" w:rsidRDefault="00432857" w:rsidP="00A922D4">
            <w:pPr>
              <w:spacing w:after="0"/>
              <w:rPr>
                <w:rFonts w:eastAsia="Calibri"/>
                <w:b w:val="0"/>
                <w:bCs w:val="0"/>
                <w:sz w:val="18"/>
                <w:szCs w:val="20"/>
              </w:rPr>
            </w:pPr>
          </w:p>
        </w:tc>
        <w:tc>
          <w:tcPr>
            <w:tcW w:w="1707" w:type="dxa"/>
            <w:vMerge/>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p>
        </w:tc>
        <w:tc>
          <w:tcPr>
            <w:tcW w:w="1843" w:type="dxa"/>
            <w:vMerge w:val="restart"/>
            <w:vAlign w:val="center"/>
          </w:tcPr>
          <w:p w:rsidR="00432857" w:rsidRPr="00196CD5" w:rsidRDefault="00432857" w:rsidP="00196CD5">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r w:rsidRPr="00196CD5">
              <w:rPr>
                <w:rFonts w:eastAsia="Calibri"/>
                <w:b/>
                <w:sz w:val="18"/>
                <w:szCs w:val="20"/>
              </w:rPr>
              <w:t>Y 11</w:t>
            </w:r>
            <w:r w:rsidR="00196CD5">
              <w:rPr>
                <w:rFonts w:eastAsia="Calibri"/>
                <w:b/>
                <w:sz w:val="18"/>
                <w:szCs w:val="20"/>
              </w:rPr>
              <w:t xml:space="preserve"> </w:t>
            </w:r>
            <w:r w:rsidRPr="00196CD5">
              <w:rPr>
                <w:rFonts w:eastAsia="Calibri"/>
                <w:b/>
                <w:sz w:val="18"/>
                <w:szCs w:val="20"/>
              </w:rPr>
              <w:t>(Units 1 and 2)</w:t>
            </w:r>
          </w:p>
        </w:tc>
        <w:tc>
          <w:tcPr>
            <w:tcW w:w="1701" w:type="dxa"/>
            <w:vMerge w:val="restart"/>
            <w:vAlign w:val="center"/>
          </w:tcPr>
          <w:p w:rsidR="00432857" w:rsidRPr="00196CD5" w:rsidRDefault="00432857" w:rsidP="00196CD5">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r w:rsidRPr="00196CD5">
              <w:rPr>
                <w:rFonts w:eastAsia="Calibri"/>
                <w:b/>
                <w:sz w:val="18"/>
                <w:szCs w:val="20"/>
              </w:rPr>
              <w:t>Y 12</w:t>
            </w:r>
            <w:r w:rsidR="00196CD5">
              <w:rPr>
                <w:rFonts w:eastAsia="Calibri"/>
                <w:b/>
                <w:sz w:val="18"/>
                <w:szCs w:val="20"/>
              </w:rPr>
              <w:t xml:space="preserve"> </w:t>
            </w:r>
            <w:r w:rsidRPr="00196CD5">
              <w:rPr>
                <w:rFonts w:eastAsia="Calibri"/>
                <w:b/>
                <w:sz w:val="18"/>
                <w:szCs w:val="20"/>
              </w:rPr>
              <w:t>(Units 3 and 4)</w:t>
            </w:r>
          </w:p>
        </w:tc>
        <w:tc>
          <w:tcPr>
            <w:tcW w:w="1842" w:type="dxa"/>
            <w:vMerge w:val="restart"/>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r w:rsidRPr="00196CD5">
              <w:rPr>
                <w:rFonts w:eastAsia="Calibri"/>
                <w:b/>
                <w:sz w:val="18"/>
                <w:szCs w:val="20"/>
              </w:rPr>
              <w:t>Endorsed programs</w:t>
            </w:r>
          </w:p>
        </w:tc>
        <w:tc>
          <w:tcPr>
            <w:tcW w:w="3402" w:type="dxa"/>
            <w:gridSpan w:val="2"/>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r w:rsidRPr="00196CD5">
              <w:rPr>
                <w:rFonts w:eastAsia="Calibri"/>
                <w:b/>
                <w:sz w:val="18"/>
                <w:szCs w:val="20"/>
              </w:rPr>
              <w:t>VET Credit transfer</w:t>
            </w:r>
          </w:p>
        </w:tc>
        <w:tc>
          <w:tcPr>
            <w:tcW w:w="2160" w:type="dxa"/>
            <w:vMerge/>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p>
        </w:tc>
      </w:tr>
      <w:tr w:rsidR="00AE00DD" w:rsidRPr="00196CD5" w:rsidTr="00196CD5">
        <w:trPr>
          <w:trHeight w:val="251"/>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rsidR="00432857" w:rsidRPr="00196CD5" w:rsidRDefault="00432857" w:rsidP="00A922D4">
            <w:pPr>
              <w:spacing w:after="0"/>
              <w:rPr>
                <w:rFonts w:eastAsia="Calibri"/>
                <w:b w:val="0"/>
                <w:bCs w:val="0"/>
                <w:sz w:val="18"/>
                <w:szCs w:val="20"/>
              </w:rPr>
            </w:pPr>
          </w:p>
        </w:tc>
        <w:tc>
          <w:tcPr>
            <w:tcW w:w="1707" w:type="dxa"/>
            <w:vMerge/>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p>
        </w:tc>
        <w:tc>
          <w:tcPr>
            <w:tcW w:w="1843" w:type="dxa"/>
            <w:vMerge/>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p>
        </w:tc>
        <w:tc>
          <w:tcPr>
            <w:tcW w:w="1701" w:type="dxa"/>
            <w:vMerge/>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p>
        </w:tc>
        <w:tc>
          <w:tcPr>
            <w:tcW w:w="1842" w:type="dxa"/>
            <w:vMerge/>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r w:rsidRPr="00196CD5">
              <w:rPr>
                <w:rFonts w:eastAsia="Calibri"/>
                <w:b/>
                <w:sz w:val="18"/>
                <w:szCs w:val="20"/>
              </w:rPr>
              <w:t>Y 11</w:t>
            </w:r>
          </w:p>
        </w:tc>
        <w:tc>
          <w:tcPr>
            <w:tcW w:w="1559"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r w:rsidRPr="00196CD5">
              <w:rPr>
                <w:rFonts w:eastAsia="Calibri"/>
                <w:b/>
                <w:sz w:val="18"/>
                <w:szCs w:val="20"/>
              </w:rPr>
              <w:t>Y 12</w:t>
            </w:r>
          </w:p>
        </w:tc>
        <w:tc>
          <w:tcPr>
            <w:tcW w:w="2160" w:type="dxa"/>
            <w:vMerge/>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p>
        </w:tc>
      </w:tr>
      <w:tr w:rsidR="00AE00DD" w:rsidRPr="00196CD5" w:rsidTr="00196CD5">
        <w:trPr>
          <w:trHeight w:val="251"/>
        </w:trPr>
        <w:tc>
          <w:tcPr>
            <w:cnfStyle w:val="001000000000" w:firstRow="0" w:lastRow="0" w:firstColumn="1" w:lastColumn="0" w:oddVBand="0" w:evenVBand="0" w:oddHBand="0" w:evenHBand="0" w:firstRowFirstColumn="0" w:firstRowLastColumn="0" w:lastRowFirstColumn="0" w:lastRowLastColumn="0"/>
            <w:tcW w:w="1520" w:type="dxa"/>
            <w:vMerge w:val="restart"/>
            <w:vAlign w:val="center"/>
          </w:tcPr>
          <w:p w:rsidR="00432857" w:rsidRPr="00196CD5" w:rsidRDefault="00432857" w:rsidP="00A922D4">
            <w:pPr>
              <w:spacing w:after="0"/>
              <w:rPr>
                <w:rFonts w:eastAsia="Calibri"/>
                <w:b w:val="0"/>
                <w:bCs w:val="0"/>
                <w:sz w:val="18"/>
                <w:szCs w:val="20"/>
              </w:rPr>
            </w:pPr>
            <w:r w:rsidRPr="00196CD5">
              <w:rPr>
                <w:rFonts w:eastAsia="Calibri"/>
                <w:sz w:val="18"/>
                <w:szCs w:val="20"/>
              </w:rPr>
              <w:t>Certificate I</w:t>
            </w:r>
          </w:p>
        </w:tc>
        <w:tc>
          <w:tcPr>
            <w:tcW w:w="10495" w:type="dxa"/>
            <w:gridSpan w:val="6"/>
            <w:vMerge w:val="restart"/>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r w:rsidRPr="00196CD5">
              <w:rPr>
                <w:rFonts w:eastAsia="Calibri"/>
                <w:b/>
                <w:sz w:val="18"/>
                <w:szCs w:val="20"/>
              </w:rPr>
              <w:t>No credit awarded for partially completed Certificate I VET industry specific courses</w:t>
            </w:r>
          </w:p>
        </w:tc>
        <w:tc>
          <w:tcPr>
            <w:tcW w:w="2160"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No</w:t>
            </w:r>
          </w:p>
        </w:tc>
      </w:tr>
      <w:tr w:rsidR="00AE00DD" w:rsidRPr="00196CD5" w:rsidTr="00196CD5">
        <w:trPr>
          <w:trHeight w:val="235"/>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rsidR="00432857" w:rsidRPr="00196CD5" w:rsidRDefault="00432857" w:rsidP="00A922D4">
            <w:pPr>
              <w:spacing w:after="0"/>
              <w:rPr>
                <w:rFonts w:eastAsia="Calibri"/>
                <w:b w:val="0"/>
                <w:bCs w:val="0"/>
                <w:sz w:val="18"/>
                <w:szCs w:val="20"/>
              </w:rPr>
            </w:pPr>
          </w:p>
        </w:tc>
        <w:tc>
          <w:tcPr>
            <w:tcW w:w="10495" w:type="dxa"/>
            <w:gridSpan w:val="6"/>
            <w:vMerge/>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p>
        </w:tc>
        <w:tc>
          <w:tcPr>
            <w:tcW w:w="2160"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No</w:t>
            </w:r>
          </w:p>
        </w:tc>
      </w:tr>
      <w:tr w:rsidR="00AE00DD" w:rsidRPr="00196CD5" w:rsidTr="00196CD5">
        <w:trPr>
          <w:trHeight w:val="251"/>
        </w:trPr>
        <w:tc>
          <w:tcPr>
            <w:cnfStyle w:val="001000000000" w:firstRow="0" w:lastRow="0" w:firstColumn="1" w:lastColumn="0" w:oddVBand="0" w:evenVBand="0" w:oddHBand="0" w:evenHBand="0" w:firstRowFirstColumn="0" w:firstRowLastColumn="0" w:lastRowFirstColumn="0" w:lastRowLastColumn="0"/>
            <w:tcW w:w="1520" w:type="dxa"/>
            <w:vMerge w:val="restart"/>
            <w:vAlign w:val="center"/>
          </w:tcPr>
          <w:p w:rsidR="00432857" w:rsidRPr="00196CD5" w:rsidRDefault="00432857" w:rsidP="00A922D4">
            <w:pPr>
              <w:spacing w:after="0"/>
              <w:rPr>
                <w:rFonts w:eastAsia="Calibri"/>
                <w:b w:val="0"/>
                <w:bCs w:val="0"/>
                <w:sz w:val="18"/>
                <w:szCs w:val="20"/>
              </w:rPr>
            </w:pPr>
            <w:r w:rsidRPr="00196CD5">
              <w:rPr>
                <w:rFonts w:eastAsia="Calibri"/>
                <w:sz w:val="18"/>
                <w:szCs w:val="20"/>
              </w:rPr>
              <w:t>Certificate II</w:t>
            </w:r>
          </w:p>
        </w:tc>
        <w:tc>
          <w:tcPr>
            <w:tcW w:w="1707"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+ 2 WPL</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1701"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842"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559"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w:t>
            </w:r>
          </w:p>
        </w:tc>
        <w:tc>
          <w:tcPr>
            <w:tcW w:w="2160"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No*</w:t>
            </w:r>
          </w:p>
        </w:tc>
      </w:tr>
      <w:tr w:rsidR="00AE00DD" w:rsidRPr="00196CD5" w:rsidTr="00196CD5">
        <w:trPr>
          <w:trHeight w:val="251"/>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rsidR="00432857" w:rsidRPr="00196CD5" w:rsidRDefault="00432857" w:rsidP="00A922D4">
            <w:pPr>
              <w:spacing w:after="0"/>
              <w:rPr>
                <w:rFonts w:eastAsia="Calibri"/>
                <w:b w:val="0"/>
                <w:bCs w:val="0"/>
                <w:sz w:val="18"/>
                <w:szCs w:val="20"/>
              </w:rPr>
            </w:pPr>
          </w:p>
        </w:tc>
        <w:tc>
          <w:tcPr>
            <w:tcW w:w="1707"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+ 1 WPL</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1701"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842"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1</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559"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w:t>
            </w:r>
          </w:p>
        </w:tc>
        <w:tc>
          <w:tcPr>
            <w:tcW w:w="2160"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No*</w:t>
            </w:r>
          </w:p>
        </w:tc>
      </w:tr>
      <w:tr w:rsidR="00AE00DD" w:rsidRPr="00196CD5" w:rsidTr="00196CD5">
        <w:trPr>
          <w:trHeight w:val="251"/>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rsidR="00432857" w:rsidRPr="00196CD5" w:rsidRDefault="00432857" w:rsidP="00A922D4">
            <w:pPr>
              <w:spacing w:after="0"/>
              <w:rPr>
                <w:rFonts w:eastAsia="Calibri"/>
                <w:b w:val="0"/>
                <w:bCs w:val="0"/>
                <w:sz w:val="18"/>
                <w:szCs w:val="20"/>
              </w:rPr>
            </w:pPr>
          </w:p>
        </w:tc>
        <w:tc>
          <w:tcPr>
            <w:tcW w:w="1707"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+ 0 WPL</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701"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842"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559"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w:t>
            </w:r>
          </w:p>
        </w:tc>
        <w:tc>
          <w:tcPr>
            <w:tcW w:w="2160"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No*</w:t>
            </w:r>
          </w:p>
        </w:tc>
      </w:tr>
      <w:tr w:rsidR="00AE00DD" w:rsidRPr="00196CD5" w:rsidTr="00196CD5">
        <w:trPr>
          <w:trHeight w:val="251"/>
        </w:trPr>
        <w:tc>
          <w:tcPr>
            <w:cnfStyle w:val="001000000000" w:firstRow="0" w:lastRow="0" w:firstColumn="1" w:lastColumn="0" w:oddVBand="0" w:evenVBand="0" w:oddHBand="0" w:evenHBand="0" w:firstRowFirstColumn="0" w:firstRowLastColumn="0" w:lastRowFirstColumn="0" w:lastRowLastColumn="0"/>
            <w:tcW w:w="1520" w:type="dxa"/>
            <w:vMerge w:val="restart"/>
            <w:vAlign w:val="center"/>
          </w:tcPr>
          <w:p w:rsidR="00432857" w:rsidRPr="00196CD5" w:rsidRDefault="00432857" w:rsidP="00A922D4">
            <w:pPr>
              <w:spacing w:after="0"/>
              <w:rPr>
                <w:rFonts w:eastAsia="Calibri"/>
                <w:b w:val="0"/>
                <w:bCs w:val="0"/>
                <w:sz w:val="18"/>
                <w:szCs w:val="20"/>
              </w:rPr>
            </w:pPr>
            <w:r w:rsidRPr="00196CD5">
              <w:rPr>
                <w:rFonts w:eastAsia="Calibri"/>
                <w:sz w:val="18"/>
                <w:szCs w:val="20"/>
              </w:rPr>
              <w:t>Certificate III</w:t>
            </w:r>
          </w:p>
        </w:tc>
        <w:tc>
          <w:tcPr>
            <w:tcW w:w="1707"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+ 2 WPL</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1701"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842"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559"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2160"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Possibly**</w:t>
            </w:r>
          </w:p>
        </w:tc>
      </w:tr>
      <w:tr w:rsidR="00AE00DD" w:rsidRPr="00196CD5" w:rsidTr="00196CD5">
        <w:trPr>
          <w:trHeight w:val="251"/>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rsidR="00432857" w:rsidRPr="00196CD5" w:rsidRDefault="00432857" w:rsidP="00A922D4">
            <w:pPr>
              <w:spacing w:after="0"/>
              <w:jc w:val="center"/>
              <w:rPr>
                <w:rFonts w:eastAsia="Calibri"/>
                <w:b w:val="0"/>
                <w:bCs w:val="0"/>
                <w:sz w:val="18"/>
                <w:szCs w:val="20"/>
              </w:rPr>
            </w:pPr>
          </w:p>
        </w:tc>
        <w:tc>
          <w:tcPr>
            <w:tcW w:w="1707"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+ 1 WPL</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1701"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842"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1</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559"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2160"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Possibly**</w:t>
            </w:r>
          </w:p>
        </w:tc>
      </w:tr>
      <w:tr w:rsidR="00AE00DD" w:rsidRPr="00196CD5" w:rsidTr="00196CD5">
        <w:trPr>
          <w:trHeight w:val="251"/>
        </w:trPr>
        <w:tc>
          <w:tcPr>
            <w:cnfStyle w:val="001000000000" w:firstRow="0" w:lastRow="0" w:firstColumn="1" w:lastColumn="0" w:oddVBand="0" w:evenVBand="0" w:oddHBand="0" w:evenHBand="0" w:firstRowFirstColumn="0" w:firstRowLastColumn="0" w:lastRowFirstColumn="0" w:lastRowLastColumn="0"/>
            <w:tcW w:w="1520" w:type="dxa"/>
            <w:vMerge/>
            <w:tcBorders>
              <w:bottom w:val="single" w:sz="4" w:space="0" w:color="C3A9D3" w:themeColor="accent3" w:themeTint="99"/>
            </w:tcBorders>
            <w:vAlign w:val="center"/>
          </w:tcPr>
          <w:p w:rsidR="00432857" w:rsidRPr="00196CD5" w:rsidRDefault="00432857" w:rsidP="00A922D4">
            <w:pPr>
              <w:spacing w:after="0"/>
              <w:jc w:val="center"/>
              <w:rPr>
                <w:rFonts w:eastAsia="Calibri"/>
                <w:b w:val="0"/>
                <w:bCs w:val="0"/>
                <w:sz w:val="18"/>
                <w:szCs w:val="20"/>
              </w:rPr>
            </w:pPr>
          </w:p>
        </w:tc>
        <w:tc>
          <w:tcPr>
            <w:tcW w:w="1707" w:type="dxa"/>
            <w:tcBorders>
              <w:bottom w:val="single" w:sz="4" w:space="0" w:color="C3A9D3" w:themeColor="accent3" w:themeTint="99"/>
            </w:tcBorders>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+ 0 WPL</w:t>
            </w:r>
          </w:p>
        </w:tc>
        <w:tc>
          <w:tcPr>
            <w:tcW w:w="1843" w:type="dxa"/>
            <w:tcBorders>
              <w:bottom w:val="single" w:sz="4" w:space="0" w:color="C3A9D3" w:themeColor="accent3" w:themeTint="99"/>
            </w:tcBorders>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701" w:type="dxa"/>
            <w:tcBorders>
              <w:bottom w:val="single" w:sz="4" w:space="0" w:color="C3A9D3" w:themeColor="accent3" w:themeTint="99"/>
            </w:tcBorders>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842" w:type="dxa"/>
            <w:tcBorders>
              <w:bottom w:val="single" w:sz="4" w:space="0" w:color="C3A9D3" w:themeColor="accent3" w:themeTint="99"/>
            </w:tcBorders>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843" w:type="dxa"/>
            <w:tcBorders>
              <w:bottom w:val="single" w:sz="4" w:space="0" w:color="C3A9D3" w:themeColor="accent3" w:themeTint="99"/>
            </w:tcBorders>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1559" w:type="dxa"/>
            <w:tcBorders>
              <w:bottom w:val="single" w:sz="4" w:space="0" w:color="C3A9D3" w:themeColor="accent3" w:themeTint="99"/>
            </w:tcBorders>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2160"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Possibly**</w:t>
            </w:r>
          </w:p>
        </w:tc>
      </w:tr>
      <w:tr w:rsidR="00AE00DD" w:rsidRPr="00196CD5" w:rsidTr="00196CD5">
        <w:trPr>
          <w:trHeight w:val="433"/>
        </w:trPr>
        <w:tc>
          <w:tcPr>
            <w:cnfStyle w:val="001000000000" w:firstRow="0" w:lastRow="0" w:firstColumn="1" w:lastColumn="0" w:oddVBand="0" w:evenVBand="0" w:oddHBand="0" w:evenHBand="0" w:firstRowFirstColumn="0" w:firstRowLastColumn="0" w:lastRowFirstColumn="0" w:lastRowLastColumn="0"/>
            <w:tcW w:w="3227" w:type="dxa"/>
            <w:gridSpan w:val="2"/>
            <w:tcBorders>
              <w:right w:val="single" w:sz="4" w:space="0" w:color="9C70B7" w:themeColor="accent3"/>
            </w:tcBorders>
            <w:shd w:val="clear" w:color="auto" w:fill="9C70B7" w:themeFill="accent3"/>
            <w:vAlign w:val="center"/>
          </w:tcPr>
          <w:p w:rsidR="00432857" w:rsidRPr="00196CD5" w:rsidRDefault="00432857" w:rsidP="00A922D4">
            <w:pPr>
              <w:spacing w:after="0"/>
              <w:jc w:val="center"/>
              <w:rPr>
                <w:rFonts w:eastAsia="Calibri"/>
                <w:color w:val="FFFFFF" w:themeColor="background1"/>
                <w:sz w:val="18"/>
                <w:szCs w:val="20"/>
              </w:rPr>
            </w:pPr>
            <w:r w:rsidRPr="00196CD5">
              <w:rPr>
                <w:rFonts w:eastAsia="Calibri"/>
                <w:color w:val="FFFFFF" w:themeColor="background1"/>
                <w:sz w:val="18"/>
                <w:szCs w:val="20"/>
              </w:rPr>
              <w:t>Full Qualification Scenarios</w:t>
            </w:r>
          </w:p>
        </w:tc>
        <w:tc>
          <w:tcPr>
            <w:tcW w:w="8788" w:type="dxa"/>
            <w:gridSpan w:val="5"/>
            <w:tcBorders>
              <w:left w:val="single" w:sz="4" w:space="0" w:color="9C70B7" w:themeColor="accent3"/>
              <w:right w:val="single" w:sz="4" w:space="0" w:color="9C70B7" w:themeColor="accent3"/>
            </w:tcBorders>
            <w:shd w:val="clear" w:color="auto" w:fill="9C70B7" w:themeFill="accent3"/>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color w:val="FFFFFF" w:themeColor="background1"/>
                <w:sz w:val="18"/>
                <w:szCs w:val="20"/>
              </w:rPr>
            </w:pPr>
            <w:r w:rsidRPr="00196CD5">
              <w:rPr>
                <w:rFonts w:eastAsia="Calibri"/>
                <w:b/>
                <w:color w:val="FFFFFF" w:themeColor="background1"/>
                <w:sz w:val="18"/>
                <w:szCs w:val="20"/>
              </w:rPr>
              <w:t>WACE Credit</w:t>
            </w:r>
          </w:p>
        </w:tc>
        <w:tc>
          <w:tcPr>
            <w:tcW w:w="2160" w:type="dxa"/>
            <w:tcBorders>
              <w:left w:val="single" w:sz="4" w:space="0" w:color="9C70B7" w:themeColor="accent3"/>
            </w:tcBorders>
            <w:shd w:val="clear" w:color="auto" w:fill="9C70B7" w:themeFill="accent3"/>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color w:val="FFFFFF" w:themeColor="background1"/>
                <w:sz w:val="18"/>
                <w:szCs w:val="20"/>
              </w:rPr>
            </w:pPr>
          </w:p>
        </w:tc>
      </w:tr>
      <w:tr w:rsidR="00AE00DD" w:rsidRPr="00196CD5" w:rsidTr="00196CD5">
        <w:trPr>
          <w:trHeight w:val="251"/>
        </w:trPr>
        <w:tc>
          <w:tcPr>
            <w:cnfStyle w:val="001000000000" w:firstRow="0" w:lastRow="0" w:firstColumn="1" w:lastColumn="0" w:oddVBand="0" w:evenVBand="0" w:oddHBand="0" w:evenHBand="0" w:firstRowFirstColumn="0" w:firstRowLastColumn="0" w:lastRowFirstColumn="0" w:lastRowLastColumn="0"/>
            <w:tcW w:w="1520" w:type="dxa"/>
            <w:vMerge w:val="restart"/>
            <w:vAlign w:val="center"/>
          </w:tcPr>
          <w:p w:rsidR="00432857" w:rsidRPr="00196CD5" w:rsidRDefault="00432857" w:rsidP="00A922D4">
            <w:pPr>
              <w:spacing w:after="0"/>
              <w:rPr>
                <w:rFonts w:eastAsia="Calibri"/>
                <w:b w:val="0"/>
                <w:bCs w:val="0"/>
                <w:sz w:val="18"/>
                <w:szCs w:val="20"/>
              </w:rPr>
            </w:pPr>
            <w:r w:rsidRPr="00196CD5">
              <w:rPr>
                <w:rFonts w:eastAsia="Calibri"/>
                <w:sz w:val="18"/>
                <w:szCs w:val="20"/>
              </w:rPr>
              <w:t>AQF Level</w:t>
            </w:r>
          </w:p>
        </w:tc>
        <w:tc>
          <w:tcPr>
            <w:tcW w:w="1707" w:type="dxa"/>
            <w:vMerge w:val="restart"/>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r w:rsidRPr="00196CD5">
              <w:rPr>
                <w:rFonts w:eastAsia="Calibri"/>
                <w:b/>
                <w:sz w:val="18"/>
                <w:szCs w:val="20"/>
              </w:rPr>
              <w:t>WPL component</w:t>
            </w:r>
          </w:p>
        </w:tc>
        <w:tc>
          <w:tcPr>
            <w:tcW w:w="3544" w:type="dxa"/>
            <w:gridSpan w:val="2"/>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r w:rsidRPr="00196CD5">
              <w:rPr>
                <w:rFonts w:eastAsia="Calibri"/>
                <w:b/>
                <w:sz w:val="18"/>
                <w:szCs w:val="20"/>
              </w:rPr>
              <w:t>Course unit credit</w:t>
            </w:r>
          </w:p>
        </w:tc>
        <w:tc>
          <w:tcPr>
            <w:tcW w:w="5244" w:type="dxa"/>
            <w:gridSpan w:val="3"/>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r w:rsidRPr="00196CD5">
              <w:rPr>
                <w:rFonts w:eastAsia="Calibri"/>
                <w:b/>
                <w:sz w:val="18"/>
                <w:szCs w:val="20"/>
              </w:rPr>
              <w:t>Unit equivalence</w:t>
            </w:r>
          </w:p>
        </w:tc>
        <w:tc>
          <w:tcPr>
            <w:tcW w:w="2160" w:type="dxa"/>
            <w:vMerge w:val="restart"/>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r w:rsidRPr="00196CD5">
              <w:rPr>
                <w:rFonts w:eastAsia="Calibri"/>
                <w:b/>
                <w:sz w:val="18"/>
                <w:szCs w:val="20"/>
              </w:rPr>
              <w:t>Cert II requirement met</w:t>
            </w:r>
          </w:p>
        </w:tc>
      </w:tr>
      <w:tr w:rsidR="00AE00DD" w:rsidRPr="00196CD5" w:rsidTr="00196CD5">
        <w:trPr>
          <w:trHeight w:val="251"/>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rsidR="00432857" w:rsidRPr="00196CD5" w:rsidRDefault="00432857" w:rsidP="00A922D4">
            <w:pPr>
              <w:spacing w:after="0"/>
              <w:rPr>
                <w:rFonts w:eastAsia="Calibri"/>
                <w:b w:val="0"/>
                <w:bCs w:val="0"/>
                <w:sz w:val="18"/>
                <w:szCs w:val="20"/>
              </w:rPr>
            </w:pPr>
          </w:p>
        </w:tc>
        <w:tc>
          <w:tcPr>
            <w:tcW w:w="1707" w:type="dxa"/>
            <w:vMerge/>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p>
        </w:tc>
        <w:tc>
          <w:tcPr>
            <w:tcW w:w="1843" w:type="dxa"/>
            <w:vMerge w:val="restart"/>
            <w:vAlign w:val="center"/>
          </w:tcPr>
          <w:p w:rsidR="00432857" w:rsidRPr="00196CD5" w:rsidRDefault="00432857" w:rsidP="00196CD5">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r w:rsidRPr="00196CD5">
              <w:rPr>
                <w:rFonts w:eastAsia="Calibri"/>
                <w:b/>
                <w:sz w:val="18"/>
                <w:szCs w:val="20"/>
              </w:rPr>
              <w:t>Y 11</w:t>
            </w:r>
            <w:r w:rsidR="00196CD5">
              <w:rPr>
                <w:rFonts w:eastAsia="Calibri"/>
                <w:b/>
                <w:sz w:val="18"/>
                <w:szCs w:val="20"/>
              </w:rPr>
              <w:t xml:space="preserve"> </w:t>
            </w:r>
            <w:r w:rsidRPr="00196CD5">
              <w:rPr>
                <w:rFonts w:eastAsia="Calibri"/>
                <w:b/>
                <w:sz w:val="18"/>
                <w:szCs w:val="20"/>
              </w:rPr>
              <w:t>(Units 1 and 2)</w:t>
            </w:r>
          </w:p>
        </w:tc>
        <w:tc>
          <w:tcPr>
            <w:tcW w:w="1701" w:type="dxa"/>
            <w:vMerge w:val="restart"/>
            <w:vAlign w:val="center"/>
          </w:tcPr>
          <w:p w:rsidR="00432857" w:rsidRPr="00196CD5" w:rsidRDefault="00432857" w:rsidP="00196CD5">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r w:rsidRPr="00196CD5">
              <w:rPr>
                <w:rFonts w:eastAsia="Calibri"/>
                <w:b/>
                <w:sz w:val="18"/>
                <w:szCs w:val="20"/>
              </w:rPr>
              <w:t>Y 12</w:t>
            </w:r>
            <w:r w:rsidR="00196CD5">
              <w:rPr>
                <w:rFonts w:eastAsia="Calibri"/>
                <w:b/>
                <w:sz w:val="18"/>
                <w:szCs w:val="20"/>
              </w:rPr>
              <w:t xml:space="preserve"> </w:t>
            </w:r>
            <w:r w:rsidRPr="00196CD5">
              <w:rPr>
                <w:rFonts w:eastAsia="Calibri"/>
                <w:b/>
                <w:sz w:val="18"/>
                <w:szCs w:val="20"/>
              </w:rPr>
              <w:t>(Units 3 and 4)</w:t>
            </w:r>
          </w:p>
        </w:tc>
        <w:tc>
          <w:tcPr>
            <w:tcW w:w="1842" w:type="dxa"/>
            <w:vMerge w:val="restart"/>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r w:rsidRPr="00196CD5">
              <w:rPr>
                <w:rFonts w:eastAsia="Calibri"/>
                <w:b/>
                <w:sz w:val="18"/>
                <w:szCs w:val="20"/>
              </w:rPr>
              <w:t>Endorsed programs</w:t>
            </w:r>
          </w:p>
        </w:tc>
        <w:tc>
          <w:tcPr>
            <w:tcW w:w="3402" w:type="dxa"/>
            <w:gridSpan w:val="2"/>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r w:rsidRPr="00196CD5">
              <w:rPr>
                <w:rFonts w:eastAsia="Calibri"/>
                <w:b/>
                <w:sz w:val="18"/>
                <w:szCs w:val="20"/>
              </w:rPr>
              <w:t>VET Credit transfer</w:t>
            </w:r>
          </w:p>
        </w:tc>
        <w:tc>
          <w:tcPr>
            <w:tcW w:w="2160" w:type="dxa"/>
            <w:vMerge/>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p>
        </w:tc>
      </w:tr>
      <w:tr w:rsidR="00AE00DD" w:rsidRPr="00196CD5" w:rsidTr="00196CD5">
        <w:trPr>
          <w:trHeight w:val="251"/>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rsidR="00432857" w:rsidRPr="00196CD5" w:rsidRDefault="00432857" w:rsidP="00A922D4">
            <w:pPr>
              <w:spacing w:after="0"/>
              <w:rPr>
                <w:rFonts w:eastAsia="Calibri"/>
                <w:b w:val="0"/>
                <w:bCs w:val="0"/>
                <w:sz w:val="18"/>
                <w:szCs w:val="20"/>
              </w:rPr>
            </w:pPr>
          </w:p>
        </w:tc>
        <w:tc>
          <w:tcPr>
            <w:tcW w:w="1707" w:type="dxa"/>
            <w:vMerge/>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p>
        </w:tc>
        <w:tc>
          <w:tcPr>
            <w:tcW w:w="1843" w:type="dxa"/>
            <w:vMerge/>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p>
        </w:tc>
        <w:tc>
          <w:tcPr>
            <w:tcW w:w="1701" w:type="dxa"/>
            <w:vMerge/>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p>
        </w:tc>
        <w:tc>
          <w:tcPr>
            <w:tcW w:w="1842" w:type="dxa"/>
            <w:vMerge/>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r w:rsidRPr="00196CD5">
              <w:rPr>
                <w:rFonts w:eastAsia="Calibri"/>
                <w:b/>
                <w:sz w:val="18"/>
                <w:szCs w:val="20"/>
              </w:rPr>
              <w:t>Y 11</w:t>
            </w:r>
          </w:p>
        </w:tc>
        <w:tc>
          <w:tcPr>
            <w:tcW w:w="1559"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r w:rsidRPr="00196CD5">
              <w:rPr>
                <w:rFonts w:eastAsia="Calibri"/>
                <w:b/>
                <w:sz w:val="18"/>
                <w:szCs w:val="20"/>
              </w:rPr>
              <w:t>Y 12</w:t>
            </w:r>
          </w:p>
        </w:tc>
        <w:tc>
          <w:tcPr>
            <w:tcW w:w="2160" w:type="dxa"/>
            <w:vMerge/>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b/>
                <w:sz w:val="18"/>
                <w:szCs w:val="20"/>
              </w:rPr>
            </w:pPr>
          </w:p>
        </w:tc>
      </w:tr>
      <w:tr w:rsidR="00AE00DD" w:rsidRPr="00196CD5" w:rsidTr="00196CD5">
        <w:trPr>
          <w:trHeight w:val="251"/>
        </w:trPr>
        <w:tc>
          <w:tcPr>
            <w:cnfStyle w:val="001000000000" w:firstRow="0" w:lastRow="0" w:firstColumn="1" w:lastColumn="0" w:oddVBand="0" w:evenVBand="0" w:oddHBand="0" w:evenHBand="0" w:firstRowFirstColumn="0" w:firstRowLastColumn="0" w:lastRowFirstColumn="0" w:lastRowLastColumn="0"/>
            <w:tcW w:w="1520" w:type="dxa"/>
            <w:vMerge w:val="restart"/>
            <w:vAlign w:val="center"/>
          </w:tcPr>
          <w:p w:rsidR="00432857" w:rsidRPr="00196CD5" w:rsidRDefault="00432857" w:rsidP="00A922D4">
            <w:pPr>
              <w:spacing w:after="0"/>
              <w:rPr>
                <w:rFonts w:eastAsia="Calibri"/>
                <w:b w:val="0"/>
                <w:bCs w:val="0"/>
                <w:sz w:val="18"/>
                <w:szCs w:val="20"/>
              </w:rPr>
            </w:pPr>
            <w:r w:rsidRPr="00196CD5">
              <w:rPr>
                <w:rFonts w:eastAsia="Calibri"/>
                <w:sz w:val="18"/>
                <w:szCs w:val="20"/>
              </w:rPr>
              <w:t>Certificate I</w:t>
            </w:r>
          </w:p>
        </w:tc>
        <w:tc>
          <w:tcPr>
            <w:tcW w:w="1707"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+ 1 WPL</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1701"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842"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1</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559"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2160"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No</w:t>
            </w:r>
          </w:p>
        </w:tc>
      </w:tr>
      <w:tr w:rsidR="00AE00DD" w:rsidRPr="00196CD5" w:rsidTr="00196CD5">
        <w:trPr>
          <w:trHeight w:val="235"/>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rsidR="00432857" w:rsidRPr="00196CD5" w:rsidRDefault="00432857" w:rsidP="00A922D4">
            <w:pPr>
              <w:spacing w:after="0"/>
              <w:rPr>
                <w:rFonts w:eastAsia="Calibri"/>
                <w:b w:val="0"/>
                <w:bCs w:val="0"/>
                <w:sz w:val="18"/>
                <w:szCs w:val="20"/>
              </w:rPr>
            </w:pPr>
          </w:p>
        </w:tc>
        <w:tc>
          <w:tcPr>
            <w:tcW w:w="1707"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+ 0 WPL</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701"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842"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1559"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2160"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No</w:t>
            </w:r>
          </w:p>
        </w:tc>
      </w:tr>
      <w:tr w:rsidR="00AE00DD" w:rsidRPr="00196CD5" w:rsidTr="00196CD5">
        <w:trPr>
          <w:trHeight w:val="251"/>
        </w:trPr>
        <w:tc>
          <w:tcPr>
            <w:cnfStyle w:val="001000000000" w:firstRow="0" w:lastRow="0" w:firstColumn="1" w:lastColumn="0" w:oddVBand="0" w:evenVBand="0" w:oddHBand="0" w:evenHBand="0" w:firstRowFirstColumn="0" w:firstRowLastColumn="0" w:lastRowFirstColumn="0" w:lastRowLastColumn="0"/>
            <w:tcW w:w="1520" w:type="dxa"/>
            <w:vMerge w:val="restart"/>
            <w:vAlign w:val="center"/>
          </w:tcPr>
          <w:p w:rsidR="00432857" w:rsidRPr="00196CD5" w:rsidRDefault="00432857" w:rsidP="00A922D4">
            <w:pPr>
              <w:spacing w:after="0"/>
              <w:rPr>
                <w:rFonts w:eastAsia="Calibri"/>
                <w:b w:val="0"/>
                <w:bCs w:val="0"/>
                <w:sz w:val="18"/>
                <w:szCs w:val="20"/>
              </w:rPr>
            </w:pPr>
            <w:r w:rsidRPr="00196CD5">
              <w:rPr>
                <w:rFonts w:eastAsia="Calibri"/>
                <w:sz w:val="18"/>
                <w:szCs w:val="20"/>
              </w:rPr>
              <w:t>Certificate II</w:t>
            </w:r>
          </w:p>
        </w:tc>
        <w:tc>
          <w:tcPr>
            <w:tcW w:w="1707"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+ 2 WPL</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1701"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1842"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559"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2160"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Yes</w:t>
            </w:r>
          </w:p>
        </w:tc>
      </w:tr>
      <w:tr w:rsidR="00AE00DD" w:rsidRPr="00196CD5" w:rsidTr="00196CD5">
        <w:trPr>
          <w:trHeight w:val="251"/>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rsidR="00432857" w:rsidRPr="00196CD5" w:rsidRDefault="00432857" w:rsidP="00A922D4">
            <w:pPr>
              <w:spacing w:after="0"/>
              <w:rPr>
                <w:rFonts w:eastAsia="Calibri"/>
                <w:b w:val="0"/>
                <w:bCs w:val="0"/>
                <w:sz w:val="18"/>
                <w:szCs w:val="20"/>
              </w:rPr>
            </w:pPr>
          </w:p>
        </w:tc>
        <w:tc>
          <w:tcPr>
            <w:tcW w:w="1707"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+ 1 WPL</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1701"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842"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1</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559"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2160"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Yes</w:t>
            </w:r>
          </w:p>
        </w:tc>
      </w:tr>
      <w:tr w:rsidR="00AE00DD" w:rsidRPr="00196CD5" w:rsidTr="00196CD5">
        <w:trPr>
          <w:trHeight w:val="251"/>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rsidR="00432857" w:rsidRPr="00196CD5" w:rsidRDefault="00432857" w:rsidP="00A922D4">
            <w:pPr>
              <w:spacing w:after="0"/>
              <w:rPr>
                <w:rFonts w:eastAsia="Calibri"/>
                <w:b w:val="0"/>
                <w:bCs w:val="0"/>
                <w:sz w:val="18"/>
                <w:szCs w:val="20"/>
              </w:rPr>
            </w:pPr>
          </w:p>
        </w:tc>
        <w:tc>
          <w:tcPr>
            <w:tcW w:w="1707"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+ 0 WPL</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701"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842"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1559"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2160"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Yes</w:t>
            </w:r>
          </w:p>
        </w:tc>
      </w:tr>
      <w:tr w:rsidR="00AE00DD" w:rsidRPr="00196CD5" w:rsidTr="00196CD5">
        <w:trPr>
          <w:trHeight w:val="251"/>
        </w:trPr>
        <w:tc>
          <w:tcPr>
            <w:cnfStyle w:val="001000000000" w:firstRow="0" w:lastRow="0" w:firstColumn="1" w:lastColumn="0" w:oddVBand="0" w:evenVBand="0" w:oddHBand="0" w:evenHBand="0" w:firstRowFirstColumn="0" w:firstRowLastColumn="0" w:lastRowFirstColumn="0" w:lastRowLastColumn="0"/>
            <w:tcW w:w="1520" w:type="dxa"/>
            <w:vMerge w:val="restart"/>
            <w:vAlign w:val="center"/>
          </w:tcPr>
          <w:p w:rsidR="00432857" w:rsidRPr="00196CD5" w:rsidRDefault="00432857" w:rsidP="00A922D4">
            <w:pPr>
              <w:spacing w:after="0"/>
              <w:rPr>
                <w:rFonts w:eastAsia="Calibri"/>
                <w:b w:val="0"/>
                <w:bCs w:val="0"/>
                <w:sz w:val="18"/>
                <w:szCs w:val="20"/>
              </w:rPr>
            </w:pPr>
            <w:r w:rsidRPr="00196CD5">
              <w:rPr>
                <w:rFonts w:eastAsia="Calibri"/>
                <w:sz w:val="18"/>
                <w:szCs w:val="20"/>
              </w:rPr>
              <w:t>Certificate III</w:t>
            </w:r>
          </w:p>
        </w:tc>
        <w:tc>
          <w:tcPr>
            <w:tcW w:w="1707"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+ 2 WPL</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1701"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1842"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559"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2160"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Yes</w:t>
            </w:r>
          </w:p>
        </w:tc>
      </w:tr>
      <w:tr w:rsidR="00AE00DD" w:rsidRPr="00196CD5" w:rsidTr="00196CD5">
        <w:trPr>
          <w:trHeight w:val="251"/>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rsidR="00432857" w:rsidRPr="00196CD5" w:rsidRDefault="00432857" w:rsidP="00A922D4">
            <w:pPr>
              <w:spacing w:after="0"/>
              <w:jc w:val="center"/>
              <w:rPr>
                <w:rFonts w:eastAsia="Calibri"/>
                <w:b w:val="0"/>
                <w:bCs w:val="0"/>
                <w:sz w:val="18"/>
                <w:szCs w:val="20"/>
              </w:rPr>
            </w:pPr>
          </w:p>
        </w:tc>
        <w:tc>
          <w:tcPr>
            <w:tcW w:w="1707"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+ 1 WPL</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1701"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842"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1</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559"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4</w:t>
            </w:r>
          </w:p>
        </w:tc>
        <w:tc>
          <w:tcPr>
            <w:tcW w:w="2160"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Yes</w:t>
            </w:r>
          </w:p>
        </w:tc>
      </w:tr>
      <w:tr w:rsidR="00AE00DD" w:rsidRPr="00196CD5" w:rsidTr="00196CD5">
        <w:trPr>
          <w:trHeight w:val="251"/>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rsidR="00432857" w:rsidRPr="00196CD5" w:rsidRDefault="00432857" w:rsidP="00A922D4">
            <w:pPr>
              <w:spacing w:after="0"/>
              <w:jc w:val="center"/>
              <w:rPr>
                <w:rFonts w:eastAsia="Calibri"/>
                <w:b w:val="0"/>
                <w:bCs w:val="0"/>
                <w:sz w:val="18"/>
                <w:szCs w:val="20"/>
              </w:rPr>
            </w:pPr>
          </w:p>
        </w:tc>
        <w:tc>
          <w:tcPr>
            <w:tcW w:w="1707"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+ 0 WPL</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701"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842"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0</w:t>
            </w:r>
          </w:p>
        </w:tc>
        <w:tc>
          <w:tcPr>
            <w:tcW w:w="1843"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2</w:t>
            </w:r>
          </w:p>
        </w:tc>
        <w:tc>
          <w:tcPr>
            <w:tcW w:w="1559"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4</w:t>
            </w:r>
          </w:p>
        </w:tc>
        <w:tc>
          <w:tcPr>
            <w:tcW w:w="2160" w:type="dxa"/>
            <w:vAlign w:val="center"/>
          </w:tcPr>
          <w:p w:rsidR="00432857" w:rsidRPr="00196CD5" w:rsidRDefault="00432857" w:rsidP="00A922D4">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196CD5">
              <w:rPr>
                <w:rFonts w:eastAsia="Calibri"/>
                <w:sz w:val="18"/>
                <w:szCs w:val="20"/>
              </w:rPr>
              <w:t>Yes</w:t>
            </w:r>
          </w:p>
        </w:tc>
      </w:tr>
    </w:tbl>
    <w:p w:rsidR="00432857" w:rsidRPr="00432857" w:rsidRDefault="00432857" w:rsidP="00D14AA2">
      <w:pPr>
        <w:spacing w:before="120" w:after="0"/>
        <w:rPr>
          <w:rFonts w:ascii="Arial" w:hAnsi="Arial" w:cs="Arial"/>
          <w:sz w:val="16"/>
          <w:szCs w:val="16"/>
        </w:rPr>
      </w:pPr>
      <w:r w:rsidRPr="00432857">
        <w:rPr>
          <w:rFonts w:ascii="Arial" w:hAnsi="Arial" w:cs="Arial"/>
          <w:sz w:val="16"/>
          <w:szCs w:val="16"/>
        </w:rPr>
        <w:t>*Unit equivalence for Year 12 may be awarded if the qualification is subsequently completed as VET credit transfer and therefore meets the Certificate II minimum qualification requirement</w:t>
      </w:r>
      <w:r w:rsidR="00405F7D">
        <w:rPr>
          <w:rFonts w:ascii="Arial" w:hAnsi="Arial" w:cs="Arial"/>
          <w:sz w:val="16"/>
          <w:szCs w:val="16"/>
        </w:rPr>
        <w:t>.</w:t>
      </w:r>
    </w:p>
    <w:p w:rsidR="00432857" w:rsidRPr="00432857" w:rsidRDefault="00070DE1" w:rsidP="00D14AA2">
      <w:pPr>
        <w:spacing w:before="120" w:after="120"/>
        <w:rPr>
          <w:rFonts w:ascii="Arial" w:hAnsi="Arial" w:cs="Arial"/>
          <w:sz w:val="16"/>
          <w:szCs w:val="16"/>
        </w:rPr>
      </w:pPr>
      <w:r w:rsidRPr="00070DE1">
        <w:rPr>
          <w:caps/>
          <w:noProof/>
        </w:rPr>
        <mc:AlternateContent>
          <mc:Choice Requires="wps">
            <w:drawing>
              <wp:anchor distT="45720" distB="45720" distL="114300" distR="114300" simplePos="0" relativeHeight="251661824" behindDoc="0" locked="0" layoutInCell="1" allowOverlap="1">
                <wp:simplePos x="0" y="0"/>
                <wp:positionH relativeFrom="column">
                  <wp:posOffset>-110490</wp:posOffset>
                </wp:positionH>
                <wp:positionV relativeFrom="paragraph">
                  <wp:posOffset>908685</wp:posOffset>
                </wp:positionV>
                <wp:extent cx="9334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4620"/>
                        </a:xfrm>
                        <a:prstGeom prst="rect">
                          <a:avLst/>
                        </a:prstGeom>
                        <a:noFill/>
                        <a:ln w="9525">
                          <a:noFill/>
                          <a:miter lim="800000"/>
                          <a:headEnd/>
                          <a:tailEnd/>
                        </a:ln>
                      </wps:spPr>
                      <wps:txbx>
                        <w:txbxContent>
                          <w:p w:rsidR="00070DE1" w:rsidRPr="00070DE1" w:rsidRDefault="00070DE1">
                            <w:pPr>
                              <w:rPr>
                                <w:sz w:val="16"/>
                              </w:rPr>
                            </w:pPr>
                            <w:r w:rsidRPr="00070DE1">
                              <w:rPr>
                                <w:sz w:val="16"/>
                              </w:rPr>
                              <w:t>2014/42129[3]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pt;margin-top:71.55pt;width:73.5pt;height:110.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" filled="f" stroked="f">
                <v:textbox style="mso-fit-shape-to-text:t">
                  <w:txbxContent>
                    <w:p w:rsidR="00070DE1" w:rsidRPr="00070DE1" w:rsidRDefault="00070DE1">
                      <w:pPr>
                        <w:rPr>
                          <w:sz w:val="16"/>
                        </w:rPr>
                      </w:pPr>
                      <w:r w:rsidRPr="00070DE1">
                        <w:rPr>
                          <w:sz w:val="16"/>
                        </w:rPr>
                        <w:t>2014/42129[3]</w:t>
                      </w:r>
                    </w:p>
                  </w:txbxContent>
                </v:textbox>
              </v:shape>
            </w:pict>
          </mc:Fallback>
        </mc:AlternateContent>
      </w:r>
      <w:r w:rsidR="00432857" w:rsidRPr="00432857">
        <w:rPr>
          <w:rFonts w:ascii="Arial" w:hAnsi="Arial" w:cs="Arial"/>
          <w:sz w:val="16"/>
          <w:szCs w:val="16"/>
        </w:rPr>
        <w:t xml:space="preserve">**A student may be awarded unit equivalence for the partial achievement of a Certificate III or higher and deemed to have satisfied the Certificate II minimum qualification requirement where the student has successfully completed, in the current year, the equivalent of at least four course units (220 nominal hours) of </w:t>
      </w:r>
      <w:r w:rsidR="00432857" w:rsidRPr="00432857">
        <w:rPr>
          <w:rFonts w:ascii="Arial" w:hAnsi="Arial" w:cs="Arial"/>
          <w:b/>
          <w:sz w:val="16"/>
          <w:szCs w:val="16"/>
        </w:rPr>
        <w:t>new</w:t>
      </w:r>
      <w:r w:rsidR="00405F7D">
        <w:rPr>
          <w:rFonts w:ascii="Arial" w:hAnsi="Arial" w:cs="Arial"/>
          <w:sz w:val="16"/>
          <w:szCs w:val="16"/>
        </w:rPr>
        <w:t xml:space="preserve"> enrolments from Y</w:t>
      </w:r>
      <w:bookmarkStart w:id="0" w:name="_GoBack"/>
      <w:bookmarkEnd w:id="0"/>
      <w:r w:rsidR="00432857" w:rsidRPr="00432857">
        <w:rPr>
          <w:rFonts w:ascii="Arial" w:hAnsi="Arial" w:cs="Arial"/>
          <w:sz w:val="16"/>
          <w:szCs w:val="16"/>
        </w:rPr>
        <w:t>ear 12 VET enrolments only.</w:t>
      </w:r>
    </w:p>
    <w:sectPr w:rsidR="00432857" w:rsidRPr="00432857" w:rsidSect="00D14AA2">
      <w:headerReference w:type="default" r:id="rId9"/>
      <w:footerReference w:type="default" r:id="rId10"/>
      <w:pgSz w:w="16838" w:h="11906" w:orient="landscape" w:code="9"/>
      <w:pgMar w:top="680" w:right="851" w:bottom="680" w:left="1134" w:header="510" w:footer="510" w:gutter="0"/>
      <w:cols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DD" w:rsidRDefault="00BA6EDD" w:rsidP="00BA6EDD">
      <w:r>
        <w:separator/>
      </w:r>
    </w:p>
  </w:endnote>
  <w:endnote w:type="continuationSeparator" w:id="0">
    <w:p w:rsidR="00BA6EDD" w:rsidRDefault="00BA6EDD" w:rsidP="00BA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CD5" w:rsidRDefault="00196CD5" w:rsidP="00D14AA2">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DD" w:rsidRPr="00453BBE" w:rsidRDefault="00BA6EDD" w:rsidP="00453BBE">
      <w:pPr>
        <w:spacing w:after="0"/>
        <w:rPr>
          <w:sz w:val="14"/>
        </w:rPr>
      </w:pPr>
      <w:r w:rsidRPr="00453BBE">
        <w:rPr>
          <w:sz w:val="14"/>
        </w:rPr>
        <w:separator/>
      </w:r>
    </w:p>
  </w:footnote>
  <w:footnote w:type="continuationSeparator" w:id="0">
    <w:p w:rsidR="00BA6EDD" w:rsidRDefault="00BA6EDD" w:rsidP="00BA6EDD">
      <w:r>
        <w:continuationSeparator/>
      </w:r>
    </w:p>
  </w:footnote>
  <w:footnote w:id="1">
    <w:p w:rsidR="00432857" w:rsidRDefault="00432857" w:rsidP="00D14AA2">
      <w:pPr>
        <w:pStyle w:val="FootnoteText"/>
        <w:spacing w:after="0"/>
      </w:pPr>
      <w:r>
        <w:rPr>
          <w:rStyle w:val="FootnoteReference"/>
        </w:rPr>
        <w:footnoteRef/>
      </w:r>
      <w:r>
        <w:t xml:space="preserve"> </w:t>
      </w:r>
      <w:r w:rsidRPr="00614FA9">
        <w:rPr>
          <w:rFonts w:cs="Arial"/>
          <w:sz w:val="16"/>
          <w:szCs w:val="16"/>
        </w:rPr>
        <w:t xml:space="preserve">A qualification component of less than 110 hours will not attract course unit credit or </w:t>
      </w:r>
      <w:r>
        <w:rPr>
          <w:rFonts w:cs="Arial"/>
          <w:sz w:val="16"/>
          <w:szCs w:val="16"/>
        </w:rPr>
        <w:t>convert</w:t>
      </w:r>
      <w:r w:rsidRPr="00614FA9">
        <w:rPr>
          <w:rFonts w:cs="Arial"/>
          <w:sz w:val="16"/>
          <w:szCs w:val="16"/>
        </w:rPr>
        <w:t xml:space="preserve"> to unit equivalence</w:t>
      </w:r>
      <w:r>
        <w:rPr>
          <w:rFonts w:cs="Arial"/>
          <w:sz w:val="16"/>
          <w:szCs w:val="16"/>
        </w:rPr>
        <w:t>.  Subsequent achievement of the qualification as VET credit transfer will attract unit equivalence as per the equivalence structure.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CD5" w:rsidRDefault="00196CD5" w:rsidP="00D14AA2">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229EE"/>
    <w:multiLevelType w:val="hybridMultilevel"/>
    <w:tmpl w:val="AE9044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6911245"/>
    <w:multiLevelType w:val="hybridMultilevel"/>
    <w:tmpl w:val="2190F3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8163FE3"/>
    <w:multiLevelType w:val="multilevel"/>
    <w:tmpl w:val="4C2CC38C"/>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DD"/>
    <w:rsid w:val="00027666"/>
    <w:rsid w:val="00070DE1"/>
    <w:rsid w:val="00196CD5"/>
    <w:rsid w:val="00265F4C"/>
    <w:rsid w:val="00272311"/>
    <w:rsid w:val="00405F7D"/>
    <w:rsid w:val="00432857"/>
    <w:rsid w:val="00453BBE"/>
    <w:rsid w:val="004F5283"/>
    <w:rsid w:val="00555303"/>
    <w:rsid w:val="005A29A9"/>
    <w:rsid w:val="008206D3"/>
    <w:rsid w:val="00A922D4"/>
    <w:rsid w:val="00A9685D"/>
    <w:rsid w:val="00AE00DD"/>
    <w:rsid w:val="00AF69EB"/>
    <w:rsid w:val="00BA6EDD"/>
    <w:rsid w:val="00C252BC"/>
    <w:rsid w:val="00D14AA2"/>
    <w:rsid w:val="00DF1D69"/>
    <w:rsid w:val="00FB7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E73DFF-A049-4A78-9B16-84D4E6EE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0DD"/>
    <w:pPr>
      <w:spacing w:after="160"/>
    </w:pPr>
    <w:rPr>
      <w:rFonts w:eastAsia="Times New Roman" w:cs="Times New Roman"/>
      <w:szCs w:val="24"/>
      <w:lang w:eastAsia="en-AU"/>
    </w:rPr>
  </w:style>
  <w:style w:type="paragraph" w:styleId="Heading1">
    <w:name w:val="heading 1"/>
    <w:basedOn w:val="Normal"/>
    <w:next w:val="Normal"/>
    <w:link w:val="Heading1Char"/>
    <w:qFormat/>
    <w:rsid w:val="00AE00DD"/>
    <w:pPr>
      <w:keepNext/>
      <w:spacing w:before="360" w:after="180"/>
      <w:outlineLvl w:val="0"/>
    </w:pPr>
    <w:rPr>
      <w:b/>
      <w:bCs/>
      <w:caps/>
      <w:color w:val="5D3972" w:themeColor="accent2"/>
      <w:kern w:val="32"/>
      <w:sz w:val="28"/>
      <w:szCs w:val="32"/>
    </w:rPr>
  </w:style>
  <w:style w:type="paragraph" w:styleId="Heading2">
    <w:name w:val="heading 2"/>
    <w:basedOn w:val="Normal"/>
    <w:next w:val="Normal"/>
    <w:link w:val="Heading2Char"/>
    <w:uiPriority w:val="9"/>
    <w:unhideWhenUsed/>
    <w:qFormat/>
    <w:rsid w:val="00BA6EDD"/>
    <w:pPr>
      <w:keepNext/>
      <w:keepLines/>
      <w:spacing w:before="240" w:after="60" w:line="264" w:lineRule="auto"/>
      <w:ind w:left="720"/>
      <w:outlineLvl w:val="1"/>
    </w:pPr>
    <w:rPr>
      <w:rFonts w:ascii="Arial Bold" w:hAnsi="Arial Bold"/>
      <w:bCs/>
      <w:caps/>
      <w:color w:val="595959"/>
      <w:sz w:val="2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0DD"/>
    <w:rPr>
      <w:rFonts w:eastAsia="Times New Roman" w:cs="Times New Roman"/>
      <w:b/>
      <w:bCs/>
      <w:caps/>
      <w:color w:val="5D3972" w:themeColor="accent2"/>
      <w:kern w:val="32"/>
      <w:sz w:val="28"/>
      <w:szCs w:val="32"/>
      <w:lang w:eastAsia="en-AU"/>
    </w:rPr>
  </w:style>
  <w:style w:type="character" w:customStyle="1" w:styleId="Heading2Char">
    <w:name w:val="Heading 2 Char"/>
    <w:basedOn w:val="DefaultParagraphFont"/>
    <w:link w:val="Heading2"/>
    <w:uiPriority w:val="9"/>
    <w:rsid w:val="00BA6EDD"/>
    <w:rPr>
      <w:rFonts w:ascii="Arial Bold" w:eastAsia="Times New Roman" w:hAnsi="Arial Bold" w:cs="Times New Roman"/>
      <w:bCs/>
      <w:caps/>
      <w:color w:val="595959"/>
      <w:sz w:val="20"/>
      <w:szCs w:val="26"/>
    </w:rPr>
  </w:style>
  <w:style w:type="character" w:styleId="CommentReference">
    <w:name w:val="annotation reference"/>
    <w:uiPriority w:val="99"/>
    <w:rsid w:val="00BA6EDD"/>
    <w:rPr>
      <w:sz w:val="16"/>
      <w:szCs w:val="16"/>
    </w:rPr>
  </w:style>
  <w:style w:type="paragraph" w:styleId="CommentText">
    <w:name w:val="annotation text"/>
    <w:basedOn w:val="Normal"/>
    <w:link w:val="CommentTextChar"/>
    <w:rsid w:val="00BA6EDD"/>
    <w:rPr>
      <w:sz w:val="20"/>
      <w:szCs w:val="20"/>
    </w:rPr>
  </w:style>
  <w:style w:type="character" w:customStyle="1" w:styleId="CommentTextChar">
    <w:name w:val="Comment Text Char"/>
    <w:basedOn w:val="DefaultParagraphFont"/>
    <w:link w:val="CommentText"/>
    <w:rsid w:val="00BA6EDD"/>
    <w:rPr>
      <w:rFonts w:ascii="Times New Roman" w:eastAsia="Times New Roman" w:hAnsi="Times New Roman" w:cs="Times New Roman"/>
      <w:sz w:val="20"/>
      <w:szCs w:val="20"/>
      <w:lang w:eastAsia="en-AU"/>
    </w:rPr>
  </w:style>
  <w:style w:type="paragraph" w:styleId="TOC3">
    <w:name w:val="toc 3"/>
    <w:basedOn w:val="Normal"/>
    <w:next w:val="Normal"/>
    <w:autoRedefine/>
    <w:uiPriority w:val="39"/>
    <w:unhideWhenUsed/>
    <w:qFormat/>
    <w:rsid w:val="00BA6EDD"/>
    <w:pPr>
      <w:spacing w:before="120"/>
      <w:ind w:left="482"/>
    </w:pPr>
    <w:rPr>
      <w:rFonts w:ascii="Calibri" w:hAnsi="Calibri"/>
      <w:i/>
      <w:iCs/>
      <w:sz w:val="20"/>
      <w:szCs w:val="20"/>
    </w:rPr>
  </w:style>
  <w:style w:type="paragraph" w:styleId="BalloonText">
    <w:name w:val="Balloon Text"/>
    <w:basedOn w:val="Normal"/>
    <w:link w:val="BalloonTextChar"/>
    <w:uiPriority w:val="99"/>
    <w:semiHidden/>
    <w:unhideWhenUsed/>
    <w:rsid w:val="00BA6EDD"/>
    <w:rPr>
      <w:rFonts w:ascii="Tahoma" w:hAnsi="Tahoma" w:cs="Tahoma"/>
      <w:sz w:val="16"/>
      <w:szCs w:val="16"/>
    </w:rPr>
  </w:style>
  <w:style w:type="character" w:customStyle="1" w:styleId="BalloonTextChar">
    <w:name w:val="Balloon Text Char"/>
    <w:basedOn w:val="DefaultParagraphFont"/>
    <w:link w:val="BalloonText"/>
    <w:uiPriority w:val="99"/>
    <w:semiHidden/>
    <w:rsid w:val="00BA6EDD"/>
    <w:rPr>
      <w:rFonts w:ascii="Tahoma" w:eastAsia="Times New Roman" w:hAnsi="Tahoma" w:cs="Tahoma"/>
      <w:sz w:val="16"/>
      <w:szCs w:val="16"/>
      <w:lang w:eastAsia="en-AU"/>
    </w:rPr>
  </w:style>
  <w:style w:type="paragraph" w:styleId="Header">
    <w:name w:val="header"/>
    <w:basedOn w:val="Normal"/>
    <w:link w:val="HeaderChar"/>
    <w:uiPriority w:val="99"/>
    <w:unhideWhenUsed/>
    <w:rsid w:val="00BA6EDD"/>
    <w:pPr>
      <w:tabs>
        <w:tab w:val="center" w:pos="4513"/>
        <w:tab w:val="right" w:pos="9026"/>
      </w:tabs>
    </w:pPr>
  </w:style>
  <w:style w:type="character" w:customStyle="1" w:styleId="HeaderChar">
    <w:name w:val="Header Char"/>
    <w:basedOn w:val="DefaultParagraphFont"/>
    <w:link w:val="Header"/>
    <w:uiPriority w:val="99"/>
    <w:rsid w:val="00BA6EDD"/>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BA6EDD"/>
    <w:pPr>
      <w:tabs>
        <w:tab w:val="center" w:pos="4513"/>
        <w:tab w:val="right" w:pos="9026"/>
      </w:tabs>
    </w:pPr>
  </w:style>
  <w:style w:type="character" w:customStyle="1" w:styleId="FooterChar">
    <w:name w:val="Footer Char"/>
    <w:basedOn w:val="DefaultParagraphFont"/>
    <w:link w:val="Footer"/>
    <w:uiPriority w:val="99"/>
    <w:rsid w:val="00BA6EDD"/>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unhideWhenUsed/>
    <w:rsid w:val="00BA6EDD"/>
    <w:rPr>
      <w:sz w:val="20"/>
      <w:szCs w:val="20"/>
    </w:rPr>
  </w:style>
  <w:style w:type="character" w:customStyle="1" w:styleId="FootnoteTextChar">
    <w:name w:val="Footnote Text Char"/>
    <w:basedOn w:val="DefaultParagraphFont"/>
    <w:link w:val="FootnoteText"/>
    <w:uiPriority w:val="99"/>
    <w:rsid w:val="00BA6EDD"/>
    <w:rPr>
      <w:rFonts w:ascii="Times New Roman" w:eastAsia="Times New Roman" w:hAnsi="Times New Roman" w:cs="Times New Roman"/>
      <w:sz w:val="20"/>
      <w:szCs w:val="20"/>
      <w:lang w:eastAsia="en-AU"/>
    </w:rPr>
  </w:style>
  <w:style w:type="character" w:styleId="FootnoteReference">
    <w:name w:val="footnote reference"/>
    <w:uiPriority w:val="99"/>
    <w:rsid w:val="00432857"/>
    <w:rPr>
      <w:vertAlign w:val="superscript"/>
    </w:rPr>
  </w:style>
  <w:style w:type="paragraph" w:styleId="ListParagraph">
    <w:name w:val="List Paragraph"/>
    <w:basedOn w:val="Normal"/>
    <w:uiPriority w:val="34"/>
    <w:qFormat/>
    <w:rsid w:val="00555303"/>
    <w:pPr>
      <w:ind w:left="720"/>
      <w:contextualSpacing/>
    </w:pPr>
  </w:style>
  <w:style w:type="table" w:styleId="GridTable4-Accent3">
    <w:name w:val="Grid Table 4 Accent 3"/>
    <w:basedOn w:val="TableNormal"/>
    <w:uiPriority w:val="49"/>
    <w:rsid w:val="00AE00DD"/>
    <w:pPr>
      <w:spacing w:after="0" w:line="240" w:lineRule="auto"/>
    </w:pPr>
    <w:tblPr>
      <w:tblStyleRowBandSize w:val="1"/>
      <w:tblStyleColBandSize w:val="1"/>
      <w:tbl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insideH w:val="single" w:sz="4" w:space="0" w:color="C3A9D3" w:themeColor="accent3" w:themeTint="99"/>
        <w:insideV w:val="single" w:sz="4" w:space="0" w:color="C3A9D3" w:themeColor="accent3" w:themeTint="99"/>
      </w:tblBorders>
    </w:tblPr>
    <w:tblStylePr w:type="firstRow">
      <w:rPr>
        <w:b/>
        <w:bCs/>
        <w:color w:val="FFFFFF" w:themeColor="background1"/>
      </w:rPr>
      <w:tblPr/>
      <w:tcPr>
        <w:tcBorders>
          <w:top w:val="single" w:sz="4" w:space="0" w:color="9C70B7" w:themeColor="accent3"/>
          <w:left w:val="single" w:sz="4" w:space="0" w:color="9C70B7" w:themeColor="accent3"/>
          <w:bottom w:val="single" w:sz="4" w:space="0" w:color="9C70B7" w:themeColor="accent3"/>
          <w:right w:val="single" w:sz="4" w:space="0" w:color="9C70B7" w:themeColor="accent3"/>
          <w:insideH w:val="nil"/>
          <w:insideV w:val="nil"/>
        </w:tcBorders>
        <w:shd w:val="clear" w:color="auto" w:fill="9C70B7" w:themeFill="accent3"/>
      </w:tcPr>
    </w:tblStylePr>
    <w:tblStylePr w:type="lastRow">
      <w:rPr>
        <w:b/>
        <w:bCs/>
      </w:rPr>
      <w:tblPr/>
      <w:tcPr>
        <w:tcBorders>
          <w:top w:val="double" w:sz="4" w:space="0" w:color="9C70B7" w:themeColor="accent3"/>
        </w:tcBorders>
      </w:tcPr>
    </w:tblStylePr>
    <w:tblStylePr w:type="firstCol">
      <w:rPr>
        <w:b/>
        <w:bCs/>
      </w:rPr>
    </w:tblStylePr>
    <w:tblStylePr w:type="lastCol">
      <w:rPr>
        <w:b/>
        <w:bCs/>
      </w:rPr>
    </w:tblStylePr>
    <w:tblStylePr w:type="band1Vert">
      <w:tblPr/>
      <w:tcPr>
        <w:shd w:val="clear" w:color="auto" w:fill="EBE2F0" w:themeFill="accent3" w:themeFillTint="33"/>
      </w:tcPr>
    </w:tblStylePr>
    <w:tblStylePr w:type="band1Horz">
      <w:tblPr/>
      <w:tcPr>
        <w:shd w:val="clear" w:color="auto" w:fill="EBE2F0"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E13C9-58C3-48F1-A4BB-AA331D84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Kiely</dc:creator>
  <cp:lastModifiedBy>Belinda Calvert</cp:lastModifiedBy>
  <cp:revision>19</cp:revision>
  <cp:lastPrinted>2017-11-15T05:04:00Z</cp:lastPrinted>
  <dcterms:created xsi:type="dcterms:W3CDTF">2014-11-07T04:09:00Z</dcterms:created>
  <dcterms:modified xsi:type="dcterms:W3CDTF">2017-11-15T05:05:00Z</dcterms:modified>
</cp:coreProperties>
</file>