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86D1" w14:textId="6F623686" w:rsidR="00A93F91" w:rsidRPr="00B766C7" w:rsidRDefault="00420218" w:rsidP="00AC1C10">
      <w:pPr>
        <w:pStyle w:val="SCSATitle1"/>
      </w:pPr>
      <w:r w:rsidRPr="00444B2F">
        <w:rPr>
          <w:noProof/>
        </w:rPr>
        <w:drawing>
          <wp:anchor distT="0" distB="0" distL="114300" distR="114300" simplePos="0" relativeHeight="251658239" behindDoc="1" locked="1" layoutInCell="1" allowOverlap="0" wp14:anchorId="268379B2" wp14:editId="7D551955">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61D3" w:rsidRPr="00B766C7">
        <w:t>Aboriginal and</w:t>
      </w:r>
      <w:r w:rsidR="003F69D0" w:rsidRPr="00B766C7">
        <w:t xml:space="preserve"> </w:t>
      </w:r>
      <w:r w:rsidR="00BC61D3" w:rsidRPr="00B766C7">
        <w:t>Intercultural Studies</w:t>
      </w:r>
    </w:p>
    <w:p w14:paraId="47C3B919" w14:textId="0B5AAFF0" w:rsidR="00AA2B0D" w:rsidRPr="00263DEE" w:rsidRDefault="00AA2B0D" w:rsidP="00AC1C10">
      <w:pPr>
        <w:pStyle w:val="SCSATitle2"/>
      </w:pPr>
      <w:r w:rsidRPr="00263DEE">
        <w:t xml:space="preserve">ATAR </w:t>
      </w:r>
      <w:r w:rsidR="00A50AF0" w:rsidRPr="00263DEE">
        <w:t>course</w:t>
      </w:r>
    </w:p>
    <w:p w14:paraId="43AFE36F" w14:textId="20780C50" w:rsidR="002C05E5" w:rsidRPr="00616036" w:rsidRDefault="00AA2B0D" w:rsidP="00AC1C10">
      <w:pPr>
        <w:pStyle w:val="SCSATitle3"/>
      </w:pPr>
      <w:r w:rsidRPr="00263DEE">
        <w:t>Year 11 syllabus</w:t>
      </w:r>
      <w:r w:rsidR="00AC1C10">
        <w:t xml:space="preserve"> </w:t>
      </w:r>
      <w:r w:rsidR="00AF7785">
        <w:t>f</w:t>
      </w:r>
      <w:r w:rsidR="007F2BBD" w:rsidRPr="00616036">
        <w:t>or teaching from 202</w:t>
      </w:r>
      <w:r w:rsidR="00F3703E">
        <w:t>6</w:t>
      </w:r>
      <w:r w:rsidR="002C05E5" w:rsidRPr="00616036">
        <w:br w:type="page"/>
      </w:r>
    </w:p>
    <w:p w14:paraId="636E8D5C" w14:textId="3C5C52E1" w:rsidR="007F2BBD" w:rsidRDefault="00080A2D" w:rsidP="007F2BBD">
      <w:pPr>
        <w:spacing w:after="80"/>
        <w:ind w:right="68"/>
        <w:jc w:val="both"/>
        <w:rPr>
          <w:b/>
        </w:rPr>
      </w:pPr>
      <w:r w:rsidRPr="00BC1B99">
        <w:rPr>
          <w:b/>
        </w:rPr>
        <w:lastRenderedPageBreak/>
        <w:t>Acknowledgement of Country</w:t>
      </w:r>
    </w:p>
    <w:p w14:paraId="11366028" w14:textId="77892572" w:rsidR="00080A2D" w:rsidRDefault="00080A2D" w:rsidP="00073F49">
      <w:pPr>
        <w:spacing w:after="5520"/>
      </w:pPr>
      <w:r>
        <w:t xml:space="preserve">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w:t>
      </w:r>
      <w:r w:rsidRPr="00616036">
        <w:t>community</w:t>
      </w:r>
      <w:r>
        <w:t>. We offer our respect to Elders past and present.</w:t>
      </w:r>
    </w:p>
    <w:p w14:paraId="346826D5" w14:textId="436D4A5C" w:rsidR="00E60268" w:rsidRPr="00D15642" w:rsidRDefault="009A6314" w:rsidP="00616036">
      <w:pPr>
        <w:rPr>
          <w:b/>
          <w:bCs/>
          <w:sz w:val="20"/>
          <w:szCs w:val="20"/>
        </w:rPr>
      </w:pPr>
      <w:r w:rsidRPr="00D15642">
        <w:rPr>
          <w:b/>
          <w:bCs/>
          <w:sz w:val="20"/>
          <w:szCs w:val="20"/>
        </w:rPr>
        <w:t>Important Information</w:t>
      </w:r>
    </w:p>
    <w:p w14:paraId="591F506E" w14:textId="77777777" w:rsidR="00073F49" w:rsidRPr="00F01DF6" w:rsidRDefault="00073F49" w:rsidP="00073F49">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15D7B75" w14:textId="77777777" w:rsidR="00073F49" w:rsidRPr="00F01DF6" w:rsidRDefault="00073F49" w:rsidP="00073F49">
      <w:pPr>
        <w:rPr>
          <w:sz w:val="20"/>
          <w:szCs w:val="20"/>
        </w:rPr>
      </w:pPr>
      <w:r w:rsidRPr="00F01DF6">
        <w:rPr>
          <w:sz w:val="20"/>
          <w:szCs w:val="20"/>
        </w:rPr>
        <w:t>This syllabus is effective from 1 January 2026.</w:t>
      </w:r>
    </w:p>
    <w:p w14:paraId="1A55F5C6" w14:textId="77777777" w:rsidR="00073F49" w:rsidRPr="00F01DF6" w:rsidRDefault="00073F49" w:rsidP="00073F49">
      <w:pPr>
        <w:rPr>
          <w:sz w:val="20"/>
          <w:szCs w:val="20"/>
        </w:rPr>
      </w:pPr>
      <w:r w:rsidRPr="00F01DF6">
        <w:rPr>
          <w:sz w:val="20"/>
          <w:szCs w:val="20"/>
        </w:rPr>
        <w:t>Users of this syllabus are responsible for checking its currency.</w:t>
      </w:r>
    </w:p>
    <w:p w14:paraId="6EC25E3B" w14:textId="77777777" w:rsidR="00073F49" w:rsidRPr="00F01DF6" w:rsidRDefault="00073F49" w:rsidP="00073F49">
      <w:pPr>
        <w:rPr>
          <w:sz w:val="20"/>
          <w:szCs w:val="20"/>
        </w:rPr>
      </w:pPr>
      <w:r w:rsidRPr="00F01DF6">
        <w:rPr>
          <w:sz w:val="20"/>
          <w:szCs w:val="20"/>
        </w:rPr>
        <w:t>Syllabuses are formally reviewed by the Authority on a cyclical basis, typically every five years.</w:t>
      </w:r>
    </w:p>
    <w:p w14:paraId="42E0B8D7" w14:textId="77777777" w:rsidR="00E60268" w:rsidRPr="007F2BBD" w:rsidRDefault="00E60268" w:rsidP="00950D99">
      <w:pPr>
        <w:ind w:right="68"/>
        <w:rPr>
          <w:b/>
          <w:sz w:val="20"/>
          <w:szCs w:val="20"/>
        </w:rPr>
      </w:pPr>
      <w:r w:rsidRPr="007F2BBD">
        <w:rPr>
          <w:b/>
          <w:sz w:val="20"/>
          <w:szCs w:val="20"/>
        </w:rPr>
        <w:t>Copyright</w:t>
      </w:r>
    </w:p>
    <w:p w14:paraId="2CFCF2F4" w14:textId="027CC40D" w:rsidR="00616036" w:rsidRPr="00B61BA9" w:rsidRDefault="00616036" w:rsidP="00616036">
      <w:pPr>
        <w:jc w:val="both"/>
        <w:rPr>
          <w:rFonts w:cstheme="minorHAnsi"/>
          <w:sz w:val="20"/>
          <w:szCs w:val="20"/>
          <w:lang w:val="en-GB"/>
        </w:rPr>
      </w:pPr>
      <w:r w:rsidRPr="00B61BA9">
        <w:rPr>
          <w:rFonts w:cstheme="minorHAnsi"/>
          <w:sz w:val="20"/>
          <w:szCs w:val="20"/>
          <w:lang w:val="en-GB"/>
        </w:rPr>
        <w:t>© School Curriculum and Standards Authority, 202</w:t>
      </w:r>
      <w:r w:rsidR="001C543C">
        <w:rPr>
          <w:rFonts w:cstheme="minorHAnsi"/>
          <w:sz w:val="20"/>
          <w:szCs w:val="20"/>
          <w:lang w:val="en-GB"/>
        </w:rPr>
        <w:t>5</w:t>
      </w:r>
    </w:p>
    <w:p w14:paraId="7F013EE6" w14:textId="77777777" w:rsidR="00616036" w:rsidRPr="00B61BA9" w:rsidRDefault="00616036" w:rsidP="0061603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DD6E999" w14:textId="77777777" w:rsidR="00616036" w:rsidRPr="00B61BA9" w:rsidRDefault="00616036" w:rsidP="0061603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733FC8B" w14:textId="71A32874" w:rsidR="00AC1C10" w:rsidRDefault="00616036">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bookmarkStart w:id="0" w:name="_Toc163828723"/>
      <w:bookmarkStart w:id="1" w:name="_Toc173315820"/>
      <w:r w:rsidR="00AC1C10" w:rsidRPr="00AC1C10">
        <w:rPr>
          <w:sz w:val="20"/>
          <w:szCs w:val="20"/>
        </w:rPr>
        <w:t>.</w:t>
      </w:r>
    </w:p>
    <w:p w14:paraId="3A5FEBB3" w14:textId="77777777" w:rsidR="00AC1C10" w:rsidRDefault="00AC1C10" w:rsidP="002C7AF8">
      <w:pPr>
        <w:sectPr w:rsidR="00AC1C10" w:rsidSect="00AC1C10">
          <w:footerReference w:type="even" r:id="rId10"/>
          <w:pgSz w:w="11906" w:h="16838"/>
          <w:pgMar w:top="1644" w:right="1418" w:bottom="1276" w:left="1418" w:header="680" w:footer="567" w:gutter="0"/>
          <w:pgNumType w:fmt="lowerRoman" w:start="1"/>
          <w:cols w:space="709"/>
          <w:docGrid w:linePitch="360"/>
        </w:sectPr>
      </w:pPr>
    </w:p>
    <w:p w14:paraId="1A0E6B16" w14:textId="15007B71" w:rsidR="00AA2B0D" w:rsidRPr="00AC1C10" w:rsidRDefault="00AA2B0D" w:rsidP="00AC1C10">
      <w:pPr>
        <w:pStyle w:val="SCSATOCHeading"/>
      </w:pPr>
      <w:r w:rsidRPr="00AC1C10">
        <w:lastRenderedPageBreak/>
        <w:t>Content</w:t>
      </w:r>
      <w:r w:rsidR="001D5CDA" w:rsidRPr="00AC1C10">
        <w:t>s</w:t>
      </w:r>
      <w:bookmarkEnd w:id="0"/>
      <w:bookmarkEnd w:id="1"/>
    </w:p>
    <w:p w14:paraId="32D6CA2A" w14:textId="7F430DA0" w:rsidR="00283643" w:rsidRDefault="00AC678D">
      <w:pPr>
        <w:pStyle w:val="TOC1"/>
        <w:rPr>
          <w:b w:val="0"/>
          <w:bCs w:val="0"/>
          <w:noProof/>
          <w:sz w:val="24"/>
          <w:szCs w:val="24"/>
        </w:rPr>
      </w:pPr>
      <w:r>
        <w:rPr>
          <w:b w:val="0"/>
          <w:bCs w:val="0"/>
          <w:noProof/>
        </w:rPr>
        <w:fldChar w:fldCharType="begin"/>
      </w:r>
      <w:r>
        <w:rPr>
          <w:b w:val="0"/>
          <w:bCs w:val="0"/>
          <w:noProof/>
        </w:rPr>
        <w:instrText xml:space="preserve"> TOC \h \z \t "Syllabus Appendix Heading 1,1,Syllabus Appendix Heading 2,2,SCSA Heading 1,1,SCSA Appendix Heading 1,1,SCSA Heading 2,2" </w:instrText>
      </w:r>
      <w:r>
        <w:rPr>
          <w:b w:val="0"/>
          <w:bCs w:val="0"/>
          <w:noProof/>
        </w:rPr>
        <w:fldChar w:fldCharType="separate"/>
      </w:r>
      <w:hyperlink w:anchor="_Toc219802571" w:history="1">
        <w:r w:rsidR="00283643" w:rsidRPr="004F3269">
          <w:rPr>
            <w:rStyle w:val="Hyperlink"/>
            <w:noProof/>
          </w:rPr>
          <w:t>Rationale</w:t>
        </w:r>
        <w:r w:rsidR="00283643">
          <w:rPr>
            <w:noProof/>
            <w:webHidden/>
          </w:rPr>
          <w:tab/>
        </w:r>
        <w:r w:rsidR="00283643">
          <w:rPr>
            <w:noProof/>
            <w:webHidden/>
          </w:rPr>
          <w:fldChar w:fldCharType="begin"/>
        </w:r>
        <w:r w:rsidR="00283643">
          <w:rPr>
            <w:noProof/>
            <w:webHidden/>
          </w:rPr>
          <w:instrText xml:space="preserve"> PAGEREF _Toc219802571 \h </w:instrText>
        </w:r>
        <w:r w:rsidR="00283643">
          <w:rPr>
            <w:noProof/>
            <w:webHidden/>
          </w:rPr>
        </w:r>
        <w:r w:rsidR="00283643">
          <w:rPr>
            <w:noProof/>
            <w:webHidden/>
          </w:rPr>
          <w:fldChar w:fldCharType="separate"/>
        </w:r>
        <w:r w:rsidR="00283643">
          <w:rPr>
            <w:noProof/>
            <w:webHidden/>
          </w:rPr>
          <w:t>1</w:t>
        </w:r>
        <w:r w:rsidR="00283643">
          <w:rPr>
            <w:noProof/>
            <w:webHidden/>
          </w:rPr>
          <w:fldChar w:fldCharType="end"/>
        </w:r>
      </w:hyperlink>
    </w:p>
    <w:p w14:paraId="75167F14" w14:textId="1363F4F5" w:rsidR="00283643" w:rsidRDefault="00283643">
      <w:pPr>
        <w:pStyle w:val="TOC1"/>
        <w:rPr>
          <w:b w:val="0"/>
          <w:bCs w:val="0"/>
          <w:noProof/>
          <w:sz w:val="24"/>
          <w:szCs w:val="24"/>
        </w:rPr>
      </w:pPr>
      <w:hyperlink w:anchor="_Toc219802572" w:history="1">
        <w:r w:rsidRPr="004F3269">
          <w:rPr>
            <w:rStyle w:val="Hyperlink"/>
            <w:noProof/>
          </w:rPr>
          <w:t>Aims</w:t>
        </w:r>
        <w:r>
          <w:rPr>
            <w:noProof/>
            <w:webHidden/>
          </w:rPr>
          <w:tab/>
        </w:r>
        <w:r>
          <w:rPr>
            <w:noProof/>
            <w:webHidden/>
          </w:rPr>
          <w:fldChar w:fldCharType="begin"/>
        </w:r>
        <w:r>
          <w:rPr>
            <w:noProof/>
            <w:webHidden/>
          </w:rPr>
          <w:instrText xml:space="preserve"> PAGEREF _Toc219802572 \h </w:instrText>
        </w:r>
        <w:r>
          <w:rPr>
            <w:noProof/>
            <w:webHidden/>
          </w:rPr>
        </w:r>
        <w:r>
          <w:rPr>
            <w:noProof/>
            <w:webHidden/>
          </w:rPr>
          <w:fldChar w:fldCharType="separate"/>
        </w:r>
        <w:r>
          <w:rPr>
            <w:noProof/>
            <w:webHidden/>
          </w:rPr>
          <w:t>2</w:t>
        </w:r>
        <w:r>
          <w:rPr>
            <w:noProof/>
            <w:webHidden/>
          </w:rPr>
          <w:fldChar w:fldCharType="end"/>
        </w:r>
      </w:hyperlink>
    </w:p>
    <w:p w14:paraId="7B161517" w14:textId="61D4FD35" w:rsidR="00283643" w:rsidRDefault="00283643">
      <w:pPr>
        <w:pStyle w:val="TOC1"/>
        <w:rPr>
          <w:b w:val="0"/>
          <w:bCs w:val="0"/>
          <w:noProof/>
          <w:sz w:val="24"/>
          <w:szCs w:val="24"/>
        </w:rPr>
      </w:pPr>
      <w:hyperlink w:anchor="_Toc219802573" w:history="1">
        <w:r w:rsidRPr="004F3269">
          <w:rPr>
            <w:rStyle w:val="Hyperlink"/>
            <w:noProof/>
          </w:rPr>
          <w:t>Organisation</w:t>
        </w:r>
        <w:r>
          <w:rPr>
            <w:noProof/>
            <w:webHidden/>
          </w:rPr>
          <w:tab/>
        </w:r>
        <w:r>
          <w:rPr>
            <w:noProof/>
            <w:webHidden/>
          </w:rPr>
          <w:fldChar w:fldCharType="begin"/>
        </w:r>
        <w:r>
          <w:rPr>
            <w:noProof/>
            <w:webHidden/>
          </w:rPr>
          <w:instrText xml:space="preserve"> PAGEREF _Toc219802573 \h </w:instrText>
        </w:r>
        <w:r>
          <w:rPr>
            <w:noProof/>
            <w:webHidden/>
          </w:rPr>
        </w:r>
        <w:r>
          <w:rPr>
            <w:noProof/>
            <w:webHidden/>
          </w:rPr>
          <w:fldChar w:fldCharType="separate"/>
        </w:r>
        <w:r>
          <w:rPr>
            <w:noProof/>
            <w:webHidden/>
          </w:rPr>
          <w:t>2</w:t>
        </w:r>
        <w:r>
          <w:rPr>
            <w:noProof/>
            <w:webHidden/>
          </w:rPr>
          <w:fldChar w:fldCharType="end"/>
        </w:r>
      </w:hyperlink>
    </w:p>
    <w:p w14:paraId="19340E77" w14:textId="5DB1E120" w:rsidR="00283643" w:rsidRDefault="00283643">
      <w:pPr>
        <w:pStyle w:val="TOC2"/>
        <w:rPr>
          <w:noProof/>
          <w:sz w:val="24"/>
          <w:szCs w:val="24"/>
        </w:rPr>
      </w:pPr>
      <w:hyperlink w:anchor="_Toc219802574" w:history="1">
        <w:r w:rsidRPr="004F3269">
          <w:rPr>
            <w:rStyle w:val="Hyperlink"/>
            <w:noProof/>
          </w:rPr>
          <w:t>Structure of the syllabus</w:t>
        </w:r>
        <w:r>
          <w:rPr>
            <w:noProof/>
            <w:webHidden/>
          </w:rPr>
          <w:tab/>
        </w:r>
        <w:r>
          <w:rPr>
            <w:noProof/>
            <w:webHidden/>
          </w:rPr>
          <w:fldChar w:fldCharType="begin"/>
        </w:r>
        <w:r>
          <w:rPr>
            <w:noProof/>
            <w:webHidden/>
          </w:rPr>
          <w:instrText xml:space="preserve"> PAGEREF _Toc219802574 \h </w:instrText>
        </w:r>
        <w:r>
          <w:rPr>
            <w:noProof/>
            <w:webHidden/>
          </w:rPr>
        </w:r>
        <w:r>
          <w:rPr>
            <w:noProof/>
            <w:webHidden/>
          </w:rPr>
          <w:fldChar w:fldCharType="separate"/>
        </w:r>
        <w:r>
          <w:rPr>
            <w:noProof/>
            <w:webHidden/>
          </w:rPr>
          <w:t>2</w:t>
        </w:r>
        <w:r>
          <w:rPr>
            <w:noProof/>
            <w:webHidden/>
          </w:rPr>
          <w:fldChar w:fldCharType="end"/>
        </w:r>
      </w:hyperlink>
    </w:p>
    <w:p w14:paraId="7D1BAF7D" w14:textId="540B2709" w:rsidR="00283643" w:rsidRDefault="00283643">
      <w:pPr>
        <w:pStyle w:val="TOC2"/>
        <w:rPr>
          <w:noProof/>
          <w:sz w:val="24"/>
          <w:szCs w:val="24"/>
        </w:rPr>
      </w:pPr>
      <w:hyperlink w:anchor="_Toc219802575" w:history="1">
        <w:r w:rsidRPr="004F3269">
          <w:rPr>
            <w:rStyle w:val="Hyperlink"/>
            <w:noProof/>
          </w:rPr>
          <w:t>Organisation of content</w:t>
        </w:r>
        <w:r>
          <w:rPr>
            <w:noProof/>
            <w:webHidden/>
          </w:rPr>
          <w:tab/>
        </w:r>
        <w:r>
          <w:rPr>
            <w:noProof/>
            <w:webHidden/>
          </w:rPr>
          <w:fldChar w:fldCharType="begin"/>
        </w:r>
        <w:r>
          <w:rPr>
            <w:noProof/>
            <w:webHidden/>
          </w:rPr>
          <w:instrText xml:space="preserve"> PAGEREF _Toc219802575 \h </w:instrText>
        </w:r>
        <w:r>
          <w:rPr>
            <w:noProof/>
            <w:webHidden/>
          </w:rPr>
        </w:r>
        <w:r>
          <w:rPr>
            <w:noProof/>
            <w:webHidden/>
          </w:rPr>
          <w:fldChar w:fldCharType="separate"/>
        </w:r>
        <w:r>
          <w:rPr>
            <w:noProof/>
            <w:webHidden/>
          </w:rPr>
          <w:t>3</w:t>
        </w:r>
        <w:r>
          <w:rPr>
            <w:noProof/>
            <w:webHidden/>
          </w:rPr>
          <w:fldChar w:fldCharType="end"/>
        </w:r>
      </w:hyperlink>
    </w:p>
    <w:p w14:paraId="2A283A75" w14:textId="5F3DC87A" w:rsidR="00283643" w:rsidRDefault="00283643">
      <w:pPr>
        <w:pStyle w:val="TOC2"/>
        <w:rPr>
          <w:noProof/>
          <w:sz w:val="24"/>
          <w:szCs w:val="24"/>
        </w:rPr>
      </w:pPr>
      <w:hyperlink w:anchor="_Toc219802576" w:history="1">
        <w:r w:rsidRPr="004F3269">
          <w:rPr>
            <w:rStyle w:val="Hyperlink"/>
            <w:noProof/>
          </w:rPr>
          <w:t>Progression from the Years 7–10 curriculum</w:t>
        </w:r>
        <w:r>
          <w:rPr>
            <w:noProof/>
            <w:webHidden/>
          </w:rPr>
          <w:tab/>
        </w:r>
        <w:r>
          <w:rPr>
            <w:noProof/>
            <w:webHidden/>
          </w:rPr>
          <w:fldChar w:fldCharType="begin"/>
        </w:r>
        <w:r>
          <w:rPr>
            <w:noProof/>
            <w:webHidden/>
          </w:rPr>
          <w:instrText xml:space="preserve"> PAGEREF _Toc219802576 \h </w:instrText>
        </w:r>
        <w:r>
          <w:rPr>
            <w:noProof/>
            <w:webHidden/>
          </w:rPr>
        </w:r>
        <w:r>
          <w:rPr>
            <w:noProof/>
            <w:webHidden/>
          </w:rPr>
          <w:fldChar w:fldCharType="separate"/>
        </w:r>
        <w:r>
          <w:rPr>
            <w:noProof/>
            <w:webHidden/>
          </w:rPr>
          <w:t>3</w:t>
        </w:r>
        <w:r>
          <w:rPr>
            <w:noProof/>
            <w:webHidden/>
          </w:rPr>
          <w:fldChar w:fldCharType="end"/>
        </w:r>
      </w:hyperlink>
    </w:p>
    <w:p w14:paraId="645771A5" w14:textId="322AC676" w:rsidR="00283643" w:rsidRDefault="00283643">
      <w:pPr>
        <w:pStyle w:val="TOC2"/>
        <w:rPr>
          <w:noProof/>
          <w:sz w:val="24"/>
          <w:szCs w:val="24"/>
        </w:rPr>
      </w:pPr>
      <w:hyperlink w:anchor="_Toc219802577" w:history="1">
        <w:r w:rsidRPr="004F3269">
          <w:rPr>
            <w:rStyle w:val="Hyperlink"/>
            <w:noProof/>
          </w:rPr>
          <w:t>Representation of the General Capabilities</w:t>
        </w:r>
        <w:r>
          <w:rPr>
            <w:noProof/>
            <w:webHidden/>
          </w:rPr>
          <w:tab/>
        </w:r>
        <w:r>
          <w:rPr>
            <w:noProof/>
            <w:webHidden/>
          </w:rPr>
          <w:fldChar w:fldCharType="begin"/>
        </w:r>
        <w:r>
          <w:rPr>
            <w:noProof/>
            <w:webHidden/>
          </w:rPr>
          <w:instrText xml:space="preserve"> PAGEREF _Toc219802577 \h </w:instrText>
        </w:r>
        <w:r>
          <w:rPr>
            <w:noProof/>
            <w:webHidden/>
          </w:rPr>
        </w:r>
        <w:r>
          <w:rPr>
            <w:noProof/>
            <w:webHidden/>
          </w:rPr>
          <w:fldChar w:fldCharType="separate"/>
        </w:r>
        <w:r>
          <w:rPr>
            <w:noProof/>
            <w:webHidden/>
          </w:rPr>
          <w:t>3</w:t>
        </w:r>
        <w:r>
          <w:rPr>
            <w:noProof/>
            <w:webHidden/>
          </w:rPr>
          <w:fldChar w:fldCharType="end"/>
        </w:r>
      </w:hyperlink>
    </w:p>
    <w:p w14:paraId="09AFAA4D" w14:textId="2EE812CA" w:rsidR="00283643" w:rsidRDefault="00283643">
      <w:pPr>
        <w:pStyle w:val="TOC2"/>
        <w:rPr>
          <w:noProof/>
          <w:sz w:val="24"/>
          <w:szCs w:val="24"/>
        </w:rPr>
      </w:pPr>
      <w:hyperlink w:anchor="_Toc219802578" w:history="1">
        <w:r w:rsidRPr="004F3269">
          <w:rPr>
            <w:rStyle w:val="Hyperlink"/>
            <w:noProof/>
          </w:rPr>
          <w:t>Representation of the Cross-curriculum Priorities</w:t>
        </w:r>
        <w:r>
          <w:rPr>
            <w:noProof/>
            <w:webHidden/>
          </w:rPr>
          <w:tab/>
        </w:r>
        <w:r>
          <w:rPr>
            <w:noProof/>
            <w:webHidden/>
          </w:rPr>
          <w:fldChar w:fldCharType="begin"/>
        </w:r>
        <w:r>
          <w:rPr>
            <w:noProof/>
            <w:webHidden/>
          </w:rPr>
          <w:instrText xml:space="preserve"> PAGEREF _Toc219802578 \h </w:instrText>
        </w:r>
        <w:r>
          <w:rPr>
            <w:noProof/>
            <w:webHidden/>
          </w:rPr>
        </w:r>
        <w:r>
          <w:rPr>
            <w:noProof/>
            <w:webHidden/>
          </w:rPr>
          <w:fldChar w:fldCharType="separate"/>
        </w:r>
        <w:r>
          <w:rPr>
            <w:noProof/>
            <w:webHidden/>
          </w:rPr>
          <w:t>5</w:t>
        </w:r>
        <w:r>
          <w:rPr>
            <w:noProof/>
            <w:webHidden/>
          </w:rPr>
          <w:fldChar w:fldCharType="end"/>
        </w:r>
      </w:hyperlink>
    </w:p>
    <w:p w14:paraId="3324F9E8" w14:textId="7697CFDC" w:rsidR="00283643" w:rsidRDefault="00283643">
      <w:pPr>
        <w:pStyle w:val="TOC1"/>
        <w:rPr>
          <w:b w:val="0"/>
          <w:bCs w:val="0"/>
          <w:noProof/>
          <w:sz w:val="24"/>
          <w:szCs w:val="24"/>
        </w:rPr>
      </w:pPr>
      <w:hyperlink w:anchor="_Toc219802579" w:history="1">
        <w:r w:rsidRPr="004F3269">
          <w:rPr>
            <w:rStyle w:val="Hyperlink"/>
            <w:noProof/>
          </w:rPr>
          <w:t>Principles and protocols for teaching and learning</w:t>
        </w:r>
        <w:r>
          <w:rPr>
            <w:noProof/>
            <w:webHidden/>
          </w:rPr>
          <w:tab/>
        </w:r>
        <w:r>
          <w:rPr>
            <w:noProof/>
            <w:webHidden/>
          </w:rPr>
          <w:fldChar w:fldCharType="begin"/>
        </w:r>
        <w:r>
          <w:rPr>
            <w:noProof/>
            <w:webHidden/>
          </w:rPr>
          <w:instrText xml:space="preserve"> PAGEREF _Toc219802579 \h </w:instrText>
        </w:r>
        <w:r>
          <w:rPr>
            <w:noProof/>
            <w:webHidden/>
          </w:rPr>
        </w:r>
        <w:r>
          <w:rPr>
            <w:noProof/>
            <w:webHidden/>
          </w:rPr>
          <w:fldChar w:fldCharType="separate"/>
        </w:r>
        <w:r>
          <w:rPr>
            <w:noProof/>
            <w:webHidden/>
          </w:rPr>
          <w:t>6</w:t>
        </w:r>
        <w:r>
          <w:rPr>
            <w:noProof/>
            <w:webHidden/>
          </w:rPr>
          <w:fldChar w:fldCharType="end"/>
        </w:r>
      </w:hyperlink>
    </w:p>
    <w:p w14:paraId="2C93FA05" w14:textId="6FB5FB13" w:rsidR="00283643" w:rsidRDefault="00283643">
      <w:pPr>
        <w:pStyle w:val="TOC2"/>
        <w:rPr>
          <w:noProof/>
          <w:sz w:val="24"/>
          <w:szCs w:val="24"/>
        </w:rPr>
      </w:pPr>
      <w:hyperlink w:anchor="_Toc219802580" w:history="1">
        <w:r w:rsidRPr="004F3269">
          <w:rPr>
            <w:rStyle w:val="Hyperlink"/>
            <w:noProof/>
            <w:lang w:eastAsia="en-AU"/>
          </w:rPr>
          <w:t>Cultural safety and responsiveness</w:t>
        </w:r>
        <w:r>
          <w:rPr>
            <w:noProof/>
            <w:webHidden/>
          </w:rPr>
          <w:tab/>
        </w:r>
        <w:r>
          <w:rPr>
            <w:noProof/>
            <w:webHidden/>
          </w:rPr>
          <w:fldChar w:fldCharType="begin"/>
        </w:r>
        <w:r>
          <w:rPr>
            <w:noProof/>
            <w:webHidden/>
          </w:rPr>
          <w:instrText xml:space="preserve"> PAGEREF _Toc219802580 \h </w:instrText>
        </w:r>
        <w:r>
          <w:rPr>
            <w:noProof/>
            <w:webHidden/>
          </w:rPr>
        </w:r>
        <w:r>
          <w:rPr>
            <w:noProof/>
            <w:webHidden/>
          </w:rPr>
          <w:fldChar w:fldCharType="separate"/>
        </w:r>
        <w:r>
          <w:rPr>
            <w:noProof/>
            <w:webHidden/>
          </w:rPr>
          <w:t>6</w:t>
        </w:r>
        <w:r>
          <w:rPr>
            <w:noProof/>
            <w:webHidden/>
          </w:rPr>
          <w:fldChar w:fldCharType="end"/>
        </w:r>
      </w:hyperlink>
    </w:p>
    <w:p w14:paraId="43EB6942" w14:textId="1FC69F25" w:rsidR="00283643" w:rsidRDefault="00283643">
      <w:pPr>
        <w:pStyle w:val="TOC2"/>
        <w:rPr>
          <w:noProof/>
          <w:sz w:val="24"/>
          <w:szCs w:val="24"/>
        </w:rPr>
      </w:pPr>
      <w:hyperlink w:anchor="_Toc219802581" w:history="1">
        <w:r w:rsidRPr="004F3269">
          <w:rPr>
            <w:rStyle w:val="Hyperlink"/>
            <w:noProof/>
            <w:lang w:eastAsia="en-AU"/>
          </w:rPr>
          <w:t>Historic terminology</w:t>
        </w:r>
        <w:r>
          <w:rPr>
            <w:noProof/>
            <w:webHidden/>
          </w:rPr>
          <w:tab/>
        </w:r>
        <w:r>
          <w:rPr>
            <w:noProof/>
            <w:webHidden/>
          </w:rPr>
          <w:fldChar w:fldCharType="begin"/>
        </w:r>
        <w:r>
          <w:rPr>
            <w:noProof/>
            <w:webHidden/>
          </w:rPr>
          <w:instrText xml:space="preserve"> PAGEREF _Toc219802581 \h </w:instrText>
        </w:r>
        <w:r>
          <w:rPr>
            <w:noProof/>
            <w:webHidden/>
          </w:rPr>
        </w:r>
        <w:r>
          <w:rPr>
            <w:noProof/>
            <w:webHidden/>
          </w:rPr>
          <w:fldChar w:fldCharType="separate"/>
        </w:r>
        <w:r>
          <w:rPr>
            <w:noProof/>
            <w:webHidden/>
          </w:rPr>
          <w:t>6</w:t>
        </w:r>
        <w:r>
          <w:rPr>
            <w:noProof/>
            <w:webHidden/>
          </w:rPr>
          <w:fldChar w:fldCharType="end"/>
        </w:r>
      </w:hyperlink>
    </w:p>
    <w:p w14:paraId="3931E1D8" w14:textId="6184D610" w:rsidR="00283643" w:rsidRDefault="00283643">
      <w:pPr>
        <w:pStyle w:val="TOC2"/>
        <w:rPr>
          <w:noProof/>
          <w:sz w:val="24"/>
          <w:szCs w:val="24"/>
        </w:rPr>
      </w:pPr>
      <w:hyperlink w:anchor="_Toc219802582" w:history="1">
        <w:r w:rsidRPr="004F3269">
          <w:rPr>
            <w:rStyle w:val="Hyperlink"/>
            <w:noProof/>
            <w:lang w:eastAsia="en-AU"/>
          </w:rPr>
          <w:t>Teaching and learning program</w:t>
        </w:r>
        <w:r>
          <w:rPr>
            <w:noProof/>
            <w:webHidden/>
          </w:rPr>
          <w:tab/>
        </w:r>
        <w:r>
          <w:rPr>
            <w:noProof/>
            <w:webHidden/>
          </w:rPr>
          <w:fldChar w:fldCharType="begin"/>
        </w:r>
        <w:r>
          <w:rPr>
            <w:noProof/>
            <w:webHidden/>
          </w:rPr>
          <w:instrText xml:space="preserve"> PAGEREF _Toc219802582 \h </w:instrText>
        </w:r>
        <w:r>
          <w:rPr>
            <w:noProof/>
            <w:webHidden/>
          </w:rPr>
        </w:r>
        <w:r>
          <w:rPr>
            <w:noProof/>
            <w:webHidden/>
          </w:rPr>
          <w:fldChar w:fldCharType="separate"/>
        </w:r>
        <w:r>
          <w:rPr>
            <w:noProof/>
            <w:webHidden/>
          </w:rPr>
          <w:t>6</w:t>
        </w:r>
        <w:r>
          <w:rPr>
            <w:noProof/>
            <w:webHidden/>
          </w:rPr>
          <w:fldChar w:fldCharType="end"/>
        </w:r>
      </w:hyperlink>
    </w:p>
    <w:p w14:paraId="49B1DF47" w14:textId="011A186C" w:rsidR="00283643" w:rsidRDefault="00283643">
      <w:pPr>
        <w:pStyle w:val="TOC1"/>
        <w:rPr>
          <w:b w:val="0"/>
          <w:bCs w:val="0"/>
          <w:noProof/>
          <w:sz w:val="24"/>
          <w:szCs w:val="24"/>
        </w:rPr>
      </w:pPr>
      <w:hyperlink w:anchor="_Toc219802583" w:history="1">
        <w:r w:rsidRPr="004F3269">
          <w:rPr>
            <w:rStyle w:val="Hyperlink"/>
            <w:noProof/>
          </w:rPr>
          <w:t>Unit 1</w:t>
        </w:r>
        <w:r>
          <w:rPr>
            <w:noProof/>
            <w:webHidden/>
          </w:rPr>
          <w:tab/>
        </w:r>
        <w:r>
          <w:rPr>
            <w:noProof/>
            <w:webHidden/>
          </w:rPr>
          <w:fldChar w:fldCharType="begin"/>
        </w:r>
        <w:r>
          <w:rPr>
            <w:noProof/>
            <w:webHidden/>
          </w:rPr>
          <w:instrText xml:space="preserve"> PAGEREF _Toc219802583 \h </w:instrText>
        </w:r>
        <w:r>
          <w:rPr>
            <w:noProof/>
            <w:webHidden/>
          </w:rPr>
        </w:r>
        <w:r>
          <w:rPr>
            <w:noProof/>
            <w:webHidden/>
          </w:rPr>
          <w:fldChar w:fldCharType="separate"/>
        </w:r>
        <w:r>
          <w:rPr>
            <w:noProof/>
            <w:webHidden/>
          </w:rPr>
          <w:t>8</w:t>
        </w:r>
        <w:r>
          <w:rPr>
            <w:noProof/>
            <w:webHidden/>
          </w:rPr>
          <w:fldChar w:fldCharType="end"/>
        </w:r>
      </w:hyperlink>
    </w:p>
    <w:p w14:paraId="47CF8F65" w14:textId="44F745DB" w:rsidR="00283643" w:rsidRDefault="00283643">
      <w:pPr>
        <w:pStyle w:val="TOC2"/>
        <w:rPr>
          <w:noProof/>
          <w:sz w:val="24"/>
          <w:szCs w:val="24"/>
        </w:rPr>
      </w:pPr>
      <w:hyperlink w:anchor="_Toc219802584" w:history="1">
        <w:r w:rsidRPr="004F3269">
          <w:rPr>
            <w:rStyle w:val="Hyperlink"/>
            <w:noProof/>
          </w:rPr>
          <w:t>Unit description</w:t>
        </w:r>
        <w:r>
          <w:rPr>
            <w:noProof/>
            <w:webHidden/>
          </w:rPr>
          <w:tab/>
        </w:r>
        <w:r>
          <w:rPr>
            <w:noProof/>
            <w:webHidden/>
          </w:rPr>
          <w:fldChar w:fldCharType="begin"/>
        </w:r>
        <w:r>
          <w:rPr>
            <w:noProof/>
            <w:webHidden/>
          </w:rPr>
          <w:instrText xml:space="preserve"> PAGEREF _Toc219802584 \h </w:instrText>
        </w:r>
        <w:r>
          <w:rPr>
            <w:noProof/>
            <w:webHidden/>
          </w:rPr>
        </w:r>
        <w:r>
          <w:rPr>
            <w:noProof/>
            <w:webHidden/>
          </w:rPr>
          <w:fldChar w:fldCharType="separate"/>
        </w:r>
        <w:r>
          <w:rPr>
            <w:noProof/>
            <w:webHidden/>
          </w:rPr>
          <w:t>8</w:t>
        </w:r>
        <w:r>
          <w:rPr>
            <w:noProof/>
            <w:webHidden/>
          </w:rPr>
          <w:fldChar w:fldCharType="end"/>
        </w:r>
      </w:hyperlink>
    </w:p>
    <w:p w14:paraId="00BCDF0D" w14:textId="6EDB415D" w:rsidR="00283643" w:rsidRDefault="00283643">
      <w:pPr>
        <w:pStyle w:val="TOC2"/>
        <w:rPr>
          <w:noProof/>
          <w:sz w:val="24"/>
          <w:szCs w:val="24"/>
        </w:rPr>
      </w:pPr>
      <w:hyperlink w:anchor="_Toc219802585" w:history="1">
        <w:r w:rsidRPr="004F3269">
          <w:rPr>
            <w:rStyle w:val="Hyperlink"/>
            <w:noProof/>
          </w:rPr>
          <w:t>Unit content</w:t>
        </w:r>
        <w:r>
          <w:rPr>
            <w:noProof/>
            <w:webHidden/>
          </w:rPr>
          <w:tab/>
        </w:r>
        <w:r>
          <w:rPr>
            <w:noProof/>
            <w:webHidden/>
          </w:rPr>
          <w:fldChar w:fldCharType="begin"/>
        </w:r>
        <w:r>
          <w:rPr>
            <w:noProof/>
            <w:webHidden/>
          </w:rPr>
          <w:instrText xml:space="preserve"> PAGEREF _Toc219802585 \h </w:instrText>
        </w:r>
        <w:r>
          <w:rPr>
            <w:noProof/>
            <w:webHidden/>
          </w:rPr>
        </w:r>
        <w:r>
          <w:rPr>
            <w:noProof/>
            <w:webHidden/>
          </w:rPr>
          <w:fldChar w:fldCharType="separate"/>
        </w:r>
        <w:r>
          <w:rPr>
            <w:noProof/>
            <w:webHidden/>
          </w:rPr>
          <w:t>8</w:t>
        </w:r>
        <w:r>
          <w:rPr>
            <w:noProof/>
            <w:webHidden/>
          </w:rPr>
          <w:fldChar w:fldCharType="end"/>
        </w:r>
      </w:hyperlink>
    </w:p>
    <w:p w14:paraId="68C5A287" w14:textId="5C450FE5" w:rsidR="00283643" w:rsidRDefault="00283643">
      <w:pPr>
        <w:pStyle w:val="TOC1"/>
        <w:rPr>
          <w:b w:val="0"/>
          <w:bCs w:val="0"/>
          <w:noProof/>
          <w:sz w:val="24"/>
          <w:szCs w:val="24"/>
        </w:rPr>
      </w:pPr>
      <w:hyperlink w:anchor="_Toc219802586" w:history="1">
        <w:r w:rsidRPr="004F3269">
          <w:rPr>
            <w:rStyle w:val="Hyperlink"/>
            <w:noProof/>
          </w:rPr>
          <w:t>Unit 2</w:t>
        </w:r>
        <w:r>
          <w:rPr>
            <w:noProof/>
            <w:webHidden/>
          </w:rPr>
          <w:tab/>
        </w:r>
        <w:r>
          <w:rPr>
            <w:noProof/>
            <w:webHidden/>
          </w:rPr>
          <w:fldChar w:fldCharType="begin"/>
        </w:r>
        <w:r>
          <w:rPr>
            <w:noProof/>
            <w:webHidden/>
          </w:rPr>
          <w:instrText xml:space="preserve"> PAGEREF _Toc219802586 \h </w:instrText>
        </w:r>
        <w:r>
          <w:rPr>
            <w:noProof/>
            <w:webHidden/>
          </w:rPr>
        </w:r>
        <w:r>
          <w:rPr>
            <w:noProof/>
            <w:webHidden/>
          </w:rPr>
          <w:fldChar w:fldCharType="separate"/>
        </w:r>
        <w:r>
          <w:rPr>
            <w:noProof/>
            <w:webHidden/>
          </w:rPr>
          <w:t>11</w:t>
        </w:r>
        <w:r>
          <w:rPr>
            <w:noProof/>
            <w:webHidden/>
          </w:rPr>
          <w:fldChar w:fldCharType="end"/>
        </w:r>
      </w:hyperlink>
    </w:p>
    <w:p w14:paraId="00F906B7" w14:textId="1F0BBA79" w:rsidR="00283643" w:rsidRDefault="00283643">
      <w:pPr>
        <w:pStyle w:val="TOC2"/>
        <w:rPr>
          <w:noProof/>
          <w:sz w:val="24"/>
          <w:szCs w:val="24"/>
        </w:rPr>
      </w:pPr>
      <w:hyperlink w:anchor="_Toc219802587" w:history="1">
        <w:r w:rsidRPr="004F3269">
          <w:rPr>
            <w:rStyle w:val="Hyperlink"/>
            <w:noProof/>
          </w:rPr>
          <w:t>Unit description</w:t>
        </w:r>
        <w:r>
          <w:rPr>
            <w:noProof/>
            <w:webHidden/>
          </w:rPr>
          <w:tab/>
        </w:r>
        <w:r>
          <w:rPr>
            <w:noProof/>
            <w:webHidden/>
          </w:rPr>
          <w:fldChar w:fldCharType="begin"/>
        </w:r>
        <w:r>
          <w:rPr>
            <w:noProof/>
            <w:webHidden/>
          </w:rPr>
          <w:instrText xml:space="preserve"> PAGEREF _Toc219802587 \h </w:instrText>
        </w:r>
        <w:r>
          <w:rPr>
            <w:noProof/>
            <w:webHidden/>
          </w:rPr>
        </w:r>
        <w:r>
          <w:rPr>
            <w:noProof/>
            <w:webHidden/>
          </w:rPr>
          <w:fldChar w:fldCharType="separate"/>
        </w:r>
        <w:r>
          <w:rPr>
            <w:noProof/>
            <w:webHidden/>
          </w:rPr>
          <w:t>11</w:t>
        </w:r>
        <w:r>
          <w:rPr>
            <w:noProof/>
            <w:webHidden/>
          </w:rPr>
          <w:fldChar w:fldCharType="end"/>
        </w:r>
      </w:hyperlink>
    </w:p>
    <w:p w14:paraId="6C83481C" w14:textId="579E1D2F" w:rsidR="00283643" w:rsidRDefault="00283643">
      <w:pPr>
        <w:pStyle w:val="TOC2"/>
        <w:rPr>
          <w:noProof/>
          <w:sz w:val="24"/>
          <w:szCs w:val="24"/>
        </w:rPr>
      </w:pPr>
      <w:hyperlink w:anchor="_Toc219802588" w:history="1">
        <w:r w:rsidRPr="004F3269">
          <w:rPr>
            <w:rStyle w:val="Hyperlink"/>
            <w:noProof/>
          </w:rPr>
          <w:t>Unit content</w:t>
        </w:r>
        <w:r>
          <w:rPr>
            <w:noProof/>
            <w:webHidden/>
          </w:rPr>
          <w:tab/>
        </w:r>
        <w:r>
          <w:rPr>
            <w:noProof/>
            <w:webHidden/>
          </w:rPr>
          <w:fldChar w:fldCharType="begin"/>
        </w:r>
        <w:r>
          <w:rPr>
            <w:noProof/>
            <w:webHidden/>
          </w:rPr>
          <w:instrText xml:space="preserve"> PAGEREF _Toc219802588 \h </w:instrText>
        </w:r>
        <w:r>
          <w:rPr>
            <w:noProof/>
            <w:webHidden/>
          </w:rPr>
        </w:r>
        <w:r>
          <w:rPr>
            <w:noProof/>
            <w:webHidden/>
          </w:rPr>
          <w:fldChar w:fldCharType="separate"/>
        </w:r>
        <w:r>
          <w:rPr>
            <w:noProof/>
            <w:webHidden/>
          </w:rPr>
          <w:t>11</w:t>
        </w:r>
        <w:r>
          <w:rPr>
            <w:noProof/>
            <w:webHidden/>
          </w:rPr>
          <w:fldChar w:fldCharType="end"/>
        </w:r>
      </w:hyperlink>
    </w:p>
    <w:p w14:paraId="03724BC5" w14:textId="11985B9C" w:rsidR="00283643" w:rsidRDefault="00283643">
      <w:pPr>
        <w:pStyle w:val="TOC1"/>
        <w:rPr>
          <w:b w:val="0"/>
          <w:bCs w:val="0"/>
          <w:noProof/>
          <w:sz w:val="24"/>
          <w:szCs w:val="24"/>
        </w:rPr>
      </w:pPr>
      <w:hyperlink w:anchor="_Toc219802589" w:history="1">
        <w:r w:rsidRPr="004F3269">
          <w:rPr>
            <w:rStyle w:val="Hyperlink"/>
            <w:noProof/>
          </w:rPr>
          <w:t>Assessment</w:t>
        </w:r>
        <w:r>
          <w:rPr>
            <w:noProof/>
            <w:webHidden/>
          </w:rPr>
          <w:tab/>
        </w:r>
        <w:r>
          <w:rPr>
            <w:noProof/>
            <w:webHidden/>
          </w:rPr>
          <w:fldChar w:fldCharType="begin"/>
        </w:r>
        <w:r>
          <w:rPr>
            <w:noProof/>
            <w:webHidden/>
          </w:rPr>
          <w:instrText xml:space="preserve"> PAGEREF _Toc219802589 \h </w:instrText>
        </w:r>
        <w:r>
          <w:rPr>
            <w:noProof/>
            <w:webHidden/>
          </w:rPr>
        </w:r>
        <w:r>
          <w:rPr>
            <w:noProof/>
            <w:webHidden/>
          </w:rPr>
          <w:fldChar w:fldCharType="separate"/>
        </w:r>
        <w:r>
          <w:rPr>
            <w:noProof/>
            <w:webHidden/>
          </w:rPr>
          <w:t>15</w:t>
        </w:r>
        <w:r>
          <w:rPr>
            <w:noProof/>
            <w:webHidden/>
          </w:rPr>
          <w:fldChar w:fldCharType="end"/>
        </w:r>
      </w:hyperlink>
    </w:p>
    <w:p w14:paraId="52D16B4E" w14:textId="04F3E376" w:rsidR="00283643" w:rsidRDefault="00283643">
      <w:pPr>
        <w:pStyle w:val="TOC2"/>
        <w:rPr>
          <w:noProof/>
          <w:sz w:val="24"/>
          <w:szCs w:val="24"/>
        </w:rPr>
      </w:pPr>
      <w:hyperlink w:anchor="_Toc219802590" w:history="1">
        <w:r w:rsidRPr="004F3269">
          <w:rPr>
            <w:rStyle w:val="Hyperlink"/>
            <w:noProof/>
          </w:rPr>
          <w:t>School-based assessment</w:t>
        </w:r>
        <w:r>
          <w:rPr>
            <w:noProof/>
            <w:webHidden/>
          </w:rPr>
          <w:tab/>
        </w:r>
        <w:r>
          <w:rPr>
            <w:noProof/>
            <w:webHidden/>
          </w:rPr>
          <w:fldChar w:fldCharType="begin"/>
        </w:r>
        <w:r>
          <w:rPr>
            <w:noProof/>
            <w:webHidden/>
          </w:rPr>
          <w:instrText xml:space="preserve"> PAGEREF _Toc219802590 \h </w:instrText>
        </w:r>
        <w:r>
          <w:rPr>
            <w:noProof/>
            <w:webHidden/>
          </w:rPr>
        </w:r>
        <w:r>
          <w:rPr>
            <w:noProof/>
            <w:webHidden/>
          </w:rPr>
          <w:fldChar w:fldCharType="separate"/>
        </w:r>
        <w:r>
          <w:rPr>
            <w:noProof/>
            <w:webHidden/>
          </w:rPr>
          <w:t>16</w:t>
        </w:r>
        <w:r>
          <w:rPr>
            <w:noProof/>
            <w:webHidden/>
          </w:rPr>
          <w:fldChar w:fldCharType="end"/>
        </w:r>
      </w:hyperlink>
    </w:p>
    <w:p w14:paraId="470E65A7" w14:textId="46005F6F" w:rsidR="00283643" w:rsidRDefault="00283643">
      <w:pPr>
        <w:pStyle w:val="TOC2"/>
        <w:rPr>
          <w:noProof/>
          <w:sz w:val="24"/>
          <w:szCs w:val="24"/>
        </w:rPr>
      </w:pPr>
      <w:hyperlink w:anchor="_Toc219802591" w:history="1">
        <w:r w:rsidRPr="004F3269">
          <w:rPr>
            <w:rStyle w:val="Hyperlink"/>
            <w:noProof/>
          </w:rPr>
          <w:t>Assessment table – Year 11</w:t>
        </w:r>
        <w:r>
          <w:rPr>
            <w:noProof/>
            <w:webHidden/>
          </w:rPr>
          <w:tab/>
        </w:r>
        <w:r>
          <w:rPr>
            <w:noProof/>
            <w:webHidden/>
          </w:rPr>
          <w:fldChar w:fldCharType="begin"/>
        </w:r>
        <w:r>
          <w:rPr>
            <w:noProof/>
            <w:webHidden/>
          </w:rPr>
          <w:instrText xml:space="preserve"> PAGEREF _Toc219802591 \h </w:instrText>
        </w:r>
        <w:r>
          <w:rPr>
            <w:noProof/>
            <w:webHidden/>
          </w:rPr>
        </w:r>
        <w:r>
          <w:rPr>
            <w:noProof/>
            <w:webHidden/>
          </w:rPr>
          <w:fldChar w:fldCharType="separate"/>
        </w:r>
        <w:r>
          <w:rPr>
            <w:noProof/>
            <w:webHidden/>
          </w:rPr>
          <w:t>17</w:t>
        </w:r>
        <w:r>
          <w:rPr>
            <w:noProof/>
            <w:webHidden/>
          </w:rPr>
          <w:fldChar w:fldCharType="end"/>
        </w:r>
      </w:hyperlink>
    </w:p>
    <w:p w14:paraId="0E5E9B1A" w14:textId="744DEC87" w:rsidR="00283643" w:rsidRDefault="00283643">
      <w:pPr>
        <w:pStyle w:val="TOC2"/>
        <w:rPr>
          <w:noProof/>
          <w:sz w:val="24"/>
          <w:szCs w:val="24"/>
        </w:rPr>
      </w:pPr>
      <w:hyperlink w:anchor="_Toc219802592" w:history="1">
        <w:r w:rsidRPr="004F3269">
          <w:rPr>
            <w:rStyle w:val="Hyperlink"/>
            <w:noProof/>
          </w:rPr>
          <w:t>Reporting</w:t>
        </w:r>
        <w:r>
          <w:rPr>
            <w:noProof/>
            <w:webHidden/>
          </w:rPr>
          <w:tab/>
        </w:r>
        <w:r>
          <w:rPr>
            <w:noProof/>
            <w:webHidden/>
          </w:rPr>
          <w:fldChar w:fldCharType="begin"/>
        </w:r>
        <w:r>
          <w:rPr>
            <w:noProof/>
            <w:webHidden/>
          </w:rPr>
          <w:instrText xml:space="preserve"> PAGEREF _Toc219802592 \h </w:instrText>
        </w:r>
        <w:r>
          <w:rPr>
            <w:noProof/>
            <w:webHidden/>
          </w:rPr>
        </w:r>
        <w:r>
          <w:rPr>
            <w:noProof/>
            <w:webHidden/>
          </w:rPr>
          <w:fldChar w:fldCharType="separate"/>
        </w:r>
        <w:r>
          <w:rPr>
            <w:noProof/>
            <w:webHidden/>
          </w:rPr>
          <w:t>18</w:t>
        </w:r>
        <w:r>
          <w:rPr>
            <w:noProof/>
            <w:webHidden/>
          </w:rPr>
          <w:fldChar w:fldCharType="end"/>
        </w:r>
      </w:hyperlink>
    </w:p>
    <w:p w14:paraId="5E70E958" w14:textId="509D05E9" w:rsidR="00283643" w:rsidRDefault="00283643">
      <w:pPr>
        <w:pStyle w:val="TOC1"/>
        <w:rPr>
          <w:b w:val="0"/>
          <w:bCs w:val="0"/>
          <w:noProof/>
          <w:sz w:val="24"/>
          <w:szCs w:val="24"/>
        </w:rPr>
      </w:pPr>
      <w:hyperlink w:anchor="_Toc219802593" w:history="1">
        <w:r w:rsidRPr="004F3269">
          <w:rPr>
            <w:rStyle w:val="Hyperlink"/>
            <w:noProof/>
          </w:rPr>
          <w:t>Appendix 1 – Grade descriptions Year 11</w:t>
        </w:r>
        <w:r>
          <w:rPr>
            <w:noProof/>
            <w:webHidden/>
          </w:rPr>
          <w:tab/>
        </w:r>
        <w:r>
          <w:rPr>
            <w:noProof/>
            <w:webHidden/>
          </w:rPr>
          <w:fldChar w:fldCharType="begin"/>
        </w:r>
        <w:r>
          <w:rPr>
            <w:noProof/>
            <w:webHidden/>
          </w:rPr>
          <w:instrText xml:space="preserve"> PAGEREF _Toc219802593 \h </w:instrText>
        </w:r>
        <w:r>
          <w:rPr>
            <w:noProof/>
            <w:webHidden/>
          </w:rPr>
        </w:r>
        <w:r>
          <w:rPr>
            <w:noProof/>
            <w:webHidden/>
          </w:rPr>
          <w:fldChar w:fldCharType="separate"/>
        </w:r>
        <w:r>
          <w:rPr>
            <w:noProof/>
            <w:webHidden/>
          </w:rPr>
          <w:t>19</w:t>
        </w:r>
        <w:r>
          <w:rPr>
            <w:noProof/>
            <w:webHidden/>
          </w:rPr>
          <w:fldChar w:fldCharType="end"/>
        </w:r>
      </w:hyperlink>
    </w:p>
    <w:p w14:paraId="3DF6AB3D" w14:textId="2CB4B7F3" w:rsidR="00D66B40" w:rsidRDefault="00AC678D" w:rsidP="00D66B40">
      <w:r>
        <w:rPr>
          <w:rFonts w:ascii="Calibri" w:hAnsi="Calibri"/>
          <w:b/>
          <w:bCs/>
          <w:noProof/>
          <w:kern w:val="2"/>
          <w:lang w:eastAsia="ja-JP"/>
          <w14:ligatures w14:val="standardContextual"/>
        </w:rPr>
        <w:fldChar w:fldCharType="end"/>
      </w:r>
    </w:p>
    <w:p w14:paraId="4A48AFC2" w14:textId="77777777" w:rsidR="00D66B40" w:rsidRDefault="00D66B40" w:rsidP="00D66B40">
      <w:pPr>
        <w:sectPr w:rsidR="00D66B40" w:rsidSect="00AC1C10">
          <w:headerReference w:type="even" r:id="rId11"/>
          <w:headerReference w:type="default" r:id="rId12"/>
          <w:footerReference w:type="even" r:id="rId13"/>
          <w:footerReference w:type="default" r:id="rId14"/>
          <w:pgSz w:w="11906" w:h="16838"/>
          <w:pgMar w:top="1644" w:right="1418" w:bottom="1276" w:left="1418" w:header="680" w:footer="567" w:gutter="0"/>
          <w:pgNumType w:fmt="lowerRoman"/>
          <w:cols w:space="709"/>
          <w:docGrid w:linePitch="360"/>
        </w:sectPr>
      </w:pPr>
    </w:p>
    <w:p w14:paraId="1B19C2F5" w14:textId="3ECA1C71" w:rsidR="000D3832" w:rsidRPr="001D5CDA" w:rsidRDefault="00D66B40" w:rsidP="00263DEE">
      <w:pPr>
        <w:pStyle w:val="SCSAHeading1"/>
      </w:pPr>
      <w:bookmarkStart w:id="2" w:name="_Toc347908199"/>
      <w:bookmarkStart w:id="3" w:name="_Toc173315821"/>
      <w:bookmarkStart w:id="4" w:name="_Toc219802571"/>
      <w:r>
        <w:t>R</w:t>
      </w:r>
      <w:r w:rsidR="000D3832" w:rsidRPr="001D5CDA">
        <w:t>ationale</w:t>
      </w:r>
      <w:bookmarkEnd w:id="2"/>
      <w:bookmarkEnd w:id="3"/>
      <w:bookmarkEnd w:id="4"/>
    </w:p>
    <w:p w14:paraId="2707AF38" w14:textId="77777777" w:rsidR="00073F49" w:rsidRDefault="00073F49" w:rsidP="00073F49">
      <w:pPr>
        <w:ind w:left="30"/>
        <w:rPr>
          <w:rFonts w:ascii="Calibri" w:hAnsi="Calibri" w:cs="Calibri"/>
          <w:lang w:eastAsia="en-AU"/>
        </w:rPr>
      </w:pPr>
      <w:bookmarkStart w:id="5" w:name="_Toc359483727"/>
      <w:bookmarkStart w:id="6" w:name="_Toc173315823"/>
      <w:bookmarkStart w:id="7" w:name="_Toc347908207"/>
      <w:bookmarkStart w:id="8" w:name="_Toc347908206"/>
      <w:r w:rsidRPr="00D64244">
        <w:rPr>
          <w:rFonts w:ascii="Calibri" w:hAnsi="Calibri" w:cs="Calibri"/>
          <w:lang w:eastAsia="en-AU"/>
        </w:rPr>
        <w:t xml:space="preserve">The Aboriginal and Intercultural Studies ATAR course examines the histories, cultures and contributions of Australian First Nations Peoples, recognising them as the world’s oldest living continuous cultures. </w:t>
      </w:r>
      <w:r>
        <w:rPr>
          <w:rFonts w:ascii="Calibri" w:hAnsi="Calibri" w:cs="Calibri"/>
          <w:lang w:eastAsia="en-AU"/>
        </w:rPr>
        <w:t>Students learn about</w:t>
      </w:r>
      <w:r>
        <w:t xml:space="preserve"> the continuity and resilience of First Nations Peoples’ cultural heritage and explore the impact of invasion and colonisation on First Nations Peoples locally, nationally and globally. </w:t>
      </w:r>
      <w:r w:rsidRPr="00D64244">
        <w:rPr>
          <w:rFonts w:ascii="Calibri" w:hAnsi="Calibri" w:cs="Calibri"/>
          <w:lang w:eastAsia="en-AU"/>
        </w:rPr>
        <w:t xml:space="preserve">The course </w:t>
      </w:r>
      <w:r>
        <w:rPr>
          <w:rFonts w:ascii="Calibri" w:hAnsi="Calibri" w:cs="Calibri"/>
          <w:lang w:eastAsia="en-AU"/>
        </w:rPr>
        <w:t>emphasises</w:t>
      </w:r>
      <w:r w:rsidRPr="00D64244">
        <w:rPr>
          <w:rFonts w:ascii="Calibri" w:hAnsi="Calibri" w:cs="Calibri"/>
          <w:lang w:eastAsia="en-AU"/>
        </w:rPr>
        <w:t xml:space="preserve"> cultural safety and responsiveness, ensuring that learning is respectful, inclusive and informed by First Nations communities.</w:t>
      </w:r>
    </w:p>
    <w:p w14:paraId="6CD9D0E1" w14:textId="77777777" w:rsidR="00073F49" w:rsidRDefault="00073F49" w:rsidP="00073F49">
      <w:pPr>
        <w:ind w:left="30"/>
        <w:rPr>
          <w:rFonts w:ascii="Calibri" w:hAnsi="Calibri" w:cs="Calibri"/>
          <w:lang w:eastAsia="en-AU"/>
        </w:rPr>
      </w:pPr>
      <w:r w:rsidRPr="00D64244">
        <w:rPr>
          <w:rFonts w:ascii="Calibri" w:hAnsi="Calibri" w:cs="Calibri"/>
          <w:lang w:eastAsia="en-AU"/>
        </w:rPr>
        <w:t xml:space="preserve">Students explore the diversity of First Nations Peoples’ histories and cultural expressions in Australia and globally. They examine how First Nations communities maintain, revitalise and celebrate culture despite ongoing challenges. </w:t>
      </w:r>
      <w:r>
        <w:rPr>
          <w:rFonts w:ascii="Calibri" w:hAnsi="Calibri" w:cs="Calibri"/>
          <w:lang w:eastAsia="en-AU"/>
        </w:rPr>
        <w:t>S</w:t>
      </w:r>
      <w:r w:rsidRPr="00D64244">
        <w:rPr>
          <w:rFonts w:ascii="Calibri" w:hAnsi="Calibri" w:cs="Calibri"/>
          <w:lang w:eastAsia="en-AU"/>
        </w:rPr>
        <w:t xml:space="preserve">tudents analyse political, social, legal, economic and environmental issues, </w:t>
      </w:r>
      <w:r>
        <w:rPr>
          <w:rFonts w:ascii="Calibri" w:hAnsi="Calibri" w:cs="Calibri"/>
          <w:lang w:eastAsia="en-AU"/>
        </w:rPr>
        <w:t>including comparative studies of</w:t>
      </w:r>
      <w:r w:rsidRPr="00D64244">
        <w:rPr>
          <w:rFonts w:ascii="Calibri" w:hAnsi="Calibri" w:cs="Calibri"/>
          <w:lang w:eastAsia="en-AU"/>
        </w:rPr>
        <w:t xml:space="preserve"> </w:t>
      </w:r>
      <w:r>
        <w:rPr>
          <w:rFonts w:ascii="Calibri" w:hAnsi="Calibri" w:cs="Calibri"/>
          <w:lang w:eastAsia="en-AU"/>
        </w:rPr>
        <w:t xml:space="preserve">the </w:t>
      </w:r>
      <w:r w:rsidRPr="00D64244">
        <w:rPr>
          <w:rFonts w:ascii="Calibri" w:hAnsi="Calibri" w:cs="Calibri"/>
          <w:lang w:eastAsia="en-AU"/>
        </w:rPr>
        <w:t xml:space="preserve">experiences of First Nations Peoples in Australia and internationally. </w:t>
      </w:r>
      <w:r>
        <w:rPr>
          <w:rFonts w:ascii="Calibri" w:hAnsi="Calibri" w:cs="Calibri"/>
          <w:lang w:eastAsia="en-AU"/>
        </w:rPr>
        <w:t>They</w:t>
      </w:r>
      <w:r w:rsidRPr="00D64244">
        <w:rPr>
          <w:rFonts w:ascii="Calibri" w:hAnsi="Calibri" w:cs="Calibri"/>
          <w:lang w:eastAsia="en-AU"/>
        </w:rPr>
        <w:t xml:space="preserve"> explore how identity is shaped by unique ways of being, knowing and doing, and how cultural expressions are used to communicate, challenge and preserve </w:t>
      </w:r>
      <w:r>
        <w:rPr>
          <w:rFonts w:ascii="Calibri" w:hAnsi="Calibri" w:cs="Calibri"/>
          <w:lang w:eastAsia="en-AU"/>
        </w:rPr>
        <w:t xml:space="preserve">cultural </w:t>
      </w:r>
      <w:r w:rsidRPr="00D64244">
        <w:rPr>
          <w:rFonts w:ascii="Calibri" w:hAnsi="Calibri" w:cs="Calibri"/>
          <w:lang w:eastAsia="en-AU"/>
        </w:rPr>
        <w:t>knowledge and values.</w:t>
      </w:r>
    </w:p>
    <w:p w14:paraId="7B2F4A43" w14:textId="77777777" w:rsidR="00073F49" w:rsidRDefault="00073F49" w:rsidP="00073F49">
      <w:pPr>
        <w:ind w:left="30"/>
        <w:rPr>
          <w:rFonts w:ascii="Calibri" w:hAnsi="Calibri" w:cs="Calibri"/>
          <w:lang w:eastAsia="en-AU"/>
        </w:rPr>
      </w:pPr>
      <w:r w:rsidRPr="00D64244">
        <w:rPr>
          <w:rFonts w:ascii="Calibri" w:hAnsi="Calibri" w:cs="Calibri"/>
          <w:lang w:eastAsia="en-AU"/>
        </w:rPr>
        <w:t>The course equips students with critical thinking, ethical research and intercultural communication skills. They learn to analyse sources for reliability, bias and different perspectives, developing a</w:t>
      </w:r>
      <w:r>
        <w:rPr>
          <w:rFonts w:ascii="Calibri" w:hAnsi="Calibri" w:cs="Calibri"/>
          <w:lang w:eastAsia="en-AU"/>
        </w:rPr>
        <w:t>n</w:t>
      </w:r>
      <w:r w:rsidRPr="00D64244">
        <w:rPr>
          <w:rFonts w:ascii="Calibri" w:hAnsi="Calibri" w:cs="Calibri"/>
          <w:lang w:eastAsia="en-AU"/>
        </w:rPr>
        <w:t xml:space="preserve"> understanding of First Nations histories and cultural expressions. Students recognise and respect </w:t>
      </w:r>
      <w:r>
        <w:rPr>
          <w:rFonts w:ascii="Calibri" w:hAnsi="Calibri" w:cs="Calibri"/>
          <w:lang w:eastAsia="en-AU"/>
        </w:rPr>
        <w:t xml:space="preserve">the </w:t>
      </w:r>
      <w:r w:rsidRPr="00D64244">
        <w:rPr>
          <w:rFonts w:ascii="Calibri" w:hAnsi="Calibri" w:cs="Calibri"/>
          <w:lang w:eastAsia="en-AU"/>
        </w:rPr>
        <w:t>cultural protocols,</w:t>
      </w:r>
      <w:r w:rsidRPr="00936CD8">
        <w:t xml:space="preserve"> </w:t>
      </w:r>
      <w:r w:rsidRPr="00A0366D">
        <w:rPr>
          <w:rFonts w:ascii="Calibri" w:hAnsi="Calibri" w:cs="Calibri"/>
          <w:lang w:eastAsia="en-AU"/>
        </w:rPr>
        <w:t>including intellectual and cultural property rights</w:t>
      </w:r>
      <w:r>
        <w:rPr>
          <w:rFonts w:ascii="Calibri" w:hAnsi="Calibri" w:cs="Calibri"/>
          <w:lang w:eastAsia="en-AU"/>
        </w:rPr>
        <w:t>,</w:t>
      </w:r>
      <w:r w:rsidRPr="00936CD8">
        <w:rPr>
          <w:rFonts w:ascii="Calibri" w:hAnsi="Calibri" w:cs="Calibri"/>
          <w:lang w:eastAsia="en-AU"/>
        </w:rPr>
        <w:t xml:space="preserve"> </w:t>
      </w:r>
      <w:r>
        <w:rPr>
          <w:rFonts w:ascii="Calibri" w:hAnsi="Calibri" w:cs="Calibri"/>
          <w:lang w:eastAsia="en-AU"/>
        </w:rPr>
        <w:t>that</w:t>
      </w:r>
      <w:r w:rsidRPr="00936CD8">
        <w:rPr>
          <w:rFonts w:ascii="Calibri" w:hAnsi="Calibri" w:cs="Calibri"/>
          <w:lang w:eastAsia="en-AU"/>
        </w:rPr>
        <w:t xml:space="preserve"> protect First Nation Peoples’ cultural expressions.</w:t>
      </w:r>
    </w:p>
    <w:p w14:paraId="6040D65D" w14:textId="77777777" w:rsidR="00073F49" w:rsidRPr="00D64244" w:rsidRDefault="00073F49" w:rsidP="00073F49">
      <w:pPr>
        <w:ind w:left="30"/>
        <w:rPr>
          <w:rFonts w:ascii="Calibri" w:hAnsi="Calibri" w:cs="Calibri"/>
          <w:lang w:eastAsia="en-AU"/>
        </w:rPr>
      </w:pPr>
      <w:r w:rsidRPr="00D64244">
        <w:rPr>
          <w:rFonts w:ascii="Calibri" w:hAnsi="Calibri" w:cs="Calibri"/>
          <w:lang w:eastAsia="en-AU"/>
        </w:rPr>
        <w:t xml:space="preserve">Students apply their knowledge, skills and understanding from the course in real-world contexts by </w:t>
      </w:r>
      <w:r>
        <w:rPr>
          <w:rFonts w:ascii="Calibri" w:hAnsi="Calibri" w:cs="Calibri"/>
          <w:lang w:eastAsia="en-AU"/>
        </w:rPr>
        <w:t>showing</w:t>
      </w:r>
      <w:r w:rsidRPr="00D64244">
        <w:rPr>
          <w:rFonts w:ascii="Calibri" w:hAnsi="Calibri" w:cs="Calibri"/>
          <w:lang w:eastAsia="en-AU"/>
        </w:rPr>
        <w:t xml:space="preserve"> respect for cultural diversity</w:t>
      </w:r>
      <w:r>
        <w:rPr>
          <w:rFonts w:ascii="Calibri" w:hAnsi="Calibri" w:cs="Calibri"/>
          <w:lang w:eastAsia="en-AU"/>
        </w:rPr>
        <w:t xml:space="preserve"> and</w:t>
      </w:r>
      <w:r w:rsidRPr="00D64244">
        <w:rPr>
          <w:rFonts w:ascii="Calibri" w:hAnsi="Calibri" w:cs="Calibri"/>
          <w:lang w:eastAsia="en-AU"/>
        </w:rPr>
        <w:t xml:space="preserve"> engaging in meaningful discussions about </w:t>
      </w:r>
      <w:r>
        <w:rPr>
          <w:rFonts w:ascii="Calibri" w:hAnsi="Calibri" w:cs="Calibri"/>
          <w:lang w:eastAsia="en-AU"/>
        </w:rPr>
        <w:t xml:space="preserve">the effects of colonisation </w:t>
      </w:r>
      <w:r w:rsidRPr="00D64244">
        <w:rPr>
          <w:rFonts w:ascii="Calibri" w:hAnsi="Calibri" w:cs="Calibri"/>
          <w:lang w:eastAsia="en-AU"/>
        </w:rPr>
        <w:t xml:space="preserve">and the protection of First Nations </w:t>
      </w:r>
      <w:r>
        <w:rPr>
          <w:rFonts w:ascii="Calibri" w:hAnsi="Calibri" w:cs="Calibri"/>
          <w:lang w:eastAsia="en-AU"/>
        </w:rPr>
        <w:t>cultural knowledge</w:t>
      </w:r>
      <w:r w:rsidRPr="00D64244">
        <w:rPr>
          <w:rFonts w:ascii="Calibri" w:hAnsi="Calibri" w:cs="Calibri"/>
          <w:lang w:eastAsia="en-AU"/>
        </w:rPr>
        <w:t xml:space="preserve">. They develop </w:t>
      </w:r>
      <w:r>
        <w:rPr>
          <w:rFonts w:ascii="Calibri" w:hAnsi="Calibri" w:cs="Calibri"/>
          <w:lang w:eastAsia="en-AU"/>
        </w:rPr>
        <w:t>skills</w:t>
      </w:r>
      <w:r w:rsidRPr="00D64244">
        <w:rPr>
          <w:rFonts w:ascii="Calibri" w:hAnsi="Calibri" w:cs="Calibri"/>
          <w:lang w:eastAsia="en-AU"/>
        </w:rPr>
        <w:t xml:space="preserve"> to critically assess information, challenge stereotypes and communicate with cultural sensitivity in everyday interactions. </w:t>
      </w:r>
      <w:r>
        <w:rPr>
          <w:rFonts w:ascii="Calibri" w:hAnsi="Calibri" w:cs="Calibri"/>
          <w:lang w:eastAsia="en-AU"/>
        </w:rPr>
        <w:t>S</w:t>
      </w:r>
      <w:r w:rsidRPr="00D64244">
        <w:rPr>
          <w:rFonts w:ascii="Calibri" w:hAnsi="Calibri" w:cs="Calibri"/>
          <w:lang w:eastAsia="en-AU"/>
        </w:rPr>
        <w:t>tudents</w:t>
      </w:r>
      <w:r>
        <w:rPr>
          <w:rFonts w:ascii="Calibri" w:hAnsi="Calibri" w:cs="Calibri"/>
          <w:lang w:eastAsia="en-AU"/>
        </w:rPr>
        <w:t xml:space="preserve"> can</w:t>
      </w:r>
      <w:r w:rsidRPr="00D64244">
        <w:rPr>
          <w:rFonts w:ascii="Calibri" w:hAnsi="Calibri" w:cs="Calibri"/>
          <w:lang w:eastAsia="en-AU"/>
        </w:rPr>
        <w:t xml:space="preserve"> contribute to social awareness and positive change in their communities</w:t>
      </w:r>
      <w:r>
        <w:rPr>
          <w:rFonts w:ascii="Calibri" w:hAnsi="Calibri" w:cs="Calibri"/>
          <w:lang w:eastAsia="en-AU"/>
        </w:rPr>
        <w:t xml:space="preserve"> and</w:t>
      </w:r>
      <w:r w:rsidRPr="00D64244">
        <w:rPr>
          <w:rFonts w:ascii="Calibri" w:hAnsi="Calibri" w:cs="Calibri"/>
          <w:lang w:eastAsia="en-AU"/>
        </w:rPr>
        <w:t xml:space="preserve"> use their learning to promote inclusivity, respect and a deeper appreciation of First Nations histories and perspectives in daily life.</w:t>
      </w:r>
    </w:p>
    <w:p w14:paraId="326C8886" w14:textId="77777777" w:rsidR="00073F49" w:rsidRPr="006A324A" w:rsidRDefault="00073F49" w:rsidP="00073F49">
      <w:pPr>
        <w:ind w:left="30"/>
      </w:pPr>
      <w:r w:rsidRPr="001B7FD2">
        <w:rPr>
          <w:rFonts w:ascii="Calibri" w:hAnsi="Calibri" w:cs="Calibri"/>
          <w:lang w:eastAsia="en-AU"/>
        </w:rPr>
        <w:t>Th</w:t>
      </w:r>
      <w:r>
        <w:rPr>
          <w:rFonts w:ascii="Calibri" w:hAnsi="Calibri" w:cs="Calibri"/>
          <w:lang w:eastAsia="en-AU"/>
        </w:rPr>
        <w:t>e</w:t>
      </w:r>
      <w:r w:rsidRPr="001B7FD2">
        <w:rPr>
          <w:rFonts w:ascii="Calibri" w:hAnsi="Calibri" w:cs="Calibri"/>
          <w:lang w:eastAsia="en-AU"/>
        </w:rPr>
        <w:t xml:space="preserve"> course prepares students for further education and careers in a wide range of fields where cultural competence, ethical awareness and intercultural understanding are essential.</w:t>
      </w:r>
      <w:r>
        <w:rPr>
          <w:rFonts w:ascii="Calibri" w:hAnsi="Calibri" w:cs="Calibri"/>
          <w:b/>
          <w:bCs/>
          <w:lang w:eastAsia="en-AU"/>
        </w:rPr>
        <w:t xml:space="preserve"> </w:t>
      </w:r>
      <w:r w:rsidRPr="007C08EA">
        <w:rPr>
          <w:rFonts w:ascii="Calibri" w:hAnsi="Calibri" w:cs="Calibri"/>
          <w:lang w:eastAsia="en-AU"/>
        </w:rPr>
        <w:t>Potential pathways include</w:t>
      </w:r>
      <w:r>
        <w:rPr>
          <w:rFonts w:ascii="Calibri" w:hAnsi="Calibri" w:cs="Calibri"/>
          <w:lang w:eastAsia="en-AU"/>
        </w:rPr>
        <w:t xml:space="preserve"> e</w:t>
      </w:r>
      <w:r w:rsidRPr="007C08EA">
        <w:rPr>
          <w:rFonts w:ascii="Calibri" w:hAnsi="Calibri" w:cs="Calibri"/>
          <w:lang w:eastAsia="en-AU"/>
        </w:rPr>
        <w:t>ducation</w:t>
      </w:r>
      <w:r>
        <w:rPr>
          <w:rFonts w:ascii="Calibri" w:hAnsi="Calibri" w:cs="Calibri"/>
          <w:lang w:eastAsia="en-AU"/>
        </w:rPr>
        <w:t>, s</w:t>
      </w:r>
      <w:r w:rsidRPr="007C08EA">
        <w:rPr>
          <w:rFonts w:ascii="Calibri" w:hAnsi="Calibri" w:cs="Calibri"/>
          <w:lang w:eastAsia="en-AU"/>
        </w:rPr>
        <w:t xml:space="preserve">ocial </w:t>
      </w:r>
      <w:r>
        <w:rPr>
          <w:rFonts w:ascii="Calibri" w:hAnsi="Calibri" w:cs="Calibri"/>
          <w:lang w:eastAsia="en-AU"/>
        </w:rPr>
        <w:t>w</w:t>
      </w:r>
      <w:r w:rsidRPr="007C08EA">
        <w:rPr>
          <w:rFonts w:ascii="Calibri" w:hAnsi="Calibri" w:cs="Calibri"/>
          <w:lang w:eastAsia="en-AU"/>
        </w:rPr>
        <w:t xml:space="preserve">ork and </w:t>
      </w:r>
      <w:r>
        <w:rPr>
          <w:rFonts w:ascii="Calibri" w:hAnsi="Calibri" w:cs="Calibri"/>
          <w:lang w:eastAsia="en-AU"/>
        </w:rPr>
        <w:t>c</w:t>
      </w:r>
      <w:r w:rsidRPr="007C08EA">
        <w:rPr>
          <w:rFonts w:ascii="Calibri" w:hAnsi="Calibri" w:cs="Calibri"/>
          <w:lang w:eastAsia="en-AU"/>
        </w:rPr>
        <w:t xml:space="preserve">ommunity </w:t>
      </w:r>
      <w:r>
        <w:rPr>
          <w:rFonts w:ascii="Calibri" w:hAnsi="Calibri" w:cs="Calibri"/>
          <w:lang w:eastAsia="en-AU"/>
        </w:rPr>
        <w:t>s</w:t>
      </w:r>
      <w:r w:rsidRPr="007C08EA">
        <w:rPr>
          <w:rFonts w:ascii="Calibri" w:hAnsi="Calibri" w:cs="Calibri"/>
          <w:lang w:eastAsia="en-AU"/>
        </w:rPr>
        <w:t>ervices</w:t>
      </w:r>
      <w:r>
        <w:rPr>
          <w:rFonts w:ascii="Calibri" w:hAnsi="Calibri" w:cs="Calibri"/>
          <w:lang w:eastAsia="en-AU"/>
        </w:rPr>
        <w:t>, h</w:t>
      </w:r>
      <w:r w:rsidRPr="007C08EA">
        <w:rPr>
          <w:rFonts w:ascii="Calibri" w:hAnsi="Calibri" w:cs="Calibri"/>
          <w:lang w:eastAsia="en-AU"/>
        </w:rPr>
        <w:t>ealth and wellbeing</w:t>
      </w:r>
      <w:r>
        <w:rPr>
          <w:rFonts w:ascii="Calibri" w:hAnsi="Calibri" w:cs="Calibri"/>
          <w:lang w:eastAsia="en-AU"/>
        </w:rPr>
        <w:t>, e</w:t>
      </w:r>
      <w:r w:rsidRPr="007C08EA">
        <w:rPr>
          <w:rFonts w:ascii="Calibri" w:hAnsi="Calibri" w:cs="Calibri"/>
          <w:lang w:eastAsia="en-AU"/>
        </w:rPr>
        <w:t>nvironmental and land management</w:t>
      </w:r>
      <w:r>
        <w:rPr>
          <w:rFonts w:ascii="Calibri" w:hAnsi="Calibri" w:cs="Calibri"/>
          <w:lang w:eastAsia="en-AU"/>
        </w:rPr>
        <w:t>, l</w:t>
      </w:r>
      <w:r w:rsidRPr="007C08EA">
        <w:rPr>
          <w:rFonts w:ascii="Calibri" w:hAnsi="Calibri" w:cs="Calibri"/>
          <w:lang w:eastAsia="en-AU"/>
        </w:rPr>
        <w:t>aw and justice</w:t>
      </w:r>
      <w:r>
        <w:rPr>
          <w:rFonts w:ascii="Calibri" w:hAnsi="Calibri" w:cs="Calibri"/>
          <w:lang w:eastAsia="en-AU"/>
        </w:rPr>
        <w:t>, t</w:t>
      </w:r>
      <w:r w:rsidRPr="007C08EA">
        <w:rPr>
          <w:rFonts w:ascii="Calibri" w:hAnsi="Calibri" w:cs="Calibri"/>
          <w:lang w:eastAsia="en-AU"/>
        </w:rPr>
        <w:t xml:space="preserve">ourism and cultural </w:t>
      </w:r>
      <w:r>
        <w:rPr>
          <w:rFonts w:ascii="Calibri" w:hAnsi="Calibri" w:cs="Calibri"/>
          <w:lang w:eastAsia="en-AU"/>
        </w:rPr>
        <w:t>i</w:t>
      </w:r>
      <w:r w:rsidRPr="007C08EA">
        <w:rPr>
          <w:rFonts w:ascii="Calibri" w:hAnsi="Calibri" w:cs="Calibri"/>
          <w:lang w:eastAsia="en-AU"/>
        </w:rPr>
        <w:t>nterpretation</w:t>
      </w:r>
      <w:r>
        <w:rPr>
          <w:rFonts w:ascii="Calibri" w:hAnsi="Calibri" w:cs="Calibri"/>
          <w:lang w:eastAsia="en-AU"/>
        </w:rPr>
        <w:t>, m</w:t>
      </w:r>
      <w:r w:rsidRPr="007C08EA">
        <w:rPr>
          <w:rFonts w:ascii="Calibri" w:hAnsi="Calibri" w:cs="Calibri"/>
          <w:lang w:eastAsia="en-AU"/>
        </w:rPr>
        <w:t>edia and communications</w:t>
      </w:r>
      <w:r>
        <w:rPr>
          <w:rFonts w:ascii="Calibri" w:hAnsi="Calibri" w:cs="Calibri"/>
          <w:lang w:eastAsia="en-AU"/>
        </w:rPr>
        <w:t>,</w:t>
      </w:r>
      <w:r w:rsidRPr="007C08EA">
        <w:rPr>
          <w:rFonts w:ascii="Calibri" w:hAnsi="Calibri" w:cs="Calibri"/>
          <w:lang w:eastAsia="en-AU"/>
        </w:rPr>
        <w:t xml:space="preserve"> </w:t>
      </w:r>
      <w:r>
        <w:rPr>
          <w:rFonts w:ascii="Calibri" w:hAnsi="Calibri" w:cs="Calibri"/>
          <w:lang w:eastAsia="en-AU"/>
        </w:rPr>
        <w:t>a</w:t>
      </w:r>
      <w:r w:rsidRPr="007C08EA">
        <w:rPr>
          <w:rFonts w:ascii="Calibri" w:hAnsi="Calibri" w:cs="Calibri"/>
          <w:lang w:eastAsia="en-AU"/>
        </w:rPr>
        <w:t>rts and cultural industries</w:t>
      </w:r>
      <w:r>
        <w:rPr>
          <w:rFonts w:ascii="Calibri" w:hAnsi="Calibri" w:cs="Calibri"/>
          <w:lang w:eastAsia="en-AU"/>
        </w:rPr>
        <w:t>,</w:t>
      </w:r>
      <w:r w:rsidRPr="007C08EA">
        <w:rPr>
          <w:rFonts w:ascii="Calibri" w:hAnsi="Calibri" w:cs="Calibri"/>
          <w:lang w:eastAsia="en-AU"/>
        </w:rPr>
        <w:t xml:space="preserve"> </w:t>
      </w:r>
      <w:r>
        <w:rPr>
          <w:rFonts w:ascii="Calibri" w:hAnsi="Calibri" w:cs="Calibri"/>
          <w:lang w:eastAsia="en-AU"/>
        </w:rPr>
        <w:t>p</w:t>
      </w:r>
      <w:r w:rsidRPr="007C08EA">
        <w:rPr>
          <w:rFonts w:ascii="Calibri" w:hAnsi="Calibri" w:cs="Calibri"/>
          <w:lang w:eastAsia="en-AU"/>
        </w:rPr>
        <w:t xml:space="preserve">olicy and </w:t>
      </w:r>
      <w:r>
        <w:rPr>
          <w:rFonts w:ascii="Calibri" w:hAnsi="Calibri" w:cs="Calibri"/>
          <w:lang w:eastAsia="en-AU"/>
        </w:rPr>
        <w:t>g</w:t>
      </w:r>
      <w:r w:rsidRPr="007C08EA">
        <w:rPr>
          <w:rFonts w:ascii="Calibri" w:hAnsi="Calibri" w:cs="Calibri"/>
          <w:lang w:eastAsia="en-AU"/>
        </w:rPr>
        <w:t>overnment</w:t>
      </w:r>
      <w:r>
        <w:rPr>
          <w:rFonts w:ascii="Calibri" w:hAnsi="Calibri" w:cs="Calibri"/>
          <w:lang w:eastAsia="en-AU"/>
        </w:rPr>
        <w:t>,</w:t>
      </w:r>
      <w:r w:rsidRPr="007C08EA">
        <w:rPr>
          <w:rFonts w:ascii="Calibri" w:hAnsi="Calibri" w:cs="Calibri"/>
          <w:lang w:eastAsia="en-AU"/>
        </w:rPr>
        <w:t xml:space="preserve"> </w:t>
      </w:r>
      <w:r>
        <w:rPr>
          <w:rFonts w:ascii="Calibri" w:hAnsi="Calibri" w:cs="Calibri"/>
          <w:lang w:eastAsia="en-AU"/>
        </w:rPr>
        <w:t>and r</w:t>
      </w:r>
      <w:r w:rsidRPr="007C08EA">
        <w:rPr>
          <w:rFonts w:ascii="Calibri" w:hAnsi="Calibri" w:cs="Calibri"/>
          <w:lang w:eastAsia="en-AU"/>
        </w:rPr>
        <w:t>esearch</w:t>
      </w:r>
      <w:r>
        <w:rPr>
          <w:rFonts w:ascii="Calibri" w:hAnsi="Calibri" w:cs="Calibri"/>
          <w:lang w:eastAsia="en-AU"/>
        </w:rPr>
        <w:t xml:space="preserve">. </w:t>
      </w:r>
      <w:r w:rsidRPr="001B7FD2">
        <w:rPr>
          <w:rFonts w:ascii="Calibri" w:hAnsi="Calibri" w:cs="Calibri"/>
          <w:lang w:eastAsia="en-AU"/>
        </w:rPr>
        <w:t>Students gain transferable skills in critical thinking, ethical research, respectful communication and cultural responsiveness</w:t>
      </w:r>
      <w:r>
        <w:rPr>
          <w:rFonts w:ascii="Calibri" w:hAnsi="Calibri" w:cs="Calibri"/>
          <w:lang w:eastAsia="en-AU"/>
        </w:rPr>
        <w:t xml:space="preserve">, </w:t>
      </w:r>
      <w:r w:rsidRPr="001B7FD2">
        <w:rPr>
          <w:rFonts w:ascii="Calibri" w:hAnsi="Calibri" w:cs="Calibri"/>
          <w:lang w:eastAsia="en-AU"/>
        </w:rPr>
        <w:t>support</w:t>
      </w:r>
      <w:r>
        <w:rPr>
          <w:rFonts w:ascii="Calibri" w:hAnsi="Calibri" w:cs="Calibri"/>
          <w:lang w:eastAsia="en-AU"/>
        </w:rPr>
        <w:t>ing</w:t>
      </w:r>
      <w:r w:rsidRPr="001B7FD2">
        <w:rPr>
          <w:rFonts w:ascii="Calibri" w:hAnsi="Calibri" w:cs="Calibri"/>
          <w:lang w:eastAsia="en-AU"/>
        </w:rPr>
        <w:t xml:space="preserve"> active citizenship and lifelong learning</w:t>
      </w:r>
      <w:r>
        <w:rPr>
          <w:rFonts w:ascii="Calibri" w:hAnsi="Calibri" w:cs="Calibri"/>
          <w:lang w:eastAsia="en-AU"/>
        </w:rPr>
        <w:t>.</w:t>
      </w:r>
      <w:bookmarkStart w:id="9" w:name="_Toc110421308"/>
    </w:p>
    <w:p w14:paraId="08BE5540" w14:textId="77777777" w:rsidR="00073F49" w:rsidRPr="006A324A" w:rsidRDefault="00073F49" w:rsidP="00073F49">
      <w:r w:rsidRPr="006A324A">
        <w:br w:type="page"/>
      </w:r>
    </w:p>
    <w:p w14:paraId="08D92031" w14:textId="77777777" w:rsidR="00073F49" w:rsidRPr="00D16FD6" w:rsidRDefault="00073F49" w:rsidP="00073F49">
      <w:pPr>
        <w:pStyle w:val="SCSAHeading1"/>
      </w:pPr>
      <w:bookmarkStart w:id="10" w:name="_Toc219802572"/>
      <w:r w:rsidRPr="00D16FD6">
        <w:t>Aims</w:t>
      </w:r>
      <w:bookmarkEnd w:id="9"/>
      <w:bookmarkEnd w:id="10"/>
    </w:p>
    <w:p w14:paraId="0CB4A429" w14:textId="77777777" w:rsidR="00073F49" w:rsidRPr="00D16FD6" w:rsidRDefault="00073F49" w:rsidP="00073F49">
      <w:pPr>
        <w:spacing w:after="0"/>
      </w:pPr>
      <w:r w:rsidRPr="00D16FD6">
        <w:t xml:space="preserve">The </w:t>
      </w:r>
      <w:r w:rsidRPr="0080566C">
        <w:t>Aboriginal and Intercultural Studies</w:t>
      </w:r>
      <w:r>
        <w:t xml:space="preserve"> ATAR </w:t>
      </w:r>
      <w:r w:rsidRPr="00D16FD6">
        <w:t xml:space="preserve">course </w:t>
      </w:r>
      <w:r>
        <w:t>aims to develop</w:t>
      </w:r>
      <w:r w:rsidRPr="00D16FD6">
        <w:t xml:space="preserve"> </w:t>
      </w:r>
      <w:r>
        <w:t xml:space="preserve">and further build </w:t>
      </w:r>
      <w:r w:rsidRPr="00D16FD6">
        <w:t>students</w:t>
      </w:r>
      <w:r>
        <w:t>’</w:t>
      </w:r>
      <w:r w:rsidRPr="00D16FD6">
        <w:t>:</w:t>
      </w:r>
    </w:p>
    <w:p w14:paraId="090A80C1" w14:textId="77777777" w:rsidR="00073F49" w:rsidRDefault="00073F49" w:rsidP="00073F49">
      <w:pPr>
        <w:pStyle w:val="ListParagraph"/>
        <w:numPr>
          <w:ilvl w:val="0"/>
          <w:numId w:val="27"/>
        </w:numPr>
      </w:pPr>
      <w:r>
        <w:t>knowledge and understanding of Australian First Nations Peoples as being the oldest living continuous cultures in the world</w:t>
      </w:r>
    </w:p>
    <w:p w14:paraId="72FA2701" w14:textId="77777777" w:rsidR="00073F49" w:rsidRDefault="00073F49" w:rsidP="00073F49">
      <w:pPr>
        <w:pStyle w:val="ListParagraph"/>
        <w:numPr>
          <w:ilvl w:val="0"/>
          <w:numId w:val="27"/>
        </w:numPr>
      </w:pPr>
      <w:r>
        <w:t>awareness of the ways First Nations Peoples’ identities are expressed through unique ways of being, knowing and doing</w:t>
      </w:r>
    </w:p>
    <w:p w14:paraId="01B748BA" w14:textId="77777777" w:rsidR="00073F49" w:rsidRDefault="00073F49" w:rsidP="00073F49">
      <w:pPr>
        <w:pStyle w:val="ListParagraph"/>
        <w:numPr>
          <w:ilvl w:val="0"/>
          <w:numId w:val="27"/>
        </w:numPr>
      </w:pPr>
      <w:r>
        <w:t xml:space="preserve">understanding that there are different and changing perspectives of history and that these inform and influence people’s actions </w:t>
      </w:r>
    </w:p>
    <w:p w14:paraId="6F6DC8AE" w14:textId="77777777" w:rsidR="00073F49" w:rsidRDefault="00073F49" w:rsidP="00073F49">
      <w:pPr>
        <w:pStyle w:val="ListParagraph"/>
        <w:numPr>
          <w:ilvl w:val="0"/>
          <w:numId w:val="27"/>
        </w:numPr>
      </w:pPr>
      <w:r>
        <w:t>understanding that members of different cultures have different worldviews as a result of their beliefs, values, practices and experiences</w:t>
      </w:r>
    </w:p>
    <w:p w14:paraId="61B8B57F" w14:textId="77777777" w:rsidR="00073F49" w:rsidRDefault="00073F49" w:rsidP="00073F49">
      <w:pPr>
        <w:pStyle w:val="ListParagraph"/>
        <w:numPr>
          <w:ilvl w:val="0"/>
          <w:numId w:val="27"/>
        </w:numPr>
      </w:pPr>
      <w:r>
        <w:t>appreciation of the diversity and richness of Australian First Nations Peoples’ histories and cultures</w:t>
      </w:r>
    </w:p>
    <w:p w14:paraId="0617A47A" w14:textId="77777777" w:rsidR="00073F49" w:rsidRDefault="00073F49" w:rsidP="00073F49">
      <w:pPr>
        <w:pStyle w:val="ListParagraph"/>
        <w:numPr>
          <w:ilvl w:val="0"/>
          <w:numId w:val="27"/>
        </w:numPr>
      </w:pPr>
      <w:r>
        <w:t xml:space="preserve">critical thinking skills, including ethical research skills </w:t>
      </w:r>
    </w:p>
    <w:p w14:paraId="540D9FE8" w14:textId="77777777" w:rsidR="00073F49" w:rsidRDefault="00073F49" w:rsidP="00073F49">
      <w:pPr>
        <w:pStyle w:val="ListParagraph"/>
        <w:numPr>
          <w:ilvl w:val="0"/>
          <w:numId w:val="27"/>
        </w:numPr>
      </w:pPr>
      <w:r>
        <w:t xml:space="preserve">empathy and respect for the ways people think, feel and act </w:t>
      </w:r>
    </w:p>
    <w:p w14:paraId="29BC5AFA" w14:textId="77777777" w:rsidR="00073F49" w:rsidRDefault="00073F49" w:rsidP="00073F49">
      <w:pPr>
        <w:pStyle w:val="ListParagraph"/>
        <w:numPr>
          <w:ilvl w:val="0"/>
          <w:numId w:val="27"/>
        </w:numPr>
      </w:pPr>
      <w:r>
        <w:t xml:space="preserve">growth as active and informed advocates for anti-racism and a just and inclusive world </w:t>
      </w:r>
    </w:p>
    <w:p w14:paraId="39FAFE8A" w14:textId="77777777" w:rsidR="00073F49" w:rsidRPr="00736B06" w:rsidRDefault="00073F49" w:rsidP="00073F49">
      <w:pPr>
        <w:pStyle w:val="ListParagraph"/>
        <w:numPr>
          <w:ilvl w:val="0"/>
          <w:numId w:val="27"/>
        </w:numPr>
      </w:pPr>
      <w:r>
        <w:t>engagement in reconciliation, respect and recognition of the world’s oldest living continuous cultures.</w:t>
      </w:r>
    </w:p>
    <w:p w14:paraId="0E54D0DD" w14:textId="7D794F43" w:rsidR="00943A44" w:rsidRPr="00A93F91" w:rsidRDefault="00943A44" w:rsidP="00263DEE">
      <w:pPr>
        <w:pStyle w:val="SCSAHeading1"/>
      </w:pPr>
      <w:bookmarkStart w:id="11" w:name="_Toc219802573"/>
      <w:r w:rsidRPr="00A93F91">
        <w:t>Organisation</w:t>
      </w:r>
      <w:bookmarkEnd w:id="5"/>
      <w:bookmarkEnd w:id="6"/>
      <w:bookmarkEnd w:id="11"/>
    </w:p>
    <w:p w14:paraId="66DD7218" w14:textId="77777777" w:rsidR="008F2FF8" w:rsidRPr="00AC1C10" w:rsidRDefault="008F2FF8" w:rsidP="00AC1C10">
      <w:pPr>
        <w:pStyle w:val="ListParagraph"/>
      </w:pPr>
      <w:bookmarkStart w:id="12" w:name="_Toc359483728"/>
      <w:r w:rsidRPr="00AC1C10">
        <w:t>This course is organised into a Year 11 syllabus and a Year 12 syllabus. The cognitive complexity of the syllabus content increases from Year 11 to Year 12.</w:t>
      </w:r>
    </w:p>
    <w:p w14:paraId="586EEB51" w14:textId="41D6D91B" w:rsidR="00943A44" w:rsidRPr="007A0D1C" w:rsidRDefault="00943A44" w:rsidP="00263DEE">
      <w:pPr>
        <w:pStyle w:val="SCSAHeading2"/>
      </w:pPr>
      <w:bookmarkStart w:id="13" w:name="_Toc173315824"/>
      <w:bookmarkStart w:id="14" w:name="_Toc219802574"/>
      <w:r w:rsidRPr="007A0D1C">
        <w:t>Structure of the syllabus</w:t>
      </w:r>
      <w:bookmarkEnd w:id="12"/>
      <w:bookmarkEnd w:id="13"/>
      <w:bookmarkEnd w:id="14"/>
    </w:p>
    <w:p w14:paraId="32467225" w14:textId="298B1FB6" w:rsidR="002C61E6" w:rsidRPr="00924D3A" w:rsidRDefault="00943A44" w:rsidP="00AC1C10">
      <w:pPr>
        <w:rPr>
          <w:rFonts w:ascii="Calibri" w:hAnsi="Calibri" w:cs="Calibri"/>
        </w:rPr>
      </w:pPr>
      <w:r w:rsidRPr="00924D3A">
        <w:rPr>
          <w:rFonts w:ascii="Calibri" w:hAnsi="Calibri" w:cs="Calibri"/>
        </w:rPr>
        <w:t xml:space="preserve">The Year 11 syllabus is divided </w:t>
      </w:r>
      <w:r w:rsidRPr="00AC1C10">
        <w:t>into</w:t>
      </w:r>
      <w:r w:rsidRPr="00924D3A">
        <w:rPr>
          <w:rFonts w:ascii="Calibri" w:hAnsi="Calibri" w:cs="Calibri"/>
        </w:rPr>
        <w:t xml:space="preserve"> two units</w:t>
      </w:r>
      <w:r w:rsidR="00B60430" w:rsidRPr="00924D3A">
        <w:rPr>
          <w:rFonts w:ascii="Calibri" w:hAnsi="Calibri" w:cs="Calibri"/>
        </w:rPr>
        <w:t>,</w:t>
      </w:r>
      <w:r w:rsidRPr="00924D3A">
        <w:rPr>
          <w:rFonts w:ascii="Calibri" w:hAnsi="Calibri" w:cs="Calibri"/>
        </w:rPr>
        <w:t xml:space="preserve"> each of one semester duration</w:t>
      </w:r>
      <w:r w:rsidR="00B60430" w:rsidRPr="00924D3A">
        <w:rPr>
          <w:rFonts w:ascii="Calibri" w:hAnsi="Calibri" w:cs="Calibri"/>
        </w:rPr>
        <w:t>,</w:t>
      </w:r>
      <w:r w:rsidRPr="00924D3A">
        <w:rPr>
          <w:rFonts w:ascii="Calibri" w:hAnsi="Calibri" w:cs="Calibri"/>
        </w:rPr>
        <w:t xml:space="preserve"> which are typically delivered as a pair.</w:t>
      </w:r>
      <w:r w:rsidR="002C61E6" w:rsidRPr="00924D3A">
        <w:rPr>
          <w:rFonts w:ascii="Calibri" w:hAnsi="Calibri" w:cs="Calibri"/>
        </w:rPr>
        <w:t xml:space="preserve"> </w:t>
      </w:r>
      <w:r w:rsidR="002C61E6" w:rsidRPr="00795F9D">
        <w:t>The</w:t>
      </w:r>
      <w:r w:rsidR="002C61E6" w:rsidRPr="00924D3A">
        <w:rPr>
          <w:rFonts w:ascii="Calibri" w:hAnsi="Calibri" w:cs="Calibri"/>
        </w:rPr>
        <w:t xml:space="preserve"> notional </w:t>
      </w:r>
      <w:r w:rsidR="003D3E71" w:rsidRPr="00924D3A">
        <w:rPr>
          <w:rFonts w:ascii="Calibri" w:hAnsi="Calibri" w:cs="Calibri"/>
        </w:rPr>
        <w:t>time</w:t>
      </w:r>
      <w:r w:rsidR="002C61E6" w:rsidRPr="00924D3A">
        <w:rPr>
          <w:rFonts w:ascii="Calibri" w:hAnsi="Calibri" w:cs="Calibri"/>
        </w:rPr>
        <w:t xml:space="preserve"> for each unit </w:t>
      </w:r>
      <w:r w:rsidR="003D3E71" w:rsidRPr="00924D3A">
        <w:rPr>
          <w:rFonts w:ascii="Calibri" w:hAnsi="Calibri" w:cs="Calibri"/>
        </w:rPr>
        <w:t>is</w:t>
      </w:r>
      <w:r w:rsidR="002C61E6" w:rsidRPr="00924D3A">
        <w:rPr>
          <w:rFonts w:ascii="Calibri" w:hAnsi="Calibri" w:cs="Calibri"/>
        </w:rPr>
        <w:t xml:space="preserve"> 55 class contact hours.</w:t>
      </w:r>
    </w:p>
    <w:p w14:paraId="5395C89C" w14:textId="6A53BD1E" w:rsidR="00943A44" w:rsidRPr="00A93F91" w:rsidRDefault="00943A44" w:rsidP="00263DEE">
      <w:pPr>
        <w:pStyle w:val="SCSAHeading3"/>
      </w:pPr>
      <w:r w:rsidRPr="00A93F91">
        <w:t>Unit 1</w:t>
      </w:r>
    </w:p>
    <w:p w14:paraId="77ADB83A" w14:textId="7D058B42" w:rsidR="003A6F8D" w:rsidRPr="003A6F8D" w:rsidRDefault="003A6F8D" w:rsidP="00AC1C10">
      <w:pPr>
        <w:rPr>
          <w:rFonts w:cs="Times New Roman"/>
        </w:rPr>
      </w:pPr>
      <w:r w:rsidRPr="003A6F8D">
        <w:rPr>
          <w:rFonts w:cs="Times New Roman"/>
        </w:rPr>
        <w:t xml:space="preserve">This unit enables students to explore the diversity of the histories and cultures of </w:t>
      </w:r>
      <w:r w:rsidRPr="0010526A">
        <w:rPr>
          <w:rFonts w:cs="Times New Roman"/>
        </w:rPr>
        <w:t>First Nations Peoples</w:t>
      </w:r>
      <w:r>
        <w:rPr>
          <w:rFonts w:cs="Times New Roman"/>
        </w:rPr>
        <w:t xml:space="preserve"> both in Australia and globally. S</w:t>
      </w:r>
      <w:r w:rsidRPr="0010526A">
        <w:rPr>
          <w:rFonts w:cs="Times New Roman"/>
        </w:rPr>
        <w:t xml:space="preserve">tudents examine </w:t>
      </w:r>
      <w:r w:rsidRPr="003A6F8D">
        <w:rPr>
          <w:rFonts w:cs="Times New Roman"/>
        </w:rPr>
        <w:t>the continuity and resiliency of First Nations Peoples’ cultural heritage and</w:t>
      </w:r>
      <w:r w:rsidRPr="0010526A">
        <w:rPr>
          <w:rFonts w:cs="Times New Roman"/>
        </w:rPr>
        <w:t xml:space="preserve"> explore the experiences and impact of invasion and colonisation o</w:t>
      </w:r>
      <w:r>
        <w:rPr>
          <w:rFonts w:cs="Times New Roman"/>
        </w:rPr>
        <w:t>n</w:t>
      </w:r>
      <w:r w:rsidRPr="0010526A">
        <w:rPr>
          <w:rFonts w:cs="Times New Roman"/>
        </w:rPr>
        <w:t xml:space="preserve"> First Nations Peoples locally, nationally, and globally.</w:t>
      </w:r>
    </w:p>
    <w:p w14:paraId="48B9A423" w14:textId="6CB48718" w:rsidR="00943A44" w:rsidRPr="00924D3A" w:rsidRDefault="00943A44" w:rsidP="00263DEE">
      <w:pPr>
        <w:pStyle w:val="SCSAHeading3"/>
      </w:pPr>
      <w:r w:rsidRPr="00924D3A">
        <w:t>Unit 2</w:t>
      </w:r>
    </w:p>
    <w:p w14:paraId="1FAECEC3" w14:textId="6673044F" w:rsidR="003A6F8D" w:rsidRPr="008464E6" w:rsidRDefault="003A6F8D" w:rsidP="00AC1C10">
      <w:pPr>
        <w:rPr>
          <w:rFonts w:cstheme="minorHAnsi"/>
        </w:rPr>
      </w:pPr>
      <w:bookmarkStart w:id="15" w:name="_Toc359483729"/>
      <w:r w:rsidRPr="006D766E">
        <w:rPr>
          <w:rFonts w:cs="Calibri"/>
        </w:rPr>
        <w:t xml:space="preserve">This unit enables students to explore </w:t>
      </w:r>
      <w:r w:rsidRPr="0010526A">
        <w:rPr>
          <w:rFonts w:cs="Calibri"/>
        </w:rPr>
        <w:t xml:space="preserve">the distinctiveness and diversity of Australian First Nations Peoples’ cultural expressions. </w:t>
      </w:r>
      <w:r w:rsidR="006D766E">
        <w:rPr>
          <w:rFonts w:cs="Calibri"/>
        </w:rPr>
        <w:t>Students</w:t>
      </w:r>
      <w:r w:rsidRPr="0010526A">
        <w:rPr>
          <w:rFonts w:cs="Calibri"/>
        </w:rPr>
        <w:t xml:space="preserve"> </w:t>
      </w:r>
      <w:r w:rsidR="006D766E">
        <w:rPr>
          <w:rFonts w:cs="Calibri"/>
        </w:rPr>
        <w:t>examine</w:t>
      </w:r>
      <w:r w:rsidRPr="0010526A">
        <w:rPr>
          <w:rFonts w:cs="Calibri"/>
        </w:rPr>
        <w:t xml:space="preserve"> how First Nations Peoples</w:t>
      </w:r>
      <w:r w:rsidR="006D766E">
        <w:rPr>
          <w:rFonts w:cs="Calibri"/>
        </w:rPr>
        <w:t xml:space="preserve"> </w:t>
      </w:r>
      <w:r w:rsidRPr="0010526A">
        <w:rPr>
          <w:rFonts w:cs="Calibri"/>
        </w:rPr>
        <w:t xml:space="preserve">create cultural expressions </w:t>
      </w:r>
      <w:r w:rsidR="006D766E">
        <w:rPr>
          <w:rFonts w:cs="Calibri"/>
        </w:rPr>
        <w:t>which</w:t>
      </w:r>
      <w:r w:rsidRPr="0010526A">
        <w:rPr>
          <w:rFonts w:cs="Calibri"/>
        </w:rPr>
        <w:t xml:space="preserve"> challenge and communicate ideas and perspectives. Students explore the cultural protocols which exist to protect First Nation Peoples’ cultur</w:t>
      </w:r>
      <w:r>
        <w:rPr>
          <w:rFonts w:cs="Calibri"/>
        </w:rPr>
        <w:t>al expressions.</w:t>
      </w:r>
      <w:r w:rsidRPr="0010526A">
        <w:rPr>
          <w:rFonts w:cs="Calibri"/>
        </w:rPr>
        <w:t xml:space="preserve"> </w:t>
      </w:r>
    </w:p>
    <w:p w14:paraId="231DA0A4" w14:textId="77777777" w:rsidR="00B71C2D" w:rsidRPr="00924D3A" w:rsidRDefault="00B71C2D" w:rsidP="00AC1C10">
      <w:pPr>
        <w:pStyle w:val="NoSpacing"/>
      </w:pPr>
      <w:r w:rsidRPr="00924D3A">
        <w:t xml:space="preserve">Each unit </w:t>
      </w:r>
      <w:r w:rsidRPr="00795F9D">
        <w:t>includes</w:t>
      </w:r>
      <w:r w:rsidRPr="00924D3A">
        <w:t>:</w:t>
      </w:r>
    </w:p>
    <w:p w14:paraId="42A877FD" w14:textId="77777777" w:rsidR="009D793E" w:rsidRPr="00AC1C10" w:rsidRDefault="009D793E">
      <w:pPr>
        <w:pStyle w:val="ListParagraph"/>
        <w:numPr>
          <w:ilvl w:val="0"/>
          <w:numId w:val="3"/>
        </w:numPr>
      </w:pPr>
      <w:r w:rsidRPr="00AC1C10">
        <w:t>a unit description – a short description of the focus of the unit</w:t>
      </w:r>
    </w:p>
    <w:p w14:paraId="540FF887" w14:textId="77777777" w:rsidR="00565DF1" w:rsidRPr="00AC1C10" w:rsidRDefault="009D793E">
      <w:pPr>
        <w:pStyle w:val="ListParagraph"/>
        <w:numPr>
          <w:ilvl w:val="0"/>
          <w:numId w:val="3"/>
        </w:numPr>
      </w:pPr>
      <w:r w:rsidRPr="00AC1C10">
        <w:t>unit content – the content to be taught and learned</w:t>
      </w:r>
      <w:r w:rsidR="00652BC5" w:rsidRPr="00AC1C10">
        <w:t>.</w:t>
      </w:r>
    </w:p>
    <w:p w14:paraId="1454A5B0" w14:textId="77777777" w:rsidR="00AF5724" w:rsidRPr="0039470D" w:rsidRDefault="00AF5724" w:rsidP="00263DEE">
      <w:pPr>
        <w:pStyle w:val="SCSAHeading2"/>
      </w:pPr>
      <w:bookmarkStart w:id="16" w:name="_Toc32576613"/>
      <w:bookmarkStart w:id="17" w:name="_Toc76735164"/>
      <w:bookmarkStart w:id="18" w:name="_Toc114664262"/>
      <w:bookmarkStart w:id="19" w:name="_Toc173315825"/>
      <w:bookmarkStart w:id="20" w:name="_Toc219802575"/>
      <w:r w:rsidRPr="0039470D">
        <w:t>Organisation of content</w:t>
      </w:r>
      <w:bookmarkEnd w:id="16"/>
      <w:bookmarkEnd w:id="17"/>
      <w:bookmarkEnd w:id="18"/>
      <w:bookmarkEnd w:id="19"/>
      <w:bookmarkEnd w:id="20"/>
    </w:p>
    <w:p w14:paraId="1CE07490" w14:textId="77777777" w:rsidR="00F3703E" w:rsidRPr="00EC3F7B" w:rsidRDefault="00F3703E" w:rsidP="00AC1C10">
      <w:r w:rsidRPr="00EC3F7B">
        <w:t xml:space="preserve">The content in each unit is divided into an overview and two depth studies. The content descriptions associated with the overview </w:t>
      </w:r>
      <w:r w:rsidRPr="00AC1C10">
        <w:t>are</w:t>
      </w:r>
      <w:r w:rsidRPr="00EC3F7B">
        <w:t xml:space="preserve"> designed to be taught at a broad level and in a short timeframe. The content descriptions associated with the depth study are designed to be taught in a more focused and detailed way and, therefore, take more time to teach. </w:t>
      </w:r>
    </w:p>
    <w:p w14:paraId="33812F42" w14:textId="4C6515E0" w:rsidR="00AF5724" w:rsidRPr="004D37B4" w:rsidRDefault="00AF5724" w:rsidP="00AC1C10">
      <w:r w:rsidRPr="004D37B4">
        <w:t>The unit content that is listed after ‘e.g.’ is provided as suggested examples to guide teachers on relevant topics, which could be used to teach the content descriptions; teachers are not restricted to just the listed examples. Unit content that is referred to in a content description after ‘including’ is assessable content.</w:t>
      </w:r>
    </w:p>
    <w:p w14:paraId="7F707E50" w14:textId="77777777" w:rsidR="00073F49" w:rsidRPr="009C3CBD" w:rsidRDefault="00073F49" w:rsidP="00073F49">
      <w:pPr>
        <w:pStyle w:val="SCSAHeading2"/>
      </w:pPr>
      <w:bookmarkStart w:id="21" w:name="_Toc110421312"/>
      <w:bookmarkStart w:id="22" w:name="_Toc219802576"/>
      <w:bookmarkStart w:id="23" w:name="_Toc173315828"/>
      <w:bookmarkStart w:id="24" w:name="_Toc347908213"/>
      <w:bookmarkEnd w:id="7"/>
      <w:bookmarkEnd w:id="8"/>
      <w:bookmarkEnd w:id="15"/>
      <w:r w:rsidRPr="009C3CBD">
        <w:t>Progression from the Years 7–10 curriculum</w:t>
      </w:r>
      <w:bookmarkEnd w:id="21"/>
      <w:bookmarkEnd w:id="22"/>
      <w:r w:rsidRPr="009C3CBD">
        <w:t xml:space="preserve"> </w:t>
      </w:r>
    </w:p>
    <w:p w14:paraId="19AAC24B" w14:textId="77777777" w:rsidR="00073F49" w:rsidRPr="009C3CBD" w:rsidRDefault="00073F49" w:rsidP="00073F49">
      <w:bookmarkStart w:id="25" w:name="_Toc110421313"/>
      <w:r>
        <w:t xml:space="preserve">This syllabus continues to develop student learning in </w:t>
      </w:r>
      <w:r w:rsidRPr="00E64D62">
        <w:t>Australian First Nations Peoples’</w:t>
      </w:r>
      <w:r>
        <w:t xml:space="preserve"> histories and cultures that occurs in the Years 7–10 Humanities and Social Sciences curriculum. Students will continue to build on and develop the Humanities and Social Sciences skills. The Aboriginal and Torres Strait Islander histories and cultures cross-curriculum priority continues across all year levels.</w:t>
      </w:r>
    </w:p>
    <w:p w14:paraId="46EC7B35" w14:textId="7C82EC7E" w:rsidR="00073F49" w:rsidRPr="006054A2" w:rsidRDefault="00073F49" w:rsidP="00073F49">
      <w:pPr>
        <w:pStyle w:val="SCSAHeading2"/>
      </w:pPr>
      <w:bookmarkStart w:id="26" w:name="_Toc219802577"/>
      <w:r w:rsidRPr="006054A2">
        <w:t xml:space="preserve">Representation of the </w:t>
      </w:r>
      <w:r>
        <w:t>General Capabilities</w:t>
      </w:r>
      <w:bookmarkEnd w:id="25"/>
      <w:bookmarkEnd w:id="26"/>
    </w:p>
    <w:p w14:paraId="793F706D" w14:textId="6E5AA992" w:rsidR="00073F49" w:rsidRPr="009C3CBD" w:rsidRDefault="00073F49" w:rsidP="00073F49">
      <w:r w:rsidRPr="009C3CBD">
        <w:t xml:space="preserve">The </w:t>
      </w:r>
      <w:r>
        <w:t>General Capabilities</w:t>
      </w:r>
      <w:r w:rsidRPr="009C3CBD">
        <w:t xml:space="preserve"> encompass the knowledge, skills, behaviours and dispositions that will </w:t>
      </w:r>
      <w:r w:rsidR="00AF3106">
        <w:t>assist</w:t>
      </w:r>
      <w:r w:rsidR="00283643" w:rsidRPr="00161162">
        <w:t xml:space="preserve"> </w:t>
      </w:r>
      <w:r w:rsidRPr="009C3CBD">
        <w:t xml:space="preserve">students to live and work </w:t>
      </w:r>
      <w:r>
        <w:t>successfully now and into the future. They are not assessed unless identified within the specified unit content. Teachers should find opportunities to incorporate the following General Capabilities into</w:t>
      </w:r>
      <w:r w:rsidRPr="009C3CBD">
        <w:t xml:space="preserve"> the teaching and learning program for the </w:t>
      </w:r>
      <w:bookmarkStart w:id="27" w:name="_Hlk197498480"/>
      <w:r w:rsidRPr="00E64D62">
        <w:t>Aboriginal and Intercultural Studies</w:t>
      </w:r>
      <w:r>
        <w:t xml:space="preserve"> ATAR</w:t>
      </w:r>
      <w:r w:rsidRPr="009C3CBD">
        <w:t xml:space="preserve"> </w:t>
      </w:r>
      <w:bookmarkEnd w:id="27"/>
      <w:r w:rsidRPr="00C07583">
        <w:t>course</w:t>
      </w:r>
      <w:r w:rsidRPr="009C3CBD">
        <w:t xml:space="preserve">. </w:t>
      </w:r>
    </w:p>
    <w:p w14:paraId="11C8ED14" w14:textId="77777777" w:rsidR="00073F49" w:rsidRDefault="00073F49" w:rsidP="00073F49">
      <w:pPr>
        <w:pStyle w:val="SCSAHeading3"/>
      </w:pPr>
      <w:r w:rsidRPr="009C3CBD">
        <w:t>Critical and creative thinking</w:t>
      </w:r>
    </w:p>
    <w:p w14:paraId="643BC5E5" w14:textId="77777777" w:rsidR="00073F49" w:rsidRDefault="00073F49" w:rsidP="00073F49">
      <w:pPr>
        <w:rPr>
          <w:rFonts w:ascii="Calibri" w:hAnsi="Calibri" w:cs="Calibri"/>
          <w:b/>
          <w:bCs/>
          <w:lang w:eastAsia="en-AU"/>
        </w:rPr>
      </w:pPr>
      <w:r w:rsidRPr="005728B1">
        <w:rPr>
          <w:rFonts w:ascii="Calibri" w:hAnsi="Calibri" w:cs="Calibri"/>
          <w:lang w:eastAsia="en-AU"/>
        </w:rPr>
        <w:t>Critical and creative thinking underpin the inquiry process</w:t>
      </w:r>
      <w:r>
        <w:rPr>
          <w:rFonts w:ascii="Calibri" w:hAnsi="Calibri" w:cs="Calibri"/>
          <w:lang w:eastAsia="en-AU"/>
        </w:rPr>
        <w:t xml:space="preserve"> in the course</w:t>
      </w:r>
      <w:r w:rsidRPr="005728B1">
        <w:rPr>
          <w:rFonts w:ascii="Calibri" w:hAnsi="Calibri" w:cs="Calibri"/>
          <w:lang w:eastAsia="en-AU"/>
        </w:rPr>
        <w:t xml:space="preserve">, </w:t>
      </w:r>
      <w:r>
        <w:rPr>
          <w:rFonts w:ascii="Calibri" w:hAnsi="Calibri" w:cs="Calibri"/>
          <w:lang w:eastAsia="en-AU"/>
        </w:rPr>
        <w:t>as</w:t>
      </w:r>
      <w:r w:rsidRPr="005728B1">
        <w:rPr>
          <w:rFonts w:ascii="Calibri" w:hAnsi="Calibri" w:cs="Calibri"/>
          <w:lang w:eastAsia="en-AU"/>
        </w:rPr>
        <w:t xml:space="preserve"> students refine focus questions and analyse sources by assessing their origin, purpose, reliability and bias. By examining diverse perspectives on historical and contemporary issues, they develop a deeper understanding of complex topics, identify relationships between sources and use evidence to support arguments effectively. Students analys</w:t>
      </w:r>
      <w:r>
        <w:rPr>
          <w:rFonts w:ascii="Calibri" w:hAnsi="Calibri" w:cs="Calibri"/>
          <w:lang w:eastAsia="en-AU"/>
        </w:rPr>
        <w:t>e,</w:t>
      </w:r>
      <w:r w:rsidRPr="005728B1">
        <w:rPr>
          <w:rFonts w:ascii="Calibri" w:hAnsi="Calibri" w:cs="Calibri"/>
          <w:lang w:eastAsia="en-AU"/>
        </w:rPr>
        <w:t xml:space="preserve"> evaluat</w:t>
      </w:r>
      <w:r>
        <w:rPr>
          <w:rFonts w:ascii="Calibri" w:hAnsi="Calibri" w:cs="Calibri"/>
          <w:lang w:eastAsia="en-AU"/>
        </w:rPr>
        <w:t>e</w:t>
      </w:r>
      <w:r w:rsidRPr="005728B1">
        <w:rPr>
          <w:rFonts w:ascii="Calibri" w:hAnsi="Calibri" w:cs="Calibri"/>
          <w:lang w:eastAsia="en-AU"/>
        </w:rPr>
        <w:t xml:space="preserve"> and compar</w:t>
      </w:r>
      <w:r>
        <w:rPr>
          <w:rFonts w:ascii="Calibri" w:hAnsi="Calibri" w:cs="Calibri"/>
          <w:lang w:eastAsia="en-AU"/>
        </w:rPr>
        <w:t>e</w:t>
      </w:r>
      <w:r w:rsidRPr="005728B1">
        <w:rPr>
          <w:rFonts w:ascii="Calibri" w:hAnsi="Calibri" w:cs="Calibri"/>
          <w:lang w:eastAsia="en-AU"/>
        </w:rPr>
        <w:t xml:space="preserve"> perspectives </w:t>
      </w:r>
      <w:r>
        <w:rPr>
          <w:rFonts w:ascii="Calibri" w:hAnsi="Calibri" w:cs="Calibri"/>
          <w:lang w:eastAsia="en-AU"/>
        </w:rPr>
        <w:t xml:space="preserve">in </w:t>
      </w:r>
      <w:r w:rsidRPr="005728B1">
        <w:rPr>
          <w:rFonts w:ascii="Calibri" w:hAnsi="Calibri" w:cs="Calibri"/>
          <w:lang w:eastAsia="en-AU"/>
        </w:rPr>
        <w:t>written, visual and multimedia materials</w:t>
      </w:r>
      <w:r>
        <w:rPr>
          <w:rFonts w:ascii="Calibri" w:hAnsi="Calibri" w:cs="Calibri"/>
          <w:lang w:eastAsia="en-AU"/>
        </w:rPr>
        <w:t>,</w:t>
      </w:r>
      <w:r w:rsidRPr="005728B1">
        <w:rPr>
          <w:rFonts w:ascii="Calibri" w:hAnsi="Calibri" w:cs="Calibri"/>
          <w:lang w:eastAsia="en-AU"/>
        </w:rPr>
        <w:t xml:space="preserve"> and communicate findings using respectful and inclusive language. </w:t>
      </w:r>
    </w:p>
    <w:p w14:paraId="6423D3C8" w14:textId="77777777" w:rsidR="00073F49" w:rsidRPr="009C3CBD" w:rsidRDefault="00073F49" w:rsidP="00073F49">
      <w:pPr>
        <w:pStyle w:val="SCSAHeading3"/>
      </w:pPr>
      <w:r w:rsidRPr="009C3CBD">
        <w:t>Intercultural understanding</w:t>
      </w:r>
    </w:p>
    <w:p w14:paraId="4D808795" w14:textId="77777777" w:rsidR="00073F49" w:rsidRDefault="00073F49" w:rsidP="00073F49">
      <w:r>
        <w:t xml:space="preserve">Intercultural understanding is central to the Aboriginal and Intercultural Studies ATAR course. Students explore diverse cultural beliefs, values and perspectives, developing insight into identity, heritage and the evolving role of First Nations knowledge and traditions in contemporary society. They investigate how cultural expressions such as art, performance, language and storytelling are used to celebrate, challenge and </w:t>
      </w:r>
      <w:r w:rsidRPr="00C07583">
        <w:t>communicate</w:t>
      </w:r>
      <w:r>
        <w:t xml:space="preserve"> identity and values. Through inquiry, students explore the distinctiveness of Australian First Nations Peoples as the world’s oldest living continuous cultures. By engaging with diverse perspectives and intercultural experiences, students build empathy, adaptability, and the ability to communicate and respond respectfully in a multicultural society.</w:t>
      </w:r>
    </w:p>
    <w:p w14:paraId="56DE367F" w14:textId="77777777" w:rsidR="00073F49" w:rsidRPr="009C3CBD" w:rsidRDefault="00073F49" w:rsidP="00073F49">
      <w:pPr>
        <w:pStyle w:val="SCSAHeading3"/>
      </w:pPr>
      <w:r w:rsidRPr="009C3CBD">
        <w:t>Literacy</w:t>
      </w:r>
    </w:p>
    <w:p w14:paraId="25DD7809" w14:textId="77777777" w:rsidR="00073F49" w:rsidRPr="005728B1" w:rsidRDefault="00073F49" w:rsidP="00073F49">
      <w:pPr>
        <w:rPr>
          <w:rFonts w:ascii="Calibri" w:hAnsi="Calibri" w:cs="Calibri"/>
          <w:lang w:eastAsia="en-AU"/>
        </w:rPr>
      </w:pPr>
      <w:r>
        <w:rPr>
          <w:rFonts w:ascii="Calibri" w:hAnsi="Calibri" w:cs="Calibri"/>
          <w:lang w:eastAsia="en-AU"/>
        </w:rPr>
        <w:t>L</w:t>
      </w:r>
      <w:r w:rsidRPr="005728B1">
        <w:rPr>
          <w:rFonts w:ascii="Calibri" w:hAnsi="Calibri" w:cs="Calibri"/>
          <w:lang w:eastAsia="en-AU"/>
        </w:rPr>
        <w:t xml:space="preserve">iteracy development is integrated </w:t>
      </w:r>
      <w:r>
        <w:rPr>
          <w:rFonts w:ascii="Calibri" w:hAnsi="Calibri" w:cs="Calibri"/>
          <w:lang w:eastAsia="en-AU"/>
        </w:rPr>
        <w:t xml:space="preserve">in the course </w:t>
      </w:r>
      <w:r w:rsidRPr="005728B1">
        <w:rPr>
          <w:rFonts w:ascii="Calibri" w:hAnsi="Calibri" w:cs="Calibri"/>
          <w:lang w:eastAsia="en-AU"/>
        </w:rPr>
        <w:t xml:space="preserve">through research, source analysis and communication tasks. Students conduct investigations incorporating primary and secondary sources, particularly privileging the voices of First Nations Peoples. This includes working with oral histories, narratives, government documents, </w:t>
      </w:r>
      <w:r w:rsidRPr="00C07583">
        <w:t>articles</w:t>
      </w:r>
      <w:r w:rsidRPr="005728B1">
        <w:rPr>
          <w:rFonts w:ascii="Calibri" w:hAnsi="Calibri" w:cs="Calibri"/>
          <w:lang w:eastAsia="en-AU"/>
        </w:rPr>
        <w:t xml:space="preserve">, poetry, song lyrics and visual media. By analysing these sources with cultural awareness and sensitivity, students refine their ability to critically assess perspectives, draw evidence-based conclusions and articulate informed responses. </w:t>
      </w:r>
      <w:r>
        <w:rPr>
          <w:rFonts w:ascii="Calibri" w:hAnsi="Calibri" w:cs="Calibri"/>
          <w:lang w:eastAsia="en-AU"/>
        </w:rPr>
        <w:t>They also complete s</w:t>
      </w:r>
      <w:r w:rsidRPr="005728B1">
        <w:rPr>
          <w:rFonts w:ascii="Calibri" w:hAnsi="Calibri" w:cs="Calibri"/>
          <w:lang w:eastAsia="en-AU"/>
        </w:rPr>
        <w:t xml:space="preserve">hort answer tasks </w:t>
      </w:r>
      <w:r>
        <w:rPr>
          <w:rFonts w:ascii="Calibri" w:hAnsi="Calibri" w:cs="Calibri"/>
          <w:lang w:eastAsia="en-AU"/>
        </w:rPr>
        <w:t>where they</w:t>
      </w:r>
      <w:r w:rsidRPr="005728B1">
        <w:rPr>
          <w:rFonts w:ascii="Calibri" w:hAnsi="Calibri" w:cs="Calibri"/>
          <w:lang w:eastAsia="en-AU"/>
        </w:rPr>
        <w:t xml:space="preserve"> engage </w:t>
      </w:r>
      <w:r>
        <w:rPr>
          <w:rFonts w:ascii="Calibri" w:hAnsi="Calibri" w:cs="Calibri"/>
          <w:lang w:eastAsia="en-AU"/>
        </w:rPr>
        <w:t xml:space="preserve">with written, graphic and multimedia </w:t>
      </w:r>
      <w:r w:rsidRPr="005728B1">
        <w:rPr>
          <w:rFonts w:ascii="Calibri" w:hAnsi="Calibri" w:cs="Calibri"/>
          <w:lang w:eastAsia="en-AU"/>
        </w:rPr>
        <w:t>syllabus content and source material</w:t>
      </w:r>
      <w:r>
        <w:rPr>
          <w:rFonts w:ascii="Calibri" w:hAnsi="Calibri" w:cs="Calibri"/>
          <w:lang w:eastAsia="en-AU"/>
        </w:rPr>
        <w:t xml:space="preserve">, </w:t>
      </w:r>
      <w:r w:rsidRPr="005728B1">
        <w:rPr>
          <w:rFonts w:ascii="Calibri" w:hAnsi="Calibri" w:cs="Calibri"/>
          <w:lang w:eastAsia="en-AU"/>
        </w:rPr>
        <w:t xml:space="preserve">identifying, defining, describing, explaining, comparing, analysing and discussing key ideas. </w:t>
      </w:r>
    </w:p>
    <w:p w14:paraId="3C52B934" w14:textId="77777777" w:rsidR="00073F49" w:rsidRDefault="00073F49" w:rsidP="00073F49">
      <w:pPr>
        <w:pStyle w:val="SCSAHeading3"/>
      </w:pPr>
      <w:r w:rsidRPr="00806E03">
        <w:t xml:space="preserve">Personal and social capability </w:t>
      </w:r>
    </w:p>
    <w:p w14:paraId="4C97C1C1" w14:textId="77777777" w:rsidR="00073F49" w:rsidRDefault="00073F49" w:rsidP="00073F49">
      <w:r>
        <w:t>The course</w:t>
      </w:r>
      <w:r w:rsidRPr="005728B1">
        <w:t xml:space="preserve"> develop</w:t>
      </w:r>
      <w:r>
        <w:t>s</w:t>
      </w:r>
      <w:r w:rsidRPr="005728B1">
        <w:t xml:space="preserve"> </w:t>
      </w:r>
      <w:r>
        <w:t xml:space="preserve">students’ </w:t>
      </w:r>
      <w:r w:rsidRPr="005728B1">
        <w:t xml:space="preserve">personal and social capability by enhancing </w:t>
      </w:r>
      <w:r>
        <w:t xml:space="preserve">their </w:t>
      </w:r>
      <w:r w:rsidRPr="005728B1">
        <w:t>communication skills</w:t>
      </w:r>
      <w:r>
        <w:t xml:space="preserve"> as they</w:t>
      </w:r>
      <w:r w:rsidRPr="005728B1">
        <w:t xml:space="preserve"> participat</w:t>
      </w:r>
      <w:r>
        <w:t>e</w:t>
      </w:r>
      <w:r w:rsidRPr="005728B1">
        <w:t xml:space="preserve"> in group work and engag</w:t>
      </w:r>
      <w:r>
        <w:t>e</w:t>
      </w:r>
      <w:r w:rsidRPr="005728B1">
        <w:t xml:space="preserve"> in both independent and collaborative research. Through the examination of relationships between individuals and social groups, students cultivate an appreciation for diverse </w:t>
      </w:r>
      <w:r w:rsidRPr="00C07583">
        <w:t>perspectives</w:t>
      </w:r>
      <w:r w:rsidRPr="005728B1">
        <w:t xml:space="preserve"> and experiences </w:t>
      </w:r>
      <w:r>
        <w:t xml:space="preserve">and </w:t>
      </w:r>
      <w:r w:rsidRPr="005728B1">
        <w:t>build social awareness and empathy, gaining insight into historical and contemporary issues.</w:t>
      </w:r>
      <w:r>
        <w:t xml:space="preserve"> </w:t>
      </w:r>
      <w:r w:rsidRPr="005728B1">
        <w:t xml:space="preserve">They communicate findings using appropriate formats, </w:t>
      </w:r>
      <w:r>
        <w:t>cultivating their use of</w:t>
      </w:r>
      <w:r w:rsidRPr="005728B1">
        <w:t xml:space="preserve"> respectful and inclusive language. Ethical scholarship is emphasised, requiring students to acknowledge cultural variations in research protocols</w:t>
      </w:r>
      <w:r>
        <w:t xml:space="preserve"> and</w:t>
      </w:r>
      <w:r w:rsidRPr="005728B1">
        <w:t xml:space="preserve"> adopt culturally appropriate communication practices. By engaging with these processes, students develop a deeper awareness of community issues, enhance their capacity for empathy and refine their ability to communicate in a culturally sensitive and ethical manner.</w:t>
      </w:r>
    </w:p>
    <w:p w14:paraId="74F0D5FD" w14:textId="77777777" w:rsidR="00073F49" w:rsidRDefault="00073F49" w:rsidP="00073F49">
      <w:pPr>
        <w:keepNext/>
        <w:keepLines/>
        <w:spacing w:before="120"/>
        <w:rPr>
          <w:b/>
          <w:bCs/>
          <w:color w:val="595959" w:themeColor="text1" w:themeTint="A6"/>
          <w:sz w:val="28"/>
          <w:szCs w:val="28"/>
        </w:rPr>
      </w:pPr>
      <w:r w:rsidRPr="00806E03">
        <w:rPr>
          <w:b/>
          <w:bCs/>
          <w:color w:val="595959" w:themeColor="text1" w:themeTint="A6"/>
          <w:sz w:val="28"/>
          <w:szCs w:val="28"/>
        </w:rPr>
        <w:t>Ethical understanding</w:t>
      </w:r>
    </w:p>
    <w:p w14:paraId="564E32AF" w14:textId="77777777" w:rsidR="00073F49" w:rsidRDefault="00073F49" w:rsidP="00073F49">
      <w:bookmarkStart w:id="28" w:name="_Hlk201649531"/>
      <w:r>
        <w:t xml:space="preserve">Students </w:t>
      </w:r>
      <w:bookmarkStart w:id="29" w:name="_Hlk203463888"/>
      <w:r>
        <w:t>develop e</w:t>
      </w:r>
      <w:bookmarkStart w:id="30" w:name="_Hlk201649436"/>
      <w:r w:rsidRPr="005728B1">
        <w:t xml:space="preserve">thical understanding in the course </w:t>
      </w:r>
      <w:r>
        <w:t>by</w:t>
      </w:r>
      <w:r w:rsidRPr="005728B1">
        <w:t xml:space="preserve"> </w:t>
      </w:r>
      <w:bookmarkEnd w:id="29"/>
      <w:r w:rsidRPr="005728B1">
        <w:t>explor</w:t>
      </w:r>
      <w:r>
        <w:t>ing</w:t>
      </w:r>
      <w:r w:rsidRPr="005728B1">
        <w:t xml:space="preserve"> diverse perspectives and the motivations behind historical </w:t>
      </w:r>
      <w:r w:rsidRPr="00C07583">
        <w:t>and</w:t>
      </w:r>
      <w:r w:rsidRPr="005728B1">
        <w:t xml:space="preserve"> contemporary actions. </w:t>
      </w:r>
      <w:bookmarkEnd w:id="28"/>
      <w:bookmarkEnd w:id="30"/>
      <w:r>
        <w:t xml:space="preserve">They </w:t>
      </w:r>
      <w:r w:rsidRPr="000D37BB">
        <w:t>critically engage with films and documentaries on First Nations rights, analysing human rights and social justice issues.</w:t>
      </w:r>
      <w:r>
        <w:t xml:space="preserve"> They examine </w:t>
      </w:r>
      <w:r w:rsidRPr="005728B1">
        <w:t xml:space="preserve">values, rights, responsibilities and ethical norms </w:t>
      </w:r>
      <w:r>
        <w:t>in order to</w:t>
      </w:r>
      <w:r w:rsidRPr="005728B1">
        <w:t xml:space="preserve"> understand</w:t>
      </w:r>
      <w:r>
        <w:t xml:space="preserve"> </w:t>
      </w:r>
      <w:r w:rsidRPr="005728B1">
        <w:t>how these shape behaviours and perspectives.</w:t>
      </w:r>
      <w:r w:rsidRPr="000D37BB">
        <w:t xml:space="preserve"> </w:t>
      </w:r>
      <w:r>
        <w:t>They develop e</w:t>
      </w:r>
      <w:r w:rsidRPr="000D37BB">
        <w:t xml:space="preserve">thical scholarship </w:t>
      </w:r>
      <w:r>
        <w:t xml:space="preserve">practices </w:t>
      </w:r>
      <w:r w:rsidRPr="000D37BB">
        <w:t>through respect for cultural research protocols, acknowledgment of diverse perspectives and critical reflection. Students evaluate and communicate findings using respectful and inclusive language, recognising that new perspectives continue to shape understanding. Through this process, they refine their ability to navigate ethical dilemmas and make informed, culturally sensitive decisions.</w:t>
      </w:r>
    </w:p>
    <w:p w14:paraId="14BCF729" w14:textId="09082761" w:rsidR="00073F49" w:rsidRPr="009C3CBD" w:rsidRDefault="00073F49" w:rsidP="00073F49">
      <w:pPr>
        <w:pStyle w:val="SCSAHeading3"/>
      </w:pPr>
      <w:r w:rsidRPr="009C3CBD">
        <w:t xml:space="preserve">Addressing the other </w:t>
      </w:r>
      <w:r>
        <w:t>General Capabilities</w:t>
      </w:r>
    </w:p>
    <w:p w14:paraId="3062A2F5" w14:textId="537C33E8" w:rsidR="00073F49" w:rsidRPr="009C3CBD" w:rsidRDefault="00073F49" w:rsidP="00073F49">
      <w:r w:rsidRPr="009C3CBD">
        <w:t xml:space="preserve">Although the following </w:t>
      </w:r>
      <w:r>
        <w:t>General Capabilities</w:t>
      </w:r>
      <w:r w:rsidRPr="009C3CBD">
        <w:t xml:space="preserve"> have not been identified as a focus in the </w:t>
      </w:r>
      <w:r w:rsidRPr="00702245">
        <w:rPr>
          <w:rFonts w:ascii="Calibri" w:hAnsi="Calibri" w:cs="Calibri"/>
          <w:lang w:eastAsia="en-AU"/>
        </w:rPr>
        <w:t>Aboriginal and Intercultural Studies</w:t>
      </w:r>
      <w:r>
        <w:t xml:space="preserve"> ATAR </w:t>
      </w:r>
      <w:r w:rsidRPr="009C3CBD">
        <w:t>Year</w:t>
      </w:r>
      <w:r>
        <w:t xml:space="preserve"> 11 </w:t>
      </w:r>
      <w:r w:rsidR="00283643">
        <w:rPr>
          <w:noProof/>
        </w:rPr>
        <w:t>syllabus, teachers may find opportunities to incorporate them into the teaching and learning program.</w:t>
      </w:r>
    </w:p>
    <w:p w14:paraId="53125A48" w14:textId="77777777" w:rsidR="00073F49" w:rsidRPr="00EC668D" w:rsidRDefault="00073F49" w:rsidP="00073F49">
      <w:pPr>
        <w:pStyle w:val="ListParagraph"/>
        <w:numPr>
          <w:ilvl w:val="0"/>
          <w:numId w:val="28"/>
        </w:numPr>
        <w:spacing w:after="160" w:line="240" w:lineRule="auto"/>
        <w:rPr>
          <w:rFonts w:ascii="Calibri" w:hAnsi="Calibri" w:cs="Calibri"/>
        </w:rPr>
      </w:pPr>
      <w:r>
        <w:rPr>
          <w:rFonts w:ascii="Calibri" w:hAnsi="Calibri" w:cs="Calibri"/>
        </w:rPr>
        <w:t>Digital literacy</w:t>
      </w:r>
    </w:p>
    <w:p w14:paraId="021E6EBA" w14:textId="77777777" w:rsidR="00073F49" w:rsidRDefault="00073F49" w:rsidP="00073F49">
      <w:pPr>
        <w:pStyle w:val="ListParagraph"/>
        <w:numPr>
          <w:ilvl w:val="0"/>
          <w:numId w:val="28"/>
        </w:numPr>
        <w:spacing w:after="160" w:line="240" w:lineRule="auto"/>
        <w:rPr>
          <w:rFonts w:ascii="Calibri" w:hAnsi="Calibri" w:cs="Calibri"/>
        </w:rPr>
      </w:pPr>
      <w:r>
        <w:rPr>
          <w:rFonts w:ascii="Calibri" w:hAnsi="Calibri" w:cs="Calibri"/>
        </w:rPr>
        <w:t>Numeracy</w:t>
      </w:r>
    </w:p>
    <w:p w14:paraId="648A7EA1" w14:textId="77777777" w:rsidR="00073F49" w:rsidRDefault="00073F49" w:rsidP="00073F49">
      <w:pPr>
        <w:spacing w:after="160" w:line="240" w:lineRule="auto"/>
      </w:pPr>
      <w:r w:rsidRPr="009C3CBD">
        <w:t>Such opportunities may occur through the application of different contexts, pedagogical practices and/or assessment strategies that relate to the syllabus as part of the teaching and learning program.</w:t>
      </w:r>
    </w:p>
    <w:p w14:paraId="3028D503" w14:textId="441961DC" w:rsidR="00073F49" w:rsidRPr="009C3CBD" w:rsidRDefault="00073F49" w:rsidP="00073F49">
      <w:pPr>
        <w:pStyle w:val="SCSAHeading3"/>
      </w:pPr>
      <w:r w:rsidRPr="009C3CBD">
        <w:t xml:space="preserve">Summary representation of the </w:t>
      </w:r>
      <w:r>
        <w:t>General Capabilities</w:t>
      </w:r>
      <w:r w:rsidRPr="009C3CBD">
        <w:t xml:space="preserve"> in the </w:t>
      </w:r>
      <w:r w:rsidRPr="00702245">
        <w:rPr>
          <w:rFonts w:ascii="Calibri" w:hAnsi="Calibri" w:cs="Calibri"/>
          <w:lang w:eastAsia="en-AU"/>
        </w:rPr>
        <w:t xml:space="preserve">Aboriginal and Intercultural Studies </w:t>
      </w:r>
      <w:r>
        <w:t xml:space="preserve">ATAR </w:t>
      </w:r>
      <w:r w:rsidRPr="009C3CBD">
        <w:t>course</w:t>
      </w:r>
    </w:p>
    <w:p w14:paraId="01AD71FB" w14:textId="77777777" w:rsidR="00073F49" w:rsidRDefault="00073F49" w:rsidP="00073F49">
      <w:bookmarkStart w:id="31" w:name="_Hlk207092824"/>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45"/>
        <w:gridCol w:w="3130"/>
        <w:gridCol w:w="789"/>
        <w:gridCol w:w="613"/>
        <w:gridCol w:w="614"/>
        <w:gridCol w:w="614"/>
        <w:gridCol w:w="613"/>
        <w:gridCol w:w="614"/>
        <w:gridCol w:w="614"/>
        <w:gridCol w:w="614"/>
      </w:tblGrid>
      <w:tr w:rsidR="00073F49" w:rsidRPr="006A76EA" w14:paraId="5CB7775B" w14:textId="77777777" w:rsidTr="00B64B8E">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45DA34F2" w14:textId="77777777" w:rsidR="00073F49" w:rsidRPr="006A76EA" w:rsidRDefault="00073F49" w:rsidP="00B64B8E">
            <w:pPr>
              <w:spacing w:after="100" w:afterAutospacing="1"/>
              <w:rPr>
                <w:b w:val="0"/>
                <w:bCs/>
              </w:rPr>
            </w:pPr>
            <w:bookmarkStart w:id="32" w:name="_Hlk197439578"/>
            <w:r w:rsidRPr="006A76EA">
              <w:rPr>
                <w:bCs/>
              </w:rPr>
              <w:t>Year</w:t>
            </w:r>
          </w:p>
        </w:tc>
        <w:tc>
          <w:tcPr>
            <w:tcW w:w="3132" w:type="dxa"/>
            <w:vMerge w:val="restart"/>
          </w:tcPr>
          <w:p w14:paraId="5F2E11A3" w14:textId="77777777" w:rsidR="00073F49" w:rsidRPr="006A76EA" w:rsidRDefault="00073F49" w:rsidP="00B64B8E">
            <w:pPr>
              <w:spacing w:after="100" w:afterAutospacing="1"/>
              <w:rPr>
                <w:b w:val="0"/>
                <w:bCs/>
              </w:rPr>
            </w:pPr>
            <w:r w:rsidRPr="006A76EA">
              <w:rPr>
                <w:bCs/>
              </w:rPr>
              <w:t>Course</w:t>
            </w:r>
          </w:p>
        </w:tc>
        <w:tc>
          <w:tcPr>
            <w:tcW w:w="786" w:type="dxa"/>
            <w:vMerge w:val="restart"/>
          </w:tcPr>
          <w:p w14:paraId="05677F5F" w14:textId="77777777" w:rsidR="00073F49" w:rsidRPr="006A76EA" w:rsidRDefault="00073F49" w:rsidP="00B64B8E">
            <w:pPr>
              <w:spacing w:after="100" w:afterAutospacing="1"/>
              <w:rPr>
                <w:b w:val="0"/>
                <w:bCs/>
              </w:rPr>
            </w:pPr>
            <w:r w:rsidRPr="006A76EA">
              <w:rPr>
                <w:bCs/>
              </w:rPr>
              <w:t xml:space="preserve">Course </w:t>
            </w:r>
            <w:r>
              <w:rPr>
                <w:bCs/>
              </w:rPr>
              <w:t>t</w:t>
            </w:r>
            <w:r w:rsidRPr="006A76EA">
              <w:rPr>
                <w:bCs/>
              </w:rPr>
              <w:t>ype</w:t>
            </w:r>
          </w:p>
        </w:tc>
        <w:tc>
          <w:tcPr>
            <w:tcW w:w="4296" w:type="dxa"/>
            <w:gridSpan w:val="7"/>
          </w:tcPr>
          <w:p w14:paraId="6E8E1B3A" w14:textId="55AF616F" w:rsidR="00073F49" w:rsidRPr="006A76EA" w:rsidRDefault="00073F49" w:rsidP="00B64B8E">
            <w:pPr>
              <w:spacing w:after="100" w:afterAutospacing="1"/>
              <w:jc w:val="center"/>
              <w:rPr>
                <w:b w:val="0"/>
                <w:bCs/>
              </w:rPr>
            </w:pPr>
            <w:r w:rsidRPr="006A76EA">
              <w:rPr>
                <w:bCs/>
              </w:rPr>
              <w:t xml:space="preserve">General </w:t>
            </w:r>
            <w:r w:rsidR="00581675">
              <w:rPr>
                <w:bCs/>
              </w:rPr>
              <w:t>C</w:t>
            </w:r>
            <w:r w:rsidRPr="006A76EA">
              <w:rPr>
                <w:bCs/>
              </w:rPr>
              <w:t>apabilities</w:t>
            </w:r>
          </w:p>
        </w:tc>
      </w:tr>
      <w:tr w:rsidR="00073F49" w:rsidRPr="006A76EA" w14:paraId="2DE5C9E3" w14:textId="77777777" w:rsidTr="00B64B8E">
        <w:trPr>
          <w:trHeight w:val="142"/>
        </w:trPr>
        <w:tc>
          <w:tcPr>
            <w:tcW w:w="846" w:type="dxa"/>
            <w:vMerge/>
          </w:tcPr>
          <w:p w14:paraId="056ABE7F" w14:textId="77777777" w:rsidR="00073F49" w:rsidRPr="006A76EA" w:rsidRDefault="00073F49" w:rsidP="00B64B8E">
            <w:pPr>
              <w:spacing w:after="100" w:afterAutospacing="1"/>
              <w:rPr>
                <w:b/>
                <w:bCs/>
              </w:rPr>
            </w:pPr>
          </w:p>
        </w:tc>
        <w:tc>
          <w:tcPr>
            <w:tcW w:w="3132" w:type="dxa"/>
            <w:vMerge/>
          </w:tcPr>
          <w:p w14:paraId="6B1AB8D8" w14:textId="77777777" w:rsidR="00073F49" w:rsidRPr="006A76EA" w:rsidRDefault="00073F49" w:rsidP="00B64B8E">
            <w:pPr>
              <w:spacing w:after="100" w:afterAutospacing="1"/>
              <w:rPr>
                <w:b/>
                <w:bCs/>
              </w:rPr>
            </w:pPr>
          </w:p>
        </w:tc>
        <w:tc>
          <w:tcPr>
            <w:tcW w:w="786" w:type="dxa"/>
            <w:vMerge/>
          </w:tcPr>
          <w:p w14:paraId="7B3224D6" w14:textId="77777777" w:rsidR="00073F49" w:rsidRPr="006A76EA" w:rsidRDefault="00073F49" w:rsidP="00B64B8E">
            <w:pPr>
              <w:spacing w:after="100" w:afterAutospacing="1"/>
              <w:rPr>
                <w:b/>
                <w:bCs/>
              </w:rPr>
            </w:pPr>
          </w:p>
        </w:tc>
        <w:tc>
          <w:tcPr>
            <w:tcW w:w="613" w:type="dxa"/>
          </w:tcPr>
          <w:p w14:paraId="4DBC1503" w14:textId="77777777" w:rsidR="00073F49" w:rsidRPr="006A76EA" w:rsidRDefault="00073F49" w:rsidP="00B64B8E">
            <w:pPr>
              <w:spacing w:after="100" w:afterAutospacing="1"/>
              <w:jc w:val="center"/>
              <w:rPr>
                <w:b/>
                <w:bCs/>
              </w:rPr>
            </w:pPr>
            <w:r w:rsidRPr="001F0833">
              <w:rPr>
                <w:rFonts w:ascii="Calibri" w:eastAsia="Calibri" w:hAnsi="Calibri" w:cs="Calibri"/>
                <w:b/>
                <w:bCs/>
              </w:rPr>
              <w:t>CCT</w:t>
            </w:r>
          </w:p>
        </w:tc>
        <w:tc>
          <w:tcPr>
            <w:tcW w:w="614" w:type="dxa"/>
          </w:tcPr>
          <w:p w14:paraId="437EE3E3" w14:textId="77777777" w:rsidR="00073F49" w:rsidRPr="006A76EA" w:rsidRDefault="00073F49" w:rsidP="00B64B8E">
            <w:pPr>
              <w:spacing w:after="100" w:afterAutospacing="1"/>
              <w:jc w:val="center"/>
              <w:rPr>
                <w:b/>
                <w:bCs/>
              </w:rPr>
            </w:pPr>
            <w:r w:rsidRPr="001F0833">
              <w:rPr>
                <w:rFonts w:ascii="Calibri" w:eastAsia="Calibri" w:hAnsi="Calibri" w:cs="Calibri"/>
                <w:b/>
                <w:bCs/>
              </w:rPr>
              <w:t>DL</w:t>
            </w:r>
          </w:p>
        </w:tc>
        <w:tc>
          <w:tcPr>
            <w:tcW w:w="614" w:type="dxa"/>
          </w:tcPr>
          <w:p w14:paraId="75F96676" w14:textId="77777777" w:rsidR="00073F49" w:rsidRPr="006A76EA" w:rsidRDefault="00073F49" w:rsidP="00B64B8E">
            <w:pPr>
              <w:spacing w:after="100" w:afterAutospacing="1"/>
              <w:jc w:val="center"/>
              <w:rPr>
                <w:b/>
                <w:bCs/>
              </w:rPr>
            </w:pPr>
            <w:r w:rsidRPr="001F0833">
              <w:rPr>
                <w:rFonts w:ascii="Calibri" w:eastAsia="Calibri" w:hAnsi="Calibri" w:cs="Calibri"/>
                <w:b/>
                <w:bCs/>
              </w:rPr>
              <w:t>EU</w:t>
            </w:r>
          </w:p>
        </w:tc>
        <w:tc>
          <w:tcPr>
            <w:tcW w:w="613" w:type="dxa"/>
          </w:tcPr>
          <w:p w14:paraId="7BDCA564" w14:textId="77777777" w:rsidR="00073F49" w:rsidRPr="006A76EA" w:rsidRDefault="00073F49" w:rsidP="00B64B8E">
            <w:pPr>
              <w:spacing w:after="100" w:afterAutospacing="1"/>
              <w:jc w:val="center"/>
              <w:rPr>
                <w:b/>
                <w:bCs/>
              </w:rPr>
            </w:pPr>
            <w:r w:rsidRPr="001F0833">
              <w:rPr>
                <w:rFonts w:ascii="Calibri" w:eastAsia="Calibri" w:hAnsi="Calibri" w:cs="Calibri"/>
                <w:b/>
                <w:bCs/>
              </w:rPr>
              <w:t>IU</w:t>
            </w:r>
          </w:p>
        </w:tc>
        <w:tc>
          <w:tcPr>
            <w:tcW w:w="614" w:type="dxa"/>
          </w:tcPr>
          <w:p w14:paraId="5AC1D627" w14:textId="77777777" w:rsidR="00073F49" w:rsidRPr="006A76EA" w:rsidRDefault="00073F49" w:rsidP="00B64B8E">
            <w:pPr>
              <w:spacing w:after="100" w:afterAutospacing="1"/>
              <w:jc w:val="center"/>
              <w:rPr>
                <w:b/>
                <w:bCs/>
              </w:rPr>
            </w:pPr>
            <w:r w:rsidRPr="001F0833">
              <w:rPr>
                <w:rFonts w:ascii="Calibri" w:eastAsia="Calibri" w:hAnsi="Calibri" w:cs="Calibri"/>
                <w:b/>
                <w:bCs/>
              </w:rPr>
              <w:t>L</w:t>
            </w:r>
          </w:p>
        </w:tc>
        <w:tc>
          <w:tcPr>
            <w:tcW w:w="614" w:type="dxa"/>
          </w:tcPr>
          <w:p w14:paraId="59417480" w14:textId="77777777" w:rsidR="00073F49" w:rsidRPr="006A76EA" w:rsidRDefault="00073F49" w:rsidP="00B64B8E">
            <w:pPr>
              <w:spacing w:after="100" w:afterAutospacing="1"/>
              <w:jc w:val="center"/>
              <w:rPr>
                <w:b/>
                <w:bCs/>
              </w:rPr>
            </w:pPr>
            <w:r w:rsidRPr="001F0833">
              <w:rPr>
                <w:rFonts w:ascii="Calibri" w:eastAsia="Calibri" w:hAnsi="Calibri" w:cs="Calibri"/>
                <w:b/>
                <w:bCs/>
              </w:rPr>
              <w:t>N</w:t>
            </w:r>
          </w:p>
        </w:tc>
        <w:tc>
          <w:tcPr>
            <w:tcW w:w="614" w:type="dxa"/>
          </w:tcPr>
          <w:p w14:paraId="3F1F46A4" w14:textId="77777777" w:rsidR="00073F49" w:rsidRPr="006A76EA" w:rsidRDefault="00073F49" w:rsidP="00B64B8E">
            <w:pPr>
              <w:spacing w:after="100" w:afterAutospacing="1"/>
              <w:jc w:val="center"/>
              <w:rPr>
                <w:b/>
                <w:bCs/>
              </w:rPr>
            </w:pPr>
            <w:r w:rsidRPr="001F0833">
              <w:rPr>
                <w:rFonts w:ascii="Calibri" w:eastAsia="Calibri" w:hAnsi="Calibri" w:cs="Calibri"/>
                <w:b/>
                <w:bCs/>
              </w:rPr>
              <w:t>PSC</w:t>
            </w:r>
          </w:p>
        </w:tc>
      </w:tr>
      <w:bookmarkEnd w:id="32"/>
      <w:tr w:rsidR="00073F49" w14:paraId="2324F694" w14:textId="77777777" w:rsidTr="00B64B8E">
        <w:trPr>
          <w:trHeight w:val="261"/>
        </w:trPr>
        <w:tc>
          <w:tcPr>
            <w:tcW w:w="846" w:type="dxa"/>
          </w:tcPr>
          <w:p w14:paraId="637EC7CE" w14:textId="77777777" w:rsidR="00073F49" w:rsidRDefault="00073F49" w:rsidP="00B64B8E">
            <w:pPr>
              <w:spacing w:after="100" w:afterAutospacing="1"/>
            </w:pPr>
            <w:r>
              <w:t>Year 11</w:t>
            </w:r>
          </w:p>
        </w:tc>
        <w:tc>
          <w:tcPr>
            <w:tcW w:w="3132" w:type="dxa"/>
          </w:tcPr>
          <w:p w14:paraId="11C40879" w14:textId="77777777" w:rsidR="00073F49" w:rsidRPr="0072295D" w:rsidRDefault="00073F49" w:rsidP="00B64B8E">
            <w:pPr>
              <w:spacing w:after="100" w:afterAutospacing="1"/>
            </w:pPr>
            <w:r w:rsidRPr="00702245">
              <w:rPr>
                <w:rFonts w:ascii="Calibri" w:hAnsi="Calibri" w:cs="Calibri"/>
                <w:lang w:eastAsia="en-AU"/>
              </w:rPr>
              <w:t>Aboriginal and Intercultural Studies</w:t>
            </w:r>
            <w:r>
              <w:rPr>
                <w:rFonts w:ascii="Calibri" w:hAnsi="Calibri" w:cs="Calibri"/>
                <w:lang w:eastAsia="en-AU"/>
              </w:rPr>
              <w:t xml:space="preserve"> (AEAIS)</w:t>
            </w:r>
          </w:p>
        </w:tc>
        <w:tc>
          <w:tcPr>
            <w:tcW w:w="786" w:type="dxa"/>
          </w:tcPr>
          <w:p w14:paraId="2885CD3F" w14:textId="77777777" w:rsidR="00073F49" w:rsidRDefault="00073F49" w:rsidP="00B64B8E">
            <w:pPr>
              <w:spacing w:after="100" w:afterAutospacing="1"/>
            </w:pPr>
            <w:r>
              <w:t>ATAR</w:t>
            </w:r>
          </w:p>
        </w:tc>
        <w:tc>
          <w:tcPr>
            <w:tcW w:w="613" w:type="dxa"/>
          </w:tcPr>
          <w:p w14:paraId="301FA1B6" w14:textId="77777777" w:rsidR="00073F49" w:rsidRPr="0072295D" w:rsidRDefault="00073F49" w:rsidP="00B64B8E">
            <w:pPr>
              <w:spacing w:after="100" w:afterAutospacing="1"/>
              <w:jc w:val="center"/>
            </w:pPr>
            <w:r w:rsidRPr="0072295D">
              <w:sym w:font="Wingdings" w:char="F0FC"/>
            </w:r>
          </w:p>
        </w:tc>
        <w:tc>
          <w:tcPr>
            <w:tcW w:w="614" w:type="dxa"/>
            <w:shd w:val="clear" w:color="auto" w:fill="DECFE8" w:themeFill="accent5"/>
          </w:tcPr>
          <w:p w14:paraId="488B82F5" w14:textId="77777777" w:rsidR="00073F49" w:rsidRPr="0072295D" w:rsidRDefault="00073F49" w:rsidP="00B64B8E">
            <w:pPr>
              <w:spacing w:after="100" w:afterAutospacing="1"/>
              <w:jc w:val="center"/>
            </w:pPr>
          </w:p>
        </w:tc>
        <w:tc>
          <w:tcPr>
            <w:tcW w:w="614" w:type="dxa"/>
          </w:tcPr>
          <w:p w14:paraId="2B2BC18E" w14:textId="77777777" w:rsidR="00073F49" w:rsidRPr="0072295D" w:rsidRDefault="00073F49" w:rsidP="00B64B8E">
            <w:pPr>
              <w:spacing w:after="100" w:afterAutospacing="1"/>
              <w:jc w:val="center"/>
            </w:pPr>
            <w:r w:rsidRPr="0072295D">
              <w:sym w:font="Wingdings" w:char="F0FC"/>
            </w:r>
          </w:p>
        </w:tc>
        <w:tc>
          <w:tcPr>
            <w:tcW w:w="613" w:type="dxa"/>
          </w:tcPr>
          <w:p w14:paraId="48AD222D" w14:textId="77777777" w:rsidR="00073F49" w:rsidRPr="0072295D" w:rsidRDefault="00073F49" w:rsidP="00B64B8E">
            <w:pPr>
              <w:spacing w:after="100" w:afterAutospacing="1"/>
              <w:jc w:val="center"/>
            </w:pPr>
            <w:r w:rsidRPr="0072295D">
              <w:sym w:font="Wingdings" w:char="F0FC"/>
            </w:r>
          </w:p>
        </w:tc>
        <w:tc>
          <w:tcPr>
            <w:tcW w:w="614" w:type="dxa"/>
          </w:tcPr>
          <w:p w14:paraId="3504FE07" w14:textId="77777777" w:rsidR="00073F49" w:rsidRDefault="00073F49" w:rsidP="00B64B8E">
            <w:pPr>
              <w:spacing w:after="100" w:afterAutospacing="1"/>
              <w:jc w:val="center"/>
            </w:pPr>
            <w:r w:rsidRPr="0072295D">
              <w:sym w:font="Wingdings" w:char="F0FC"/>
            </w:r>
          </w:p>
        </w:tc>
        <w:tc>
          <w:tcPr>
            <w:tcW w:w="614" w:type="dxa"/>
            <w:shd w:val="clear" w:color="auto" w:fill="DECFE8" w:themeFill="accent5"/>
          </w:tcPr>
          <w:p w14:paraId="1B9218AE" w14:textId="77777777" w:rsidR="00073F49" w:rsidRDefault="00073F49" w:rsidP="00B64B8E">
            <w:pPr>
              <w:spacing w:after="100" w:afterAutospacing="1"/>
              <w:jc w:val="center"/>
            </w:pPr>
          </w:p>
        </w:tc>
        <w:tc>
          <w:tcPr>
            <w:tcW w:w="614" w:type="dxa"/>
          </w:tcPr>
          <w:p w14:paraId="4EC97F49" w14:textId="77777777" w:rsidR="00073F49" w:rsidRDefault="00073F49" w:rsidP="00B64B8E">
            <w:pPr>
              <w:spacing w:after="100" w:afterAutospacing="1"/>
              <w:jc w:val="center"/>
            </w:pPr>
            <w:r w:rsidRPr="0072295D">
              <w:sym w:font="Wingdings" w:char="F0FC"/>
            </w:r>
          </w:p>
        </w:tc>
      </w:tr>
      <w:tr w:rsidR="00073F49" w14:paraId="530607AC" w14:textId="77777777" w:rsidTr="00B64B8E">
        <w:trPr>
          <w:trHeight w:val="261"/>
        </w:trPr>
        <w:tc>
          <w:tcPr>
            <w:tcW w:w="846" w:type="dxa"/>
          </w:tcPr>
          <w:p w14:paraId="5C14442F" w14:textId="77777777" w:rsidR="00073F49" w:rsidRDefault="00073F49" w:rsidP="00B64B8E">
            <w:pPr>
              <w:spacing w:after="100" w:afterAutospacing="1"/>
            </w:pPr>
            <w:r>
              <w:t>Year 12</w:t>
            </w:r>
          </w:p>
        </w:tc>
        <w:tc>
          <w:tcPr>
            <w:tcW w:w="3132" w:type="dxa"/>
          </w:tcPr>
          <w:p w14:paraId="1088B6AA" w14:textId="77777777" w:rsidR="00073F49" w:rsidRPr="0072295D" w:rsidRDefault="00073F49" w:rsidP="00B64B8E">
            <w:pPr>
              <w:spacing w:after="100" w:afterAutospacing="1"/>
            </w:pPr>
            <w:r w:rsidRPr="00702245">
              <w:rPr>
                <w:rFonts w:ascii="Calibri" w:hAnsi="Calibri" w:cs="Calibri"/>
                <w:lang w:eastAsia="en-AU"/>
              </w:rPr>
              <w:t>Aboriginal and Intercultural Studies</w:t>
            </w:r>
            <w:r>
              <w:rPr>
                <w:rFonts w:ascii="Calibri" w:hAnsi="Calibri" w:cs="Calibri"/>
                <w:lang w:eastAsia="en-AU"/>
              </w:rPr>
              <w:t xml:space="preserve"> (ATAIS)</w:t>
            </w:r>
          </w:p>
        </w:tc>
        <w:tc>
          <w:tcPr>
            <w:tcW w:w="786" w:type="dxa"/>
          </w:tcPr>
          <w:p w14:paraId="67D44756" w14:textId="77777777" w:rsidR="00073F49" w:rsidRDefault="00073F49" w:rsidP="00B64B8E">
            <w:pPr>
              <w:spacing w:after="100" w:afterAutospacing="1"/>
            </w:pPr>
            <w:r>
              <w:t>ATAR</w:t>
            </w:r>
          </w:p>
        </w:tc>
        <w:tc>
          <w:tcPr>
            <w:tcW w:w="613" w:type="dxa"/>
          </w:tcPr>
          <w:p w14:paraId="55C19531" w14:textId="77777777" w:rsidR="00073F49" w:rsidRPr="0072295D" w:rsidRDefault="00073F49" w:rsidP="00B64B8E">
            <w:pPr>
              <w:spacing w:after="100" w:afterAutospacing="1"/>
              <w:jc w:val="center"/>
            </w:pPr>
            <w:r w:rsidRPr="0072295D">
              <w:sym w:font="Wingdings" w:char="F0FC"/>
            </w:r>
          </w:p>
        </w:tc>
        <w:tc>
          <w:tcPr>
            <w:tcW w:w="614" w:type="dxa"/>
            <w:shd w:val="clear" w:color="auto" w:fill="DECFE8" w:themeFill="accent5"/>
          </w:tcPr>
          <w:p w14:paraId="7E8568AA" w14:textId="77777777" w:rsidR="00073F49" w:rsidRPr="0072295D" w:rsidRDefault="00073F49" w:rsidP="00B64B8E">
            <w:pPr>
              <w:spacing w:after="100" w:afterAutospacing="1"/>
              <w:jc w:val="center"/>
            </w:pPr>
          </w:p>
        </w:tc>
        <w:tc>
          <w:tcPr>
            <w:tcW w:w="614" w:type="dxa"/>
          </w:tcPr>
          <w:p w14:paraId="5F0D493A" w14:textId="77777777" w:rsidR="00073F49" w:rsidRPr="0072295D" w:rsidRDefault="00073F49" w:rsidP="00B64B8E">
            <w:pPr>
              <w:spacing w:after="100" w:afterAutospacing="1"/>
              <w:jc w:val="center"/>
            </w:pPr>
            <w:r w:rsidRPr="0072295D">
              <w:sym w:font="Wingdings" w:char="F0FC"/>
            </w:r>
          </w:p>
        </w:tc>
        <w:tc>
          <w:tcPr>
            <w:tcW w:w="613" w:type="dxa"/>
          </w:tcPr>
          <w:p w14:paraId="1BBF1F7F" w14:textId="77777777" w:rsidR="00073F49" w:rsidRPr="0072295D" w:rsidRDefault="00073F49" w:rsidP="00B64B8E">
            <w:pPr>
              <w:spacing w:after="100" w:afterAutospacing="1"/>
              <w:jc w:val="center"/>
            </w:pPr>
            <w:r w:rsidRPr="0072295D">
              <w:sym w:font="Wingdings" w:char="F0FC"/>
            </w:r>
          </w:p>
        </w:tc>
        <w:tc>
          <w:tcPr>
            <w:tcW w:w="614" w:type="dxa"/>
          </w:tcPr>
          <w:p w14:paraId="0E28146C" w14:textId="77777777" w:rsidR="00073F49" w:rsidRDefault="00073F49" w:rsidP="00B64B8E">
            <w:pPr>
              <w:spacing w:after="100" w:afterAutospacing="1"/>
              <w:jc w:val="center"/>
            </w:pPr>
            <w:r w:rsidRPr="0072295D">
              <w:sym w:font="Wingdings" w:char="F0FC"/>
            </w:r>
          </w:p>
        </w:tc>
        <w:tc>
          <w:tcPr>
            <w:tcW w:w="614" w:type="dxa"/>
            <w:shd w:val="clear" w:color="auto" w:fill="DECFE8" w:themeFill="accent5"/>
          </w:tcPr>
          <w:p w14:paraId="32A41913" w14:textId="77777777" w:rsidR="00073F49" w:rsidRDefault="00073F49" w:rsidP="00B64B8E">
            <w:pPr>
              <w:spacing w:after="100" w:afterAutospacing="1"/>
              <w:jc w:val="center"/>
            </w:pPr>
          </w:p>
        </w:tc>
        <w:tc>
          <w:tcPr>
            <w:tcW w:w="614" w:type="dxa"/>
          </w:tcPr>
          <w:p w14:paraId="5C62BD53" w14:textId="77777777" w:rsidR="00073F49" w:rsidRDefault="00073F49" w:rsidP="00B64B8E">
            <w:pPr>
              <w:spacing w:after="100" w:afterAutospacing="1"/>
              <w:jc w:val="center"/>
            </w:pPr>
            <w:r w:rsidRPr="0072295D">
              <w:sym w:font="Wingdings" w:char="F0FC"/>
            </w:r>
          </w:p>
        </w:tc>
      </w:tr>
    </w:tbl>
    <w:p w14:paraId="29612841" w14:textId="77777777" w:rsidR="00073F49" w:rsidRPr="001F0833" w:rsidRDefault="00073F49" w:rsidP="00073F49">
      <w:pPr>
        <w:spacing w:before="120" w:after="0"/>
        <w:rPr>
          <w:rFonts w:ascii="Calibri" w:eastAsia="Calibri" w:hAnsi="Calibri" w:cs="Calibri"/>
          <w:b/>
          <w:bCs/>
        </w:rPr>
      </w:pPr>
      <w:bookmarkStart w:id="33" w:name="_Hlk206573364"/>
      <w:bookmarkStart w:id="34" w:name="_Hlk203661361"/>
      <w:r w:rsidRPr="001F0833">
        <w:rPr>
          <w:rFonts w:ascii="Calibri" w:eastAsia="Calibri" w:hAnsi="Calibri" w:cs="Calibri"/>
          <w:b/>
          <w:bCs/>
        </w:rPr>
        <w:t>Key</w:t>
      </w:r>
    </w:p>
    <w:p w14:paraId="0F520621" w14:textId="77777777" w:rsidR="00073F49" w:rsidRPr="001F0833" w:rsidRDefault="00073F49" w:rsidP="00073F49">
      <w:pPr>
        <w:rPr>
          <w:rFonts w:ascii="Calibri" w:eastAsia="Calibri" w:hAnsi="Calibri" w:cs="Calibri"/>
        </w:rPr>
      </w:pPr>
      <w:bookmarkStart w:id="3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31"/>
      <w:bookmarkEnd w:id="33"/>
      <w:bookmarkEnd w:id="34"/>
      <w:bookmarkEnd w:id="35"/>
    </w:p>
    <w:p w14:paraId="6358FDFA" w14:textId="5DA6A642" w:rsidR="00CB0B33" w:rsidRPr="00A93F91" w:rsidRDefault="00CB0B33" w:rsidP="00263DEE">
      <w:pPr>
        <w:pStyle w:val="SCSAHeading2"/>
      </w:pPr>
      <w:bookmarkStart w:id="36" w:name="_Toc219802578"/>
      <w:r w:rsidRPr="00A93F91">
        <w:t xml:space="preserve">Representation of </w:t>
      </w:r>
      <w:r w:rsidR="000830BD">
        <w:t xml:space="preserve">the </w:t>
      </w:r>
      <w:r w:rsidR="00073F49">
        <w:t>Cross-curriculum Priorities</w:t>
      </w:r>
      <w:bookmarkEnd w:id="23"/>
      <w:bookmarkEnd w:id="36"/>
    </w:p>
    <w:p w14:paraId="68144499" w14:textId="6CE4C976" w:rsidR="00073439" w:rsidRPr="00552B03" w:rsidRDefault="00283643" w:rsidP="00AC1C10">
      <w:pPr>
        <w:rPr>
          <w:rFonts w:ascii="Calibri" w:hAnsi="Calibri" w:cs="Calibri"/>
        </w:rPr>
      </w:pPr>
      <w:r>
        <w:rPr>
          <w:rFonts w:ascii="Calibri" w:hAnsi="Calibri" w:cs="Calibri"/>
        </w:rPr>
        <w:t xml:space="preserve">The Cross-curriculum Priorities address the contemporary issues </w:t>
      </w:r>
      <w:r w:rsidR="00581675">
        <w:rPr>
          <w:rFonts w:ascii="Calibri" w:hAnsi="Calibri" w:cs="Calibri"/>
        </w:rPr>
        <w:t>that</w:t>
      </w:r>
      <w:r>
        <w:rPr>
          <w:rFonts w:ascii="Calibri" w:hAnsi="Calibri" w:cs="Calibri"/>
        </w:rPr>
        <w:t xml:space="preserve"> students face in a globalised world. Teachers may find opportunities to incorporate them into</w:t>
      </w:r>
      <w:r w:rsidR="009D793E" w:rsidRPr="00552B03">
        <w:rPr>
          <w:rFonts w:ascii="Calibri" w:hAnsi="Calibri" w:cs="Calibri"/>
        </w:rPr>
        <w:t xml:space="preserve"> the teaching and learning program for </w:t>
      </w:r>
      <w:r w:rsidR="007C6DD9" w:rsidRPr="00552B03">
        <w:rPr>
          <w:rFonts w:ascii="Calibri" w:hAnsi="Calibri" w:cs="Calibri"/>
        </w:rPr>
        <w:t xml:space="preserve">the </w:t>
      </w:r>
      <w:r w:rsidR="006735A0" w:rsidRPr="00552B03">
        <w:rPr>
          <w:rFonts w:ascii="Calibri" w:hAnsi="Calibri" w:cs="Calibri"/>
        </w:rPr>
        <w:t>Aboriginal and Intercultural Studies</w:t>
      </w:r>
      <w:r w:rsidR="007C6DD9" w:rsidRPr="00552B03">
        <w:rPr>
          <w:rFonts w:ascii="Calibri" w:hAnsi="Calibri" w:cs="Calibri"/>
        </w:rPr>
        <w:t xml:space="preserve"> ATAR course</w:t>
      </w:r>
      <w:r w:rsidR="006735A0" w:rsidRPr="00552B03">
        <w:rPr>
          <w:rFonts w:ascii="Calibri" w:hAnsi="Calibri" w:cs="Calibri"/>
        </w:rPr>
        <w:t>.</w:t>
      </w:r>
      <w:r w:rsidR="009D793E" w:rsidRPr="00552B03">
        <w:rPr>
          <w:rFonts w:ascii="Calibri" w:hAnsi="Calibri" w:cs="Calibri"/>
        </w:rPr>
        <w:t xml:space="preserve"> </w:t>
      </w:r>
      <w:r w:rsidR="00073439" w:rsidRPr="00552B03">
        <w:rPr>
          <w:rFonts w:ascii="Calibri" w:hAnsi="Calibri" w:cs="Calibri"/>
        </w:rPr>
        <w:t xml:space="preserve">The </w:t>
      </w:r>
      <w:r w:rsidR="00073F49">
        <w:rPr>
          <w:rFonts w:ascii="Calibri" w:hAnsi="Calibri" w:cs="Calibri"/>
        </w:rPr>
        <w:t>Cross-curriculum Priorities</w:t>
      </w:r>
      <w:r w:rsidR="00073439" w:rsidRPr="00552B03">
        <w:rPr>
          <w:rFonts w:ascii="Calibri" w:hAnsi="Calibri" w:cs="Calibri"/>
        </w:rPr>
        <w:t xml:space="preserve"> are not assessed unless they are identified within the specified unit content.</w:t>
      </w:r>
    </w:p>
    <w:p w14:paraId="6C98872F" w14:textId="3723FD95" w:rsidR="00426B9A" w:rsidRPr="006D4895" w:rsidRDefault="00426B9A" w:rsidP="00263DEE">
      <w:pPr>
        <w:pStyle w:val="SCSAHeading3"/>
      </w:pPr>
      <w:r w:rsidRPr="006D4895">
        <w:t>Aboriginal and Torres Strait Islander histories and cultures</w:t>
      </w:r>
    </w:p>
    <w:p w14:paraId="3286FB9A" w14:textId="77777777" w:rsidR="006735A0" w:rsidRPr="004C3D18" w:rsidRDefault="006735A0" w:rsidP="00AC1C10">
      <w:pPr>
        <w:rPr>
          <w:rFonts w:ascii="Calibri" w:hAnsi="Calibri" w:cs="Calibri"/>
        </w:rPr>
      </w:pPr>
      <w:r w:rsidRPr="004C3D18">
        <w:rPr>
          <w:rFonts w:ascii="Calibri" w:hAnsi="Calibri" w:cs="Calibri"/>
        </w:rPr>
        <w:t>The Aboriginal and Torres Strait Islander</w:t>
      </w:r>
      <w:r w:rsidR="00565DF1">
        <w:rPr>
          <w:rFonts w:ascii="Calibri" w:hAnsi="Calibri" w:cs="Calibri"/>
        </w:rPr>
        <w:t xml:space="preserve"> histories and cultures</w:t>
      </w:r>
      <w:r w:rsidRPr="004C3D18">
        <w:rPr>
          <w:rFonts w:ascii="Calibri" w:hAnsi="Calibri" w:cs="Calibri"/>
        </w:rPr>
        <w:t xml:space="preserve"> priority is integral to the Aboriginal and Intercultural </w:t>
      </w:r>
      <w:r w:rsidRPr="00795F9D">
        <w:t>Studies</w:t>
      </w:r>
      <w:r w:rsidRPr="004C3D18">
        <w:rPr>
          <w:rFonts w:ascii="Calibri" w:hAnsi="Calibri" w:cs="Calibri"/>
        </w:rPr>
        <w:t xml:space="preserve"> </w:t>
      </w:r>
      <w:r w:rsidR="007C6DD9">
        <w:rPr>
          <w:rFonts w:ascii="Calibri" w:hAnsi="Calibri" w:cs="Calibri"/>
        </w:rPr>
        <w:t xml:space="preserve">ATAR </w:t>
      </w:r>
      <w:r w:rsidRPr="00AC1C10">
        <w:t>course</w:t>
      </w:r>
      <w:r w:rsidRPr="004C3D18">
        <w:rPr>
          <w:rFonts w:ascii="Calibri" w:hAnsi="Calibri" w:cs="Calibri"/>
        </w:rPr>
        <w:t xml:space="preserve">. </w:t>
      </w:r>
      <w:r w:rsidR="00565DF1">
        <w:rPr>
          <w:rFonts w:ascii="Calibri" w:hAnsi="Calibri" w:cs="Calibri"/>
        </w:rPr>
        <w:t>The course</w:t>
      </w:r>
      <w:r w:rsidRPr="004C3D18">
        <w:rPr>
          <w:rFonts w:ascii="Calibri" w:hAnsi="Calibri" w:cs="Calibri"/>
        </w:rPr>
        <w:t xml:space="preserve"> celebrates Aboriginal and Torres Strait Islander histories as part of the shared history belonging to all Australians.</w:t>
      </w:r>
    </w:p>
    <w:p w14:paraId="7F6F2194" w14:textId="77777777" w:rsidR="006735A0" w:rsidRPr="004C3D18" w:rsidRDefault="00B37051" w:rsidP="00AC1C10">
      <w:pPr>
        <w:rPr>
          <w:rFonts w:ascii="Calibri" w:hAnsi="Calibri" w:cs="Calibri"/>
        </w:rPr>
      </w:pPr>
      <w:r>
        <w:rPr>
          <w:rFonts w:ascii="Calibri" w:hAnsi="Calibri" w:cs="Calibri"/>
        </w:rPr>
        <w:t>This course provides the opportunity to</w:t>
      </w:r>
      <w:r w:rsidR="006735A0" w:rsidRPr="004C3D18">
        <w:rPr>
          <w:rFonts w:ascii="Calibri" w:hAnsi="Calibri" w:cs="Calibri"/>
        </w:rPr>
        <w:t xml:space="preserve"> examine historical perspectives from an Aboriginal and Torres Strait Islander viewpoint</w:t>
      </w:r>
      <w:r>
        <w:rPr>
          <w:rFonts w:ascii="Calibri" w:hAnsi="Calibri" w:cs="Calibri"/>
        </w:rPr>
        <w:t xml:space="preserve"> through </w:t>
      </w:r>
      <w:r w:rsidRPr="00AC1C10">
        <w:t>investigating</w:t>
      </w:r>
      <w:r w:rsidR="006735A0" w:rsidRPr="004C3D18">
        <w:rPr>
          <w:rFonts w:ascii="Calibri" w:hAnsi="Calibri" w:cs="Calibri"/>
        </w:rPr>
        <w:t xml:space="preserve"> key policies and political movements over the last two </w:t>
      </w:r>
      <w:r w:rsidR="006735A0" w:rsidRPr="00795F9D">
        <w:t>centuries</w:t>
      </w:r>
      <w:r w:rsidR="006735A0" w:rsidRPr="004C3D18">
        <w:rPr>
          <w:rFonts w:ascii="Calibri" w:hAnsi="Calibri" w:cs="Calibri"/>
        </w:rPr>
        <w:t xml:space="preserve">. Students </w:t>
      </w:r>
      <w:r>
        <w:rPr>
          <w:rFonts w:ascii="Calibri" w:hAnsi="Calibri" w:cs="Calibri"/>
        </w:rPr>
        <w:t>have the opportunity to</w:t>
      </w:r>
      <w:r w:rsidR="006735A0" w:rsidRPr="004C3D18">
        <w:rPr>
          <w:rFonts w:ascii="Calibri" w:hAnsi="Calibri" w:cs="Calibri"/>
        </w:rPr>
        <w:t xml:space="preserve"> develop an awareness of the significant roles of Aboriginal and Torres Strait </w:t>
      </w:r>
      <w:r w:rsidR="007C6DD9">
        <w:rPr>
          <w:rFonts w:ascii="Calibri" w:hAnsi="Calibri" w:cs="Calibri"/>
        </w:rPr>
        <w:t>I</w:t>
      </w:r>
      <w:r w:rsidR="006735A0" w:rsidRPr="004C3D18">
        <w:rPr>
          <w:rFonts w:ascii="Calibri" w:hAnsi="Calibri" w:cs="Calibri"/>
        </w:rPr>
        <w:t xml:space="preserve">slander </w:t>
      </w:r>
      <w:r w:rsidR="007C6DD9">
        <w:rPr>
          <w:rFonts w:ascii="Calibri" w:hAnsi="Calibri" w:cs="Calibri"/>
        </w:rPr>
        <w:t>P</w:t>
      </w:r>
      <w:r w:rsidR="006735A0" w:rsidRPr="004C3D18">
        <w:rPr>
          <w:rFonts w:ascii="Calibri" w:hAnsi="Calibri" w:cs="Calibri"/>
        </w:rPr>
        <w:t>eople</w:t>
      </w:r>
      <w:r w:rsidR="007C6DD9">
        <w:rPr>
          <w:rFonts w:ascii="Calibri" w:hAnsi="Calibri" w:cs="Calibri"/>
        </w:rPr>
        <w:t>s</w:t>
      </w:r>
      <w:r w:rsidR="006735A0" w:rsidRPr="004C3D18">
        <w:rPr>
          <w:rFonts w:ascii="Calibri" w:hAnsi="Calibri" w:cs="Calibri"/>
        </w:rPr>
        <w:t xml:space="preserve"> in Australian society.</w:t>
      </w:r>
    </w:p>
    <w:p w14:paraId="6568146A" w14:textId="7AC4165E" w:rsidR="00426B9A" w:rsidRPr="006D4895" w:rsidRDefault="00426B9A" w:rsidP="00263DEE">
      <w:pPr>
        <w:pStyle w:val="SCSAHeading3"/>
      </w:pPr>
      <w:r w:rsidRPr="006D4895">
        <w:t>Asia and Australia</w:t>
      </w:r>
      <w:r w:rsidR="007F2BBD" w:rsidRPr="006D4895">
        <w:t>’</w:t>
      </w:r>
      <w:r w:rsidRPr="006D4895">
        <w:t>s engagement with Asia</w:t>
      </w:r>
    </w:p>
    <w:p w14:paraId="64E404D7" w14:textId="77777777" w:rsidR="006735A0" w:rsidRPr="00795F9D" w:rsidRDefault="006735A0" w:rsidP="00AC1C10">
      <w:r w:rsidRPr="004C3D18">
        <w:rPr>
          <w:rFonts w:ascii="Calibri" w:hAnsi="Calibri" w:cs="Calibri"/>
        </w:rPr>
        <w:t>Asia and Australia’s engagement with Asia reinforces understanding of the diversity of cultures and peoples living in Australia, fosters social inclusion and cohesion, and allows consideration of a variety of perspectives.</w:t>
      </w:r>
    </w:p>
    <w:p w14:paraId="1A9AA03F" w14:textId="4F9AFACD" w:rsidR="00426B9A" w:rsidRPr="006D4895" w:rsidRDefault="00426B9A" w:rsidP="00263DEE">
      <w:pPr>
        <w:pStyle w:val="SCSAHeading3"/>
      </w:pPr>
      <w:r w:rsidRPr="006D4895">
        <w:t>Sustainability</w:t>
      </w:r>
    </w:p>
    <w:p w14:paraId="2A249182" w14:textId="571EE6B3" w:rsidR="00DC3AEA" w:rsidRDefault="006735A0" w:rsidP="00AC1C10">
      <w:r w:rsidRPr="004C3D18">
        <w:rPr>
          <w:rFonts w:ascii="Calibri" w:hAnsi="Calibri" w:cs="Calibri"/>
        </w:rPr>
        <w:t xml:space="preserve">Sustainability addresses the ongoing capacity of Earth to maintain all life. The Aboriginal and Intercultural Studies </w:t>
      </w:r>
      <w:r w:rsidR="007C6DD9">
        <w:rPr>
          <w:rFonts w:ascii="Calibri" w:hAnsi="Calibri" w:cs="Calibri"/>
        </w:rPr>
        <w:t xml:space="preserve">ATAR </w:t>
      </w:r>
      <w:r w:rsidRPr="004C3D18">
        <w:rPr>
          <w:rFonts w:ascii="Calibri" w:hAnsi="Calibri" w:cs="Calibri"/>
        </w:rPr>
        <w:t xml:space="preserve">course </w:t>
      </w:r>
      <w:r w:rsidRPr="00AC1C10">
        <w:t>examines</w:t>
      </w:r>
      <w:r w:rsidRPr="004C3D18">
        <w:rPr>
          <w:rFonts w:ascii="Calibri" w:hAnsi="Calibri" w:cs="Calibri"/>
        </w:rPr>
        <w:t xml:space="preserve"> the beliefs, values and traditions that have influenced the complex </w:t>
      </w:r>
      <w:r w:rsidRPr="00795F9D">
        <w:t>interrelations</w:t>
      </w:r>
      <w:r w:rsidRPr="004C3D18">
        <w:rPr>
          <w:rFonts w:ascii="Calibri" w:hAnsi="Calibri" w:cs="Calibri"/>
        </w:rPr>
        <w:t xml:space="preserve"> between people and their environment (</w:t>
      </w:r>
      <w:r w:rsidR="007C6DD9">
        <w:rPr>
          <w:rFonts w:ascii="Calibri" w:hAnsi="Calibri" w:cs="Calibri"/>
        </w:rPr>
        <w:t>C</w:t>
      </w:r>
      <w:r w:rsidRPr="004C3D18">
        <w:rPr>
          <w:rFonts w:ascii="Calibri" w:hAnsi="Calibri" w:cs="Calibri"/>
        </w:rPr>
        <w:t>ountry/</w:t>
      </w:r>
      <w:r w:rsidR="007C6DD9">
        <w:rPr>
          <w:rFonts w:ascii="Calibri" w:hAnsi="Calibri" w:cs="Calibri"/>
        </w:rPr>
        <w:t>L</w:t>
      </w:r>
      <w:r w:rsidRPr="004C3D18">
        <w:rPr>
          <w:rFonts w:ascii="Calibri" w:hAnsi="Calibri" w:cs="Calibri"/>
        </w:rPr>
        <w:t>and/</w:t>
      </w:r>
      <w:r w:rsidR="007C6DD9">
        <w:rPr>
          <w:rFonts w:ascii="Calibri" w:hAnsi="Calibri" w:cs="Calibri"/>
        </w:rPr>
        <w:t>W</w:t>
      </w:r>
      <w:r w:rsidRPr="004C3D18">
        <w:rPr>
          <w:rFonts w:ascii="Calibri" w:hAnsi="Calibri" w:cs="Calibri"/>
        </w:rPr>
        <w:t>ater). These beliefs, values and traditions provide the basis for exploring long</w:t>
      </w:r>
      <w:r w:rsidR="00E65CF7">
        <w:rPr>
          <w:rFonts w:ascii="Calibri" w:hAnsi="Calibri" w:cs="Calibri"/>
        </w:rPr>
        <w:t>-term</w:t>
      </w:r>
      <w:r w:rsidRPr="004C3D18">
        <w:rPr>
          <w:rFonts w:ascii="Calibri" w:hAnsi="Calibri" w:cs="Calibri"/>
        </w:rPr>
        <w:t xml:space="preserve"> and short-term human impacts or consequences on the natural environment in a range of cultural contexts. This</w:t>
      </w:r>
      <w:r w:rsidR="007C6DD9">
        <w:rPr>
          <w:rFonts w:ascii="Calibri" w:hAnsi="Calibri" w:cs="Calibri"/>
        </w:rPr>
        <w:t>,</w:t>
      </w:r>
      <w:r w:rsidRPr="004C3D18">
        <w:rPr>
          <w:rFonts w:ascii="Calibri" w:hAnsi="Calibri" w:cs="Calibri"/>
        </w:rPr>
        <w:t xml:space="preserve"> in turn</w:t>
      </w:r>
      <w:r w:rsidR="007C6DD9">
        <w:rPr>
          <w:rFonts w:ascii="Calibri" w:hAnsi="Calibri" w:cs="Calibri"/>
        </w:rPr>
        <w:t>,</w:t>
      </w:r>
      <w:r w:rsidRPr="004C3D18">
        <w:rPr>
          <w:rFonts w:ascii="Calibri" w:hAnsi="Calibri" w:cs="Calibri"/>
        </w:rPr>
        <w:t xml:space="preserve"> forms the basis for developing and articulating values pertaining to ecological sustainability.</w:t>
      </w:r>
      <w:r w:rsidR="00DC3AEA">
        <w:br w:type="page"/>
      </w:r>
    </w:p>
    <w:p w14:paraId="5AF383FA" w14:textId="13217472" w:rsidR="00AF5724" w:rsidRPr="00AF5724" w:rsidRDefault="00AF5724" w:rsidP="00263DEE">
      <w:pPr>
        <w:pStyle w:val="SCSAHeading1"/>
      </w:pPr>
      <w:bookmarkStart w:id="37" w:name="_Toc114664266"/>
      <w:bookmarkStart w:id="38" w:name="_Toc173315829"/>
      <w:bookmarkStart w:id="39" w:name="_Toc219802579"/>
      <w:r w:rsidRPr="00AF5724">
        <w:t>Principles and protocols for teaching and learning</w:t>
      </w:r>
      <w:bookmarkEnd w:id="37"/>
      <w:bookmarkEnd w:id="38"/>
      <w:bookmarkEnd w:id="39"/>
    </w:p>
    <w:p w14:paraId="4B1AF54C" w14:textId="78611973" w:rsidR="00AF5724" w:rsidRPr="00AF5724" w:rsidRDefault="00AF5724" w:rsidP="00AC1C10">
      <w:pPr>
        <w:rPr>
          <w:rFonts w:eastAsia="MS PGothic" w:cs="Mangal"/>
        </w:rPr>
      </w:pPr>
      <w:r w:rsidRPr="00AF5724">
        <w:rPr>
          <w:rFonts w:eastAsia="MS PGothic" w:cs="Mangal"/>
        </w:rPr>
        <w:t xml:space="preserve">The following principles and protocols </w:t>
      </w:r>
      <w:r w:rsidRPr="00AC1C10">
        <w:t>should</w:t>
      </w:r>
      <w:r w:rsidRPr="00AF5724">
        <w:rPr>
          <w:rFonts w:eastAsia="MS PGothic" w:cs="Mangal"/>
        </w:rPr>
        <w:t xml:space="preserve"> be used in the development and delivery of this course</w:t>
      </w:r>
      <w:r w:rsidR="006B540C">
        <w:rPr>
          <w:rFonts w:eastAsia="MS PGothic" w:cs="Mangal"/>
        </w:rPr>
        <w:t>.</w:t>
      </w:r>
    </w:p>
    <w:p w14:paraId="64413887" w14:textId="77777777" w:rsidR="00AF5724" w:rsidRPr="00AF5724" w:rsidRDefault="00AF5724" w:rsidP="00342C31">
      <w:pPr>
        <w:pStyle w:val="SCSAHeading2"/>
        <w:rPr>
          <w:lang w:eastAsia="en-AU"/>
        </w:rPr>
      </w:pPr>
      <w:bookmarkStart w:id="40" w:name="_Toc219802580"/>
      <w:r w:rsidRPr="00AF5724">
        <w:rPr>
          <w:lang w:eastAsia="en-AU"/>
        </w:rPr>
        <w:t>Cultural safety and responsiveness</w:t>
      </w:r>
      <w:bookmarkEnd w:id="40"/>
    </w:p>
    <w:p w14:paraId="35227DAB" w14:textId="16D4263D" w:rsidR="00AF5724" w:rsidRPr="00AC1C10" w:rsidRDefault="00AF5724">
      <w:pPr>
        <w:pStyle w:val="ListParagraph"/>
        <w:numPr>
          <w:ilvl w:val="0"/>
          <w:numId w:val="4"/>
        </w:numPr>
      </w:pPr>
      <w:r w:rsidRPr="00AC1C10">
        <w:t>Recognise and engage with local community members, Elders and/or First Nations Peoples educators.</w:t>
      </w:r>
    </w:p>
    <w:p w14:paraId="073BCECF" w14:textId="3A29FDC0" w:rsidR="00AF5724" w:rsidRPr="00AC1C10" w:rsidRDefault="00AF5724">
      <w:pPr>
        <w:pStyle w:val="ListParagraph"/>
        <w:numPr>
          <w:ilvl w:val="0"/>
          <w:numId w:val="4"/>
        </w:numPr>
      </w:pPr>
      <w:r w:rsidRPr="00AC1C10">
        <w:t xml:space="preserve">Use credible resources produced by or developed in consultation with First Nations Peoples, which provide an active First Nations </w:t>
      </w:r>
      <w:r w:rsidR="00DD446C" w:rsidRPr="00AC1C10">
        <w:t>Peoples</w:t>
      </w:r>
      <w:r w:rsidR="0098192E" w:rsidRPr="00AC1C10">
        <w:t>’</w:t>
      </w:r>
      <w:r w:rsidRPr="00AC1C10">
        <w:t xml:space="preserve"> voice and a range of perspectives.</w:t>
      </w:r>
    </w:p>
    <w:p w14:paraId="1C798BD5" w14:textId="1678A9F6" w:rsidR="00AF5724" w:rsidRPr="00AC1C10" w:rsidRDefault="00AF5724">
      <w:pPr>
        <w:pStyle w:val="ListParagraph"/>
        <w:numPr>
          <w:ilvl w:val="0"/>
          <w:numId w:val="4"/>
        </w:numPr>
      </w:pPr>
      <w:r w:rsidRPr="00AC1C10">
        <w:t>Respect and acknowledge that ownership and teaching of First Nations Peoples</w:t>
      </w:r>
      <w:r w:rsidR="0098192E" w:rsidRPr="00AC1C10">
        <w:t>’</w:t>
      </w:r>
      <w:r w:rsidRPr="00AC1C10">
        <w:t xml:space="preserve"> histories and cultures (e.g. traditional practices, spiritual and sacred knowledge) remains with First Nations families and communities.</w:t>
      </w:r>
    </w:p>
    <w:p w14:paraId="7DF6196E" w14:textId="4D9DE4CD" w:rsidR="00AF5724" w:rsidRPr="00AC1C10" w:rsidRDefault="00AF5724">
      <w:pPr>
        <w:pStyle w:val="ListParagraph"/>
        <w:numPr>
          <w:ilvl w:val="0"/>
          <w:numId w:val="4"/>
        </w:numPr>
      </w:pPr>
      <w:r w:rsidRPr="00AC1C10">
        <w:t>Build on the knowledge, skills and prior experiences that Australian First Nation</w:t>
      </w:r>
      <w:r w:rsidR="00C05D70" w:rsidRPr="00AC1C10">
        <w:t>s</w:t>
      </w:r>
      <w:r w:rsidRPr="00AC1C10">
        <w:t xml:space="preserve"> students bring with them to the classroom to ensure learning is relevant, connected and appropriate to achieve education success.</w:t>
      </w:r>
    </w:p>
    <w:p w14:paraId="653A93DC" w14:textId="77777777" w:rsidR="00AF5724" w:rsidRPr="00AC1C10" w:rsidRDefault="00AF5724">
      <w:pPr>
        <w:pStyle w:val="ListParagraph"/>
        <w:numPr>
          <w:ilvl w:val="0"/>
          <w:numId w:val="4"/>
        </w:numPr>
      </w:pPr>
      <w:r w:rsidRPr="00AC1C10">
        <w:t>Recognise and acknowledge that Australia’s First Nations Peoples form significant, diverse and resilient living communities within contemporary society.</w:t>
      </w:r>
    </w:p>
    <w:p w14:paraId="1347455A" w14:textId="62F95F4A" w:rsidR="00AF5724" w:rsidRPr="00AC1C10" w:rsidRDefault="00AF5724">
      <w:pPr>
        <w:pStyle w:val="ListParagraph"/>
        <w:numPr>
          <w:ilvl w:val="0"/>
          <w:numId w:val="4"/>
        </w:numPr>
      </w:pPr>
      <w:r w:rsidRPr="00AC1C10">
        <w:t>Create welcoming and supportive learning environments that respect the cultures, languages, experiences and world</w:t>
      </w:r>
      <w:r w:rsidR="00B16304" w:rsidRPr="00AC1C10">
        <w:t xml:space="preserve"> </w:t>
      </w:r>
      <w:r w:rsidRPr="00AC1C10">
        <w:t>views of all students.</w:t>
      </w:r>
    </w:p>
    <w:p w14:paraId="303C4CC9" w14:textId="77777777" w:rsidR="00AF5724" w:rsidRPr="00AC1C10" w:rsidRDefault="00AF5724">
      <w:pPr>
        <w:pStyle w:val="ListParagraph"/>
        <w:numPr>
          <w:ilvl w:val="0"/>
          <w:numId w:val="4"/>
        </w:numPr>
      </w:pPr>
      <w:r w:rsidRPr="00AC1C10">
        <w:t>Have the confidence and capability to pursue teaching and learning about, and with, Australian First Nations Peoples.</w:t>
      </w:r>
    </w:p>
    <w:p w14:paraId="50D9AC07" w14:textId="77777777" w:rsidR="00711306" w:rsidRPr="00342C31" w:rsidRDefault="00711306" w:rsidP="00342C31">
      <w:pPr>
        <w:pStyle w:val="SCSAHeading2"/>
        <w:rPr>
          <w:lang w:eastAsia="en-AU"/>
        </w:rPr>
      </w:pPr>
      <w:bookmarkStart w:id="41" w:name="_Toc219802581"/>
      <w:r w:rsidRPr="00342C31">
        <w:rPr>
          <w:lang w:eastAsia="en-AU"/>
        </w:rPr>
        <w:t>Historic terminology</w:t>
      </w:r>
      <w:bookmarkEnd w:id="41"/>
      <w:r w:rsidRPr="00342C31">
        <w:rPr>
          <w:lang w:eastAsia="en-AU"/>
        </w:rPr>
        <w:t xml:space="preserve"> </w:t>
      </w:r>
    </w:p>
    <w:p w14:paraId="35C8A08B" w14:textId="21F8480B" w:rsidR="00AE4B02" w:rsidRPr="00AC1C10" w:rsidRDefault="00711306">
      <w:pPr>
        <w:pStyle w:val="ListParagraph"/>
        <w:numPr>
          <w:ilvl w:val="0"/>
          <w:numId w:val="5"/>
        </w:numPr>
      </w:pPr>
      <w:r w:rsidRPr="00AC1C10">
        <w:t>Acknowledge that the syllabus and support materials include reference to some historical documents, policies and texts, which may include language that is now considered outdated or inappropriate. These terms reflect the norms and attitudes of the time in which they were written and do not represent the values we uphold today</w:t>
      </w:r>
      <w:bookmarkStart w:id="42" w:name="_Hlk205469300"/>
      <w:r w:rsidR="00AE4B02" w:rsidRPr="00AC1C10">
        <w:t xml:space="preserve"> – </w:t>
      </w:r>
      <w:bookmarkEnd w:id="42"/>
      <w:r w:rsidRPr="00AC1C10">
        <w:t>values that emphasise respect, inclusion and understanding. For example, terms like ‘Aborigines’</w:t>
      </w:r>
      <w:r w:rsidR="00AE4B02" w:rsidRPr="00AC1C10">
        <w:t xml:space="preserve"> </w:t>
      </w:r>
      <w:r w:rsidRPr="00AC1C10">
        <w:t>or 'half-caste' are considered extremely offensive when referring to Australian First Nations Peoples.</w:t>
      </w:r>
    </w:p>
    <w:p w14:paraId="0369640B" w14:textId="794DC93E" w:rsidR="00AE4B02" w:rsidRPr="00AC1C10" w:rsidRDefault="00711306">
      <w:pPr>
        <w:pStyle w:val="ListParagraph"/>
        <w:numPr>
          <w:ilvl w:val="0"/>
          <w:numId w:val="5"/>
        </w:numPr>
      </w:pPr>
      <w:r w:rsidRPr="00AC1C10">
        <w:t>In the classroom, teachers should approach these materials with care and context</w:t>
      </w:r>
      <w:r w:rsidR="00FF3FE4" w:rsidRPr="00AC1C10">
        <w:t>,</w:t>
      </w:r>
      <w:r w:rsidRPr="00AC1C10">
        <w:t xml:space="preserve"> </w:t>
      </w:r>
      <w:r w:rsidR="00AE4B02" w:rsidRPr="00AC1C10">
        <w:t>t</w:t>
      </w:r>
      <w:r w:rsidRPr="00AC1C10">
        <w:t xml:space="preserve">he aim being to help students critically engage with history, understand how language evolves and recognise the importance of creating inclusive communities. When encountering such terms, teachers should encourage open discussion, guided by empathy and a commitment to learning from </w:t>
      </w:r>
      <w:r w:rsidR="00437780" w:rsidRPr="00AC1C10">
        <w:br/>
      </w:r>
      <w:r w:rsidRPr="00AC1C10">
        <w:t>the past.</w:t>
      </w:r>
    </w:p>
    <w:p w14:paraId="6AC4D5F1" w14:textId="5EE86123" w:rsidR="00857B6D" w:rsidRPr="00AC1C10" w:rsidRDefault="00711306">
      <w:pPr>
        <w:pStyle w:val="ListParagraph"/>
        <w:numPr>
          <w:ilvl w:val="0"/>
          <w:numId w:val="5"/>
        </w:numPr>
      </w:pPr>
      <w:r w:rsidRPr="00AC1C10">
        <w:t>Using respectful and inclusive language and terminology is an essential part of reconciliation and strengthening relationships between First Nations Peoples and the wider community. Refer to</w:t>
      </w:r>
      <w:r w:rsidR="00AE4B02" w:rsidRPr="00AC1C10">
        <w:t xml:space="preserve"> </w:t>
      </w:r>
      <w:hyperlink r:id="rId15" w:history="1">
        <w:r w:rsidR="00601867" w:rsidRPr="00AC1C10">
          <w:rPr>
            <w:rStyle w:val="Hyperlink"/>
          </w:rPr>
          <w:t>https://www.narragunnawali.org.au/about/terminology-guide</w:t>
        </w:r>
      </w:hyperlink>
      <w:r w:rsidRPr="00AC1C10">
        <w:t xml:space="preserve"> for guidance on respectful terminology.</w:t>
      </w:r>
    </w:p>
    <w:p w14:paraId="0CF1F8D0" w14:textId="6373C120" w:rsidR="00BD216C" w:rsidRPr="003F58B4" w:rsidRDefault="00AF5724" w:rsidP="003F58B4">
      <w:pPr>
        <w:pStyle w:val="SCSAHeading2"/>
        <w:rPr>
          <w:lang w:eastAsia="en-AU"/>
        </w:rPr>
      </w:pPr>
      <w:bookmarkStart w:id="43" w:name="_Toc219802582"/>
      <w:r w:rsidRPr="003F58B4">
        <w:rPr>
          <w:lang w:eastAsia="en-AU"/>
        </w:rPr>
        <w:t>Teaching and learning program</w:t>
      </w:r>
      <w:bookmarkEnd w:id="43"/>
    </w:p>
    <w:p w14:paraId="53AEE36B" w14:textId="48008093" w:rsidR="00BD216C" w:rsidRPr="00AC1C10" w:rsidRDefault="00BD216C">
      <w:pPr>
        <w:pStyle w:val="ListParagraph"/>
        <w:numPr>
          <w:ilvl w:val="0"/>
          <w:numId w:val="6"/>
        </w:numPr>
      </w:pPr>
      <w:bookmarkStart w:id="44" w:name="_Hlk138058500"/>
      <w:r w:rsidRPr="00AC1C10">
        <w:t>The teaching and learning program of the course</w:t>
      </w:r>
      <w:r w:rsidR="00B30716" w:rsidRPr="00AC1C10">
        <w:t>,</w:t>
      </w:r>
      <w:r w:rsidRPr="00AC1C10">
        <w:t xml:space="preserve"> </w:t>
      </w:r>
      <w:r w:rsidR="00B30716" w:rsidRPr="00AC1C10">
        <w:t>where appropriate</w:t>
      </w:r>
      <w:r w:rsidR="008F0755" w:rsidRPr="00AC1C10">
        <w:t>,</w:t>
      </w:r>
      <w:r w:rsidR="00B30716" w:rsidRPr="00AC1C10">
        <w:t xml:space="preserve"> should</w:t>
      </w:r>
      <w:r w:rsidRPr="00AC1C10">
        <w:t xml:space="preserve"> be contextualised for the community in which the course is being delivered.</w:t>
      </w:r>
    </w:p>
    <w:bookmarkEnd w:id="44"/>
    <w:p w14:paraId="20BD70E4" w14:textId="5080E914" w:rsidR="00AF5724" w:rsidRPr="00AC1C10" w:rsidRDefault="00AF5724">
      <w:pPr>
        <w:pStyle w:val="ListParagraph"/>
        <w:numPr>
          <w:ilvl w:val="0"/>
          <w:numId w:val="6"/>
        </w:numPr>
      </w:pPr>
      <w:r w:rsidRPr="00AC1C10">
        <w:t>While the course uses the terms ‘First Nations Australians’ and ‘Australian First Nations Peoples</w:t>
      </w:r>
      <w:r w:rsidR="00AE4B02" w:rsidRPr="00AC1C10">
        <w:t>’</w:t>
      </w:r>
      <w:r w:rsidRPr="00AC1C10">
        <w:t>, it is important to use the language and terms preferred in a particular area or location.</w:t>
      </w:r>
    </w:p>
    <w:p w14:paraId="1EA09DE4" w14:textId="24FF383E" w:rsidR="00AF5724" w:rsidRPr="00AC1C10" w:rsidRDefault="00AF5724">
      <w:pPr>
        <w:pStyle w:val="ListParagraph"/>
        <w:numPr>
          <w:ilvl w:val="0"/>
          <w:numId w:val="6"/>
        </w:numPr>
      </w:pPr>
      <w:r w:rsidRPr="00AC1C10">
        <w:t xml:space="preserve">In this course, the term Australian First Nations Peoples includes both Aboriginal Peoples and Torres Strait Islander Peoples. The term First Nations Peoples is inclusive of both Australian First Nations Peoples and First Nations Peoples from countries other than Australia. </w:t>
      </w:r>
      <w:r w:rsidR="004304C1" w:rsidRPr="00AC1C10">
        <w:t>T</w:t>
      </w:r>
      <w:r w:rsidRPr="00AC1C10">
        <w:t xml:space="preserve">he </w:t>
      </w:r>
      <w:r w:rsidR="004304C1" w:rsidRPr="00AC1C10">
        <w:t xml:space="preserve">term Indigenous is used only when in direct relation to a policy or in reference to a specific text which uses </w:t>
      </w:r>
      <w:r w:rsidR="00F44BA0" w:rsidRPr="00AC1C10">
        <w:t>the term Indigenous in the title of the policy and/or document.</w:t>
      </w:r>
    </w:p>
    <w:p w14:paraId="12D5FD1C" w14:textId="77777777" w:rsidR="00AF5724" w:rsidRPr="00AC1C10" w:rsidRDefault="00AF5724">
      <w:pPr>
        <w:pStyle w:val="ListParagraph"/>
        <w:numPr>
          <w:ilvl w:val="0"/>
          <w:numId w:val="6"/>
        </w:numPr>
      </w:pPr>
      <w:r w:rsidRPr="00AC1C10">
        <w:t>Include where possible, and within the bounds of the syllabus, case studies, examples and issues that align with the locality of the school delivering the course.</w:t>
      </w:r>
    </w:p>
    <w:p w14:paraId="365BE760" w14:textId="77777777" w:rsidR="00AF5724" w:rsidRPr="00AC1C10" w:rsidRDefault="00AF5724">
      <w:pPr>
        <w:pStyle w:val="ListParagraph"/>
        <w:numPr>
          <w:ilvl w:val="0"/>
          <w:numId w:val="6"/>
        </w:numPr>
      </w:pPr>
      <w:r w:rsidRPr="00AC1C10">
        <w:t>Ensure that learning is built on and includes local, regional and national cultural knowledge and experience of Australian First Nations Peoples in partnership with local communities.</w:t>
      </w:r>
    </w:p>
    <w:p w14:paraId="5108E76A" w14:textId="28F4DDBE" w:rsidR="00BD216C" w:rsidRPr="00AC1C10" w:rsidRDefault="00AF5724">
      <w:pPr>
        <w:pStyle w:val="ListParagraph"/>
        <w:numPr>
          <w:ilvl w:val="0"/>
          <w:numId w:val="6"/>
        </w:numPr>
      </w:pPr>
      <w:r w:rsidRPr="00AC1C10">
        <w:t>Use other courses students are undertaking (e.g. EALD, VET courses such as Coastal and Land Management, Indigenous Rangers programs etc.) for cross-curricular learning opportunities, encouraging and supporting students to connect cultural, societal and historical knowledge.</w:t>
      </w:r>
    </w:p>
    <w:p w14:paraId="5E18DB21" w14:textId="63FBE18E" w:rsidR="00AF5724" w:rsidRPr="00827DBC" w:rsidRDefault="00AF5724" w:rsidP="00AC1C10">
      <w:pPr>
        <w:pStyle w:val="NoSpacing"/>
      </w:pPr>
      <w:r w:rsidRPr="00AF5724">
        <w:t xml:space="preserve">When </w:t>
      </w:r>
      <w:r w:rsidRPr="00AC1C10">
        <w:t>selecting</w:t>
      </w:r>
      <w:r w:rsidRPr="00AF5724">
        <w:t xml:space="preserve"> resources, teachers need to:</w:t>
      </w:r>
    </w:p>
    <w:p w14:paraId="7A9B57D4" w14:textId="0343A69B" w:rsidR="00AF5724" w:rsidRPr="00795F9D" w:rsidRDefault="00AF5724">
      <w:pPr>
        <w:pStyle w:val="ListParagraph"/>
        <w:numPr>
          <w:ilvl w:val="0"/>
          <w:numId w:val="7"/>
        </w:numPr>
      </w:pPr>
      <w:r w:rsidRPr="00AC1C10">
        <w:t>consult</w:t>
      </w:r>
      <w:r w:rsidRPr="00795F9D">
        <w:t xml:space="preserve"> with local community members and/or First Nations Peoples educators, if possible, about the terminology, resources and texts that can or cannot be used, and whether they may be accessed by some or all students</w:t>
      </w:r>
    </w:p>
    <w:p w14:paraId="5CC98B79" w14:textId="4509DBED" w:rsidR="00AF5724" w:rsidRPr="00795F9D" w:rsidRDefault="00AF5724">
      <w:pPr>
        <w:pStyle w:val="ListParagraph"/>
        <w:numPr>
          <w:ilvl w:val="0"/>
          <w:numId w:val="7"/>
        </w:numPr>
      </w:pPr>
      <w:r w:rsidRPr="00795F9D">
        <w:t xml:space="preserve">use respectful and inclusive language and terminology, such as those included in </w:t>
      </w:r>
      <w:r w:rsidRPr="00AC1C10">
        <w:rPr>
          <w:i/>
          <w:iCs/>
        </w:rPr>
        <w:t>A guide to using respectful and inclusive language and terminology</w:t>
      </w:r>
      <w:r w:rsidR="00EE280D">
        <w:br/>
      </w:r>
      <w:hyperlink r:id="rId16" w:history="1">
        <w:r w:rsidR="003B1A32" w:rsidRPr="003B1A32">
          <w:rPr>
            <w:rStyle w:val="Hyperlink"/>
          </w:rPr>
          <w:t>https://www.narragunnawali.org.au/about/terminology-guide</w:t>
        </w:r>
      </w:hyperlink>
    </w:p>
    <w:p w14:paraId="090F3EF0" w14:textId="45D5B022" w:rsidR="00AF5724" w:rsidRPr="00795F9D" w:rsidRDefault="00AF5724">
      <w:pPr>
        <w:pStyle w:val="ListParagraph"/>
        <w:numPr>
          <w:ilvl w:val="0"/>
          <w:numId w:val="7"/>
        </w:numPr>
      </w:pPr>
      <w:r w:rsidRPr="00AC1C10">
        <w:t>analyse</w:t>
      </w:r>
      <w:r w:rsidRPr="00795F9D">
        <w:t xml:space="preserve"> the resources using a framework of questions, such as those listed in </w:t>
      </w:r>
      <w:r w:rsidR="004F031D" w:rsidRPr="00AC1C10">
        <w:rPr>
          <w:i/>
          <w:iCs/>
        </w:rPr>
        <w:t>Subject Guides</w:t>
      </w:r>
      <w:r w:rsidRPr="00795F9D">
        <w:t xml:space="preserve"> </w:t>
      </w:r>
      <w:hyperlink r:id="rId17" w:history="1">
        <w:r w:rsidR="003B1A32" w:rsidRPr="00845297">
          <w:rPr>
            <w:rStyle w:val="Hyperlink"/>
          </w:rPr>
          <w:t>https://www.narragunnawali.org.au/about/subject-guides</w:t>
        </w:r>
      </w:hyperlink>
      <w:r w:rsidRPr="00795F9D">
        <w:t>.</w:t>
      </w:r>
    </w:p>
    <w:p w14:paraId="718964B2" w14:textId="6138F463" w:rsidR="00AF5724" w:rsidRPr="00AC1C10" w:rsidRDefault="00AF5724" w:rsidP="00AC1C10">
      <w:r w:rsidRPr="00AC1C10">
        <w:br w:type="page"/>
      </w:r>
    </w:p>
    <w:p w14:paraId="562F2A72" w14:textId="0D7773B3" w:rsidR="00416C3D" w:rsidRPr="00A93F91" w:rsidRDefault="000933B2" w:rsidP="00263DEE">
      <w:pPr>
        <w:pStyle w:val="SCSAHeading1"/>
      </w:pPr>
      <w:bookmarkStart w:id="45" w:name="_Toc173315830"/>
      <w:bookmarkStart w:id="46" w:name="_Toc219802583"/>
      <w:bookmarkEnd w:id="24"/>
      <w:r>
        <w:t>Unit 1</w:t>
      </w:r>
      <w:bookmarkEnd w:id="45"/>
      <w:bookmarkEnd w:id="46"/>
    </w:p>
    <w:p w14:paraId="6A7C493A" w14:textId="497AEB3A" w:rsidR="00540775" w:rsidRPr="00A93F91" w:rsidRDefault="00540775" w:rsidP="00263DEE">
      <w:pPr>
        <w:pStyle w:val="SCSAHeading2"/>
      </w:pPr>
      <w:bookmarkStart w:id="47" w:name="_Toc173315831"/>
      <w:bookmarkStart w:id="48" w:name="_Toc219802584"/>
      <w:r w:rsidRPr="00A93F91">
        <w:t>Unit description</w:t>
      </w:r>
      <w:bookmarkEnd w:id="47"/>
      <w:bookmarkEnd w:id="48"/>
    </w:p>
    <w:p w14:paraId="0953AD70" w14:textId="4B72A8B8" w:rsidR="00384076" w:rsidRDefault="00443748" w:rsidP="00AC1C10">
      <w:pPr>
        <w:rPr>
          <w:rFonts w:cs="Times New Roman"/>
        </w:rPr>
      </w:pPr>
      <w:bookmarkStart w:id="49" w:name="_Toc347908214"/>
      <w:r w:rsidRPr="0010526A">
        <w:rPr>
          <w:rFonts w:cs="Times New Roman"/>
        </w:rPr>
        <w:t>The focus for this unit is to develop knowledge and understanding of Australia</w:t>
      </w:r>
      <w:r w:rsidR="006A0AFB" w:rsidRPr="0010526A">
        <w:rPr>
          <w:rFonts w:cs="Times New Roman"/>
        </w:rPr>
        <w:t>n</w:t>
      </w:r>
      <w:r w:rsidRPr="0010526A">
        <w:rPr>
          <w:rFonts w:cs="Times New Roman"/>
        </w:rPr>
        <w:t xml:space="preserve"> First Nations Peoples as being the oldest living continuous cultures in the world.</w:t>
      </w:r>
      <w:r w:rsidR="006F700D" w:rsidRPr="0010526A">
        <w:rPr>
          <w:rFonts w:cs="Times New Roman"/>
        </w:rPr>
        <w:t xml:space="preserve"> </w:t>
      </w:r>
      <w:r w:rsidR="00F07994">
        <w:rPr>
          <w:rFonts w:cs="Times New Roman"/>
        </w:rPr>
        <w:t>The unit begins with a</w:t>
      </w:r>
      <w:r w:rsidR="00DB1BBF">
        <w:rPr>
          <w:rFonts w:cs="Times New Roman"/>
        </w:rPr>
        <w:t>n</w:t>
      </w:r>
      <w:r w:rsidR="00F07994">
        <w:rPr>
          <w:rFonts w:cs="Times New Roman"/>
        </w:rPr>
        <w:t xml:space="preserve"> overview exploring the </w:t>
      </w:r>
      <w:r w:rsidR="00E835B0">
        <w:rPr>
          <w:rFonts w:cs="Times New Roman"/>
        </w:rPr>
        <w:t>g</w:t>
      </w:r>
      <w:r w:rsidR="00F07994">
        <w:rPr>
          <w:rFonts w:cs="Times New Roman"/>
        </w:rPr>
        <w:t xml:space="preserve">lobal </w:t>
      </w:r>
      <w:r w:rsidR="00E21CE3">
        <w:rPr>
          <w:rFonts w:cs="Times New Roman"/>
        </w:rPr>
        <w:t>diversity</w:t>
      </w:r>
      <w:r w:rsidR="00F07994">
        <w:rPr>
          <w:rFonts w:cs="Times New Roman"/>
        </w:rPr>
        <w:t xml:space="preserve"> of First Nations Peoples. </w:t>
      </w:r>
      <w:r w:rsidR="006F700D" w:rsidRPr="0010526A">
        <w:rPr>
          <w:rFonts w:cs="Times New Roman"/>
        </w:rPr>
        <w:t>With this focus</w:t>
      </w:r>
      <w:r w:rsidR="00DB1BBF">
        <w:rPr>
          <w:rFonts w:cs="Times New Roman"/>
        </w:rPr>
        <w:t>,</w:t>
      </w:r>
      <w:r w:rsidR="006F700D" w:rsidRPr="0010526A">
        <w:rPr>
          <w:rFonts w:cs="Times New Roman"/>
        </w:rPr>
        <w:t xml:space="preserve"> students examine factors that contribute to a group, or individual, identity</w:t>
      </w:r>
      <w:r w:rsidR="0010526A" w:rsidRPr="0010526A">
        <w:rPr>
          <w:rFonts w:cs="Times New Roman"/>
        </w:rPr>
        <w:t xml:space="preserve"> </w:t>
      </w:r>
      <w:r w:rsidR="006F700D" w:rsidRPr="0010526A">
        <w:rPr>
          <w:rFonts w:cs="Times New Roman"/>
        </w:rPr>
        <w:t>and develop an awareness of the ways First Nations Peoples’ identities are expressed through unique ways of being, knowing and doing.</w:t>
      </w:r>
      <w:r w:rsidR="00E305A3" w:rsidRPr="0010526A">
        <w:rPr>
          <w:rFonts w:cs="Times New Roman"/>
        </w:rPr>
        <w:t xml:space="preserve"> Students investigate</w:t>
      </w:r>
      <w:r w:rsidR="00384076">
        <w:rPr>
          <w:rFonts w:cs="Times New Roman"/>
        </w:rPr>
        <w:t xml:space="preserve"> the ways </w:t>
      </w:r>
      <w:r w:rsidR="00384076" w:rsidRPr="00384076">
        <w:rPr>
          <w:rFonts w:cs="Times New Roman"/>
        </w:rPr>
        <w:t>First Nations Australians demonstrate resilience in the</w:t>
      </w:r>
      <w:r w:rsidR="00384076">
        <w:rPr>
          <w:rFonts w:cs="Times New Roman"/>
        </w:rPr>
        <w:t xml:space="preserve"> </w:t>
      </w:r>
      <w:r w:rsidR="00384076" w:rsidRPr="00384076">
        <w:rPr>
          <w:rFonts w:cs="Times New Roman"/>
        </w:rPr>
        <w:t>maintenance, practice and revitalisation of culture despite the many historic and</w:t>
      </w:r>
      <w:r w:rsidR="00384076">
        <w:rPr>
          <w:rFonts w:cs="Times New Roman"/>
        </w:rPr>
        <w:t xml:space="preserve"> </w:t>
      </w:r>
      <w:r w:rsidR="00384076" w:rsidRPr="00384076">
        <w:rPr>
          <w:rFonts w:cs="Times New Roman"/>
        </w:rPr>
        <w:t>enduring impacts of colonisation, and continue to celebrate and share the past,</w:t>
      </w:r>
      <w:r w:rsidR="00384076">
        <w:rPr>
          <w:rFonts w:cs="Times New Roman"/>
        </w:rPr>
        <w:t xml:space="preserve"> </w:t>
      </w:r>
      <w:r w:rsidR="00384076" w:rsidRPr="00384076">
        <w:rPr>
          <w:rFonts w:cs="Times New Roman"/>
        </w:rPr>
        <w:t>present and future manifestations of their cultures.</w:t>
      </w:r>
    </w:p>
    <w:p w14:paraId="7E3792EB" w14:textId="77777777" w:rsidR="00D65C5C" w:rsidRPr="00A93F91" w:rsidRDefault="00D65C5C" w:rsidP="00263DEE">
      <w:pPr>
        <w:pStyle w:val="SCSAHeading2"/>
      </w:pPr>
      <w:bookmarkStart w:id="50" w:name="_Toc358372276"/>
      <w:bookmarkStart w:id="51" w:name="_Toc173315832"/>
      <w:bookmarkStart w:id="52" w:name="_Toc219802585"/>
      <w:bookmarkEnd w:id="49"/>
      <w:r w:rsidRPr="00A93F91">
        <w:t>Unit content</w:t>
      </w:r>
      <w:bookmarkEnd w:id="50"/>
      <w:bookmarkEnd w:id="51"/>
      <w:bookmarkEnd w:id="52"/>
    </w:p>
    <w:p w14:paraId="350C3AC2" w14:textId="77777777" w:rsidR="00D65C5C" w:rsidRDefault="00D65C5C" w:rsidP="00AC1C10">
      <w:pPr>
        <w:rPr>
          <w:rFonts w:ascii="Calibri" w:hAnsi="Calibri" w:cs="Calibri"/>
        </w:rPr>
      </w:pPr>
      <w:r w:rsidRPr="00434AF8">
        <w:rPr>
          <w:rFonts w:ascii="Calibri" w:hAnsi="Calibri" w:cs="Calibri"/>
        </w:rPr>
        <w:t xml:space="preserve">This unit includes the knowledge, </w:t>
      </w:r>
      <w:r w:rsidRPr="00AC1C10">
        <w:t>understandings</w:t>
      </w:r>
      <w:r w:rsidRPr="00434AF8">
        <w:rPr>
          <w:rFonts w:ascii="Calibri" w:hAnsi="Calibri" w:cs="Calibri"/>
        </w:rPr>
        <w:t xml:space="preserve"> and skills described below.</w:t>
      </w:r>
    </w:p>
    <w:p w14:paraId="444DD23C" w14:textId="59E0E922" w:rsidR="003F2E4D" w:rsidRDefault="003F2E4D" w:rsidP="003F58B4">
      <w:pPr>
        <w:pStyle w:val="SCSAHeading3"/>
      </w:pPr>
      <w:r w:rsidRPr="00A65F2D">
        <w:t>Overview of</w:t>
      </w:r>
      <w:r>
        <w:t xml:space="preserve"> the diversity of</w:t>
      </w:r>
      <w:r w:rsidRPr="00A65F2D">
        <w:t xml:space="preserve"> First Nations Peoples</w:t>
      </w:r>
    </w:p>
    <w:p w14:paraId="58E8FA6E" w14:textId="77777777" w:rsidR="00361496" w:rsidRPr="00AC1C10" w:rsidRDefault="00361496">
      <w:pPr>
        <w:pStyle w:val="ListParagraph"/>
        <w:numPr>
          <w:ilvl w:val="0"/>
          <w:numId w:val="8"/>
        </w:numPr>
      </w:pPr>
      <w:r w:rsidRPr="00AC1C10">
        <w:t>define the following key terms and concepts as they relate to, and by privileging, First Nations Peoples’ voices and perspectives</w:t>
      </w:r>
    </w:p>
    <w:p w14:paraId="7CDC4312" w14:textId="3547AF9E" w:rsidR="00361496" w:rsidRPr="00AC1C10" w:rsidRDefault="006A4B90">
      <w:pPr>
        <w:pStyle w:val="ListParagraph"/>
        <w:numPr>
          <w:ilvl w:val="1"/>
          <w:numId w:val="8"/>
        </w:numPr>
      </w:pPr>
      <w:bookmarkStart w:id="53" w:name="_Hlk152235284"/>
      <w:r w:rsidRPr="00AC1C10">
        <w:t>c</w:t>
      </w:r>
      <w:r w:rsidR="00361496" w:rsidRPr="00AC1C10">
        <w:t>ulture</w:t>
      </w:r>
    </w:p>
    <w:p w14:paraId="29060612" w14:textId="7B2C128B" w:rsidR="00361496" w:rsidRPr="00AC1C10" w:rsidRDefault="006A4B90">
      <w:pPr>
        <w:pStyle w:val="ListParagraph"/>
        <w:numPr>
          <w:ilvl w:val="1"/>
          <w:numId w:val="8"/>
        </w:numPr>
      </w:pPr>
      <w:r w:rsidRPr="00AC1C10">
        <w:t>i</w:t>
      </w:r>
      <w:r w:rsidR="00361496" w:rsidRPr="00AC1C10">
        <w:t>dentity</w:t>
      </w:r>
    </w:p>
    <w:p w14:paraId="6723B62E" w14:textId="3354B473" w:rsidR="00361496" w:rsidRPr="00AC1C10" w:rsidRDefault="006A4B90">
      <w:pPr>
        <w:pStyle w:val="ListParagraph"/>
        <w:numPr>
          <w:ilvl w:val="1"/>
          <w:numId w:val="8"/>
        </w:numPr>
      </w:pPr>
      <w:r w:rsidRPr="00AC1C10">
        <w:t>h</w:t>
      </w:r>
      <w:r w:rsidR="00361496" w:rsidRPr="00AC1C10">
        <w:t>eritage</w:t>
      </w:r>
    </w:p>
    <w:p w14:paraId="34BD1C24" w14:textId="7799F5AD" w:rsidR="00361496" w:rsidRPr="00AC1C10" w:rsidRDefault="006A4B90">
      <w:pPr>
        <w:pStyle w:val="ListParagraph"/>
        <w:numPr>
          <w:ilvl w:val="1"/>
          <w:numId w:val="8"/>
        </w:numPr>
      </w:pPr>
      <w:r w:rsidRPr="00AC1C10">
        <w:t>c</w:t>
      </w:r>
      <w:r w:rsidR="00361496" w:rsidRPr="00AC1C10">
        <w:t>olon</w:t>
      </w:r>
      <w:r w:rsidR="003E60FF" w:rsidRPr="00AC1C10">
        <w:t>isation</w:t>
      </w:r>
    </w:p>
    <w:bookmarkEnd w:id="53"/>
    <w:p w14:paraId="55ED6239" w14:textId="5685D9BA" w:rsidR="00361496" w:rsidRPr="00AC1C10" w:rsidRDefault="005D5ABB">
      <w:pPr>
        <w:pStyle w:val="ListParagraph"/>
        <w:numPr>
          <w:ilvl w:val="0"/>
          <w:numId w:val="8"/>
        </w:numPr>
      </w:pPr>
      <w:r w:rsidRPr="00AC1C10">
        <w:t>who are</w:t>
      </w:r>
      <w:r w:rsidR="00361496" w:rsidRPr="00AC1C10">
        <w:t xml:space="preserve"> </w:t>
      </w:r>
      <w:r w:rsidR="00224BAC" w:rsidRPr="00AC1C10">
        <w:t>First Nation</w:t>
      </w:r>
      <w:r w:rsidR="005D7245" w:rsidRPr="00AC1C10">
        <w:t>s</w:t>
      </w:r>
      <w:r w:rsidR="00F07994" w:rsidRPr="00AC1C10">
        <w:t xml:space="preserve"> (Indigenous)</w:t>
      </w:r>
      <w:r w:rsidR="00361496" w:rsidRPr="00AC1C10">
        <w:t xml:space="preserve"> </w:t>
      </w:r>
      <w:r w:rsidR="00224BAC" w:rsidRPr="00AC1C10">
        <w:t>P</w:t>
      </w:r>
      <w:r w:rsidR="00361496" w:rsidRPr="00AC1C10">
        <w:t>eoples and groups according to the United Nations</w:t>
      </w:r>
    </w:p>
    <w:p w14:paraId="0EDE1A0C" w14:textId="7EFEB29D" w:rsidR="00361496" w:rsidRPr="00AC1C10" w:rsidRDefault="00361496">
      <w:pPr>
        <w:pStyle w:val="ListParagraph"/>
        <w:numPr>
          <w:ilvl w:val="0"/>
          <w:numId w:val="8"/>
        </w:numPr>
      </w:pPr>
      <w:bookmarkStart w:id="54" w:name="_Hlk152235343"/>
      <w:r w:rsidRPr="00AC1C10">
        <w:t>demographics</w:t>
      </w:r>
      <w:bookmarkEnd w:id="54"/>
      <w:r w:rsidRPr="00AC1C10">
        <w:t xml:space="preserve"> of</w:t>
      </w:r>
      <w:r w:rsidR="00224BAC" w:rsidRPr="00AC1C10">
        <w:t xml:space="preserve"> First Nation</w:t>
      </w:r>
      <w:r w:rsidR="005D7245" w:rsidRPr="00AC1C10">
        <w:t>s</w:t>
      </w:r>
      <w:r w:rsidR="00224BAC" w:rsidRPr="00AC1C10">
        <w:t xml:space="preserve"> Peoples</w:t>
      </w:r>
      <w:r w:rsidRPr="00AC1C10">
        <w:t xml:space="preserve"> globally, including portion of the population, number of distinct groups and languages</w:t>
      </w:r>
    </w:p>
    <w:p w14:paraId="799A0311" w14:textId="5BE9A3E1" w:rsidR="00361496" w:rsidRPr="00AC1C10" w:rsidRDefault="00361496">
      <w:pPr>
        <w:pStyle w:val="ListParagraph"/>
        <w:numPr>
          <w:ilvl w:val="0"/>
          <w:numId w:val="8"/>
        </w:numPr>
      </w:pPr>
      <w:r w:rsidRPr="00AC1C10">
        <w:t>cultural rights of First Nations Peoples, includ</w:t>
      </w:r>
      <w:r w:rsidR="00224BAC" w:rsidRPr="00AC1C10">
        <w:t>ed in</w:t>
      </w:r>
    </w:p>
    <w:p w14:paraId="247492AC" w14:textId="77777777" w:rsidR="00361496" w:rsidRPr="00AC1C10" w:rsidRDefault="00361496">
      <w:pPr>
        <w:pStyle w:val="ListParagraph"/>
        <w:numPr>
          <w:ilvl w:val="1"/>
          <w:numId w:val="8"/>
        </w:numPr>
        <w:rPr>
          <w:i/>
          <w:iCs/>
        </w:rPr>
      </w:pPr>
      <w:r w:rsidRPr="00AC1C10">
        <w:t>Section 28 of the </w:t>
      </w:r>
      <w:r w:rsidRPr="00AC1C10">
        <w:rPr>
          <w:i/>
          <w:iCs/>
        </w:rPr>
        <w:t>Human Rights Act 2019</w:t>
      </w:r>
    </w:p>
    <w:p w14:paraId="272B8EC0" w14:textId="6266AF20" w:rsidR="00361496" w:rsidRPr="00AC1C10" w:rsidRDefault="00361496">
      <w:pPr>
        <w:pStyle w:val="ListParagraph"/>
        <w:numPr>
          <w:ilvl w:val="1"/>
          <w:numId w:val="8"/>
        </w:numPr>
        <w:rPr>
          <w:i/>
          <w:iCs/>
        </w:rPr>
      </w:pPr>
      <w:r w:rsidRPr="00AC1C10">
        <w:t>Article</w:t>
      </w:r>
      <w:r w:rsidR="006A4B90" w:rsidRPr="00AC1C10">
        <w:t>s</w:t>
      </w:r>
      <w:r w:rsidRPr="00AC1C10">
        <w:t xml:space="preserve"> 2, 8, 11, 12 and 13 of the </w:t>
      </w:r>
      <w:r w:rsidRPr="00AC1C10">
        <w:rPr>
          <w:i/>
          <w:iCs/>
        </w:rPr>
        <w:t>United Nations Declaration on the Rights of Indigenous Peoples</w:t>
      </w:r>
    </w:p>
    <w:p w14:paraId="01915748" w14:textId="60FF4C8E" w:rsidR="00361496" w:rsidRPr="00AC1C10" w:rsidRDefault="00361496">
      <w:pPr>
        <w:pStyle w:val="ListParagraph"/>
        <w:numPr>
          <w:ilvl w:val="0"/>
          <w:numId w:val="8"/>
        </w:numPr>
      </w:pPr>
      <w:r w:rsidRPr="00AC1C10">
        <w:t>the diversity of Australian First Nations Peoples including</w:t>
      </w:r>
    </w:p>
    <w:p w14:paraId="3FCE1C9B" w14:textId="4687BBA0" w:rsidR="00361496" w:rsidRPr="00AC1C10" w:rsidRDefault="00361496">
      <w:pPr>
        <w:pStyle w:val="ListParagraph"/>
        <w:numPr>
          <w:ilvl w:val="1"/>
          <w:numId w:val="8"/>
        </w:numPr>
      </w:pPr>
      <w:r w:rsidRPr="00AC1C10">
        <w:t>number of distinct groups and languages</w:t>
      </w:r>
    </w:p>
    <w:p w14:paraId="612C29AB" w14:textId="77777777" w:rsidR="00361496" w:rsidRPr="00AC1C10" w:rsidRDefault="00361496">
      <w:pPr>
        <w:pStyle w:val="ListParagraph"/>
        <w:numPr>
          <w:ilvl w:val="1"/>
          <w:numId w:val="8"/>
        </w:numPr>
      </w:pPr>
      <w:bookmarkStart w:id="55" w:name="_Hlk152235326"/>
      <w:r w:rsidRPr="00AC1C10">
        <w:t>population distribution</w:t>
      </w:r>
    </w:p>
    <w:bookmarkEnd w:id="55"/>
    <w:p w14:paraId="1FBDFC6F" w14:textId="77777777" w:rsidR="00F55B41" w:rsidRPr="00AC1C10" w:rsidRDefault="00F55B41">
      <w:pPr>
        <w:pStyle w:val="ListParagraph"/>
        <w:numPr>
          <w:ilvl w:val="0"/>
          <w:numId w:val="8"/>
        </w:numPr>
      </w:pPr>
      <w:r w:rsidRPr="00AC1C10">
        <w:t>evidence of Australian First Nations Peoples being the oldest, continuous living cultures in the world, including scientific and archaeological evidence</w:t>
      </w:r>
    </w:p>
    <w:p w14:paraId="4780ABC1" w14:textId="2751381D" w:rsidR="006D4895" w:rsidRPr="00AC1C10" w:rsidRDefault="009D4530">
      <w:pPr>
        <w:pStyle w:val="ListParagraph"/>
        <w:numPr>
          <w:ilvl w:val="0"/>
          <w:numId w:val="8"/>
        </w:numPr>
      </w:pPr>
      <w:r w:rsidRPr="00AC1C10">
        <w:t xml:space="preserve">evidence of changing societal attitudes to valuing First Nations Peoples’ unique ways of knowing, being and doing (e.g. </w:t>
      </w:r>
      <w:r w:rsidR="007C0642" w:rsidRPr="00AC1C10">
        <w:t xml:space="preserve">language revitalisation, </w:t>
      </w:r>
      <w:r w:rsidR="00157BFF" w:rsidRPr="00AC1C10">
        <w:t xml:space="preserve">use of </w:t>
      </w:r>
      <w:r w:rsidR="00187765" w:rsidRPr="00AC1C10">
        <w:t>First Nations Peoples</w:t>
      </w:r>
      <w:r w:rsidR="0071226A" w:rsidRPr="00AC1C10">
        <w:t>’</w:t>
      </w:r>
      <w:r w:rsidR="00187765" w:rsidRPr="00AC1C10">
        <w:t xml:space="preserve"> knowledge</w:t>
      </w:r>
      <w:r w:rsidR="00157BFF" w:rsidRPr="00AC1C10">
        <w:t xml:space="preserve"> and practices</w:t>
      </w:r>
      <w:r w:rsidR="00FF60C7" w:rsidRPr="00AC1C10">
        <w:t>)</w:t>
      </w:r>
      <w:r w:rsidR="006D4895" w:rsidRPr="00AC1C10">
        <w:br w:type="page"/>
      </w:r>
    </w:p>
    <w:p w14:paraId="0D1A637F" w14:textId="3F38EB3B" w:rsidR="00361496" w:rsidRPr="00A65F2D" w:rsidRDefault="00361496" w:rsidP="00DE45CE">
      <w:pPr>
        <w:pStyle w:val="SCSAHeading4"/>
      </w:pPr>
      <w:r w:rsidRPr="00A65F2D">
        <w:t>Depth Study One</w:t>
      </w:r>
    </w:p>
    <w:p w14:paraId="4867A919" w14:textId="430DA49C" w:rsidR="00361496" w:rsidRPr="00A65F2D" w:rsidRDefault="00361496" w:rsidP="00E3783B">
      <w:pPr>
        <w:rPr>
          <w:rFonts w:cs="Times New Roman"/>
        </w:rPr>
      </w:pPr>
      <w:r w:rsidRPr="00A65F2D">
        <w:rPr>
          <w:rFonts w:cs="Times New Roman"/>
        </w:rPr>
        <w:t>Through community experiences and/or secondary sources, and by privileging First Nations Peoples’ voices and perspectives, students investigate the cultural</w:t>
      </w:r>
      <w:r w:rsidR="00615D07">
        <w:rPr>
          <w:rFonts w:cs="Times New Roman"/>
        </w:rPr>
        <w:t xml:space="preserve"> diversity and</w:t>
      </w:r>
      <w:r w:rsidRPr="00A65F2D">
        <w:rPr>
          <w:rFonts w:cs="Times New Roman"/>
        </w:rPr>
        <w:t xml:space="preserve"> identit</w:t>
      </w:r>
      <w:r w:rsidR="00615D07">
        <w:rPr>
          <w:rFonts w:cs="Times New Roman"/>
        </w:rPr>
        <w:t xml:space="preserve">ies </w:t>
      </w:r>
      <w:r w:rsidRPr="00A65F2D">
        <w:rPr>
          <w:rFonts w:cs="Times New Roman"/>
        </w:rPr>
        <w:t xml:space="preserve">of </w:t>
      </w:r>
      <w:r w:rsidRPr="00615D07">
        <w:rPr>
          <w:rFonts w:cs="Times New Roman"/>
          <w:b/>
          <w:bCs/>
        </w:rPr>
        <w:t>one</w:t>
      </w:r>
      <w:r w:rsidRPr="00A65F2D">
        <w:rPr>
          <w:rFonts w:cs="Times New Roman"/>
        </w:rPr>
        <w:t xml:space="preserve"> Western Australian First Nations People</w:t>
      </w:r>
      <w:r w:rsidRPr="00615D07">
        <w:rPr>
          <w:rFonts w:cs="Times New Roman"/>
        </w:rPr>
        <w:t xml:space="preserve"> and</w:t>
      </w:r>
      <w:r w:rsidRPr="00A65F2D">
        <w:rPr>
          <w:rFonts w:cs="Times New Roman"/>
        </w:rPr>
        <w:t xml:space="preserve"> </w:t>
      </w:r>
      <w:r w:rsidRPr="00615D07">
        <w:rPr>
          <w:rFonts w:cs="Times New Roman"/>
          <w:b/>
          <w:bCs/>
        </w:rPr>
        <w:t>one</w:t>
      </w:r>
      <w:r w:rsidRPr="00A65F2D">
        <w:rPr>
          <w:rFonts w:cs="Times New Roman"/>
        </w:rPr>
        <w:t xml:space="preserve"> </w:t>
      </w:r>
      <w:r w:rsidR="00615D07">
        <w:rPr>
          <w:rFonts w:cs="Times New Roman"/>
        </w:rPr>
        <w:t>Torres Strait Islander</w:t>
      </w:r>
      <w:r w:rsidRPr="00A65F2D">
        <w:rPr>
          <w:rFonts w:cs="Times New Roman"/>
        </w:rPr>
        <w:t xml:space="preserve"> First Nations People</w:t>
      </w:r>
      <w:r>
        <w:rPr>
          <w:rFonts w:cs="Times New Roman"/>
        </w:rPr>
        <w:t>.</w:t>
      </w:r>
    </w:p>
    <w:p w14:paraId="4BCEF322" w14:textId="750884E2" w:rsidR="00361496" w:rsidRDefault="00361496" w:rsidP="00361496">
      <w:pPr>
        <w:ind w:right="-26"/>
        <w:rPr>
          <w:rFonts w:cs="Times New Roman"/>
        </w:rPr>
      </w:pPr>
      <w:r w:rsidRPr="00A65F2D">
        <w:rPr>
          <w:rFonts w:cs="Times New Roman"/>
        </w:rPr>
        <w:t xml:space="preserve">For the </w:t>
      </w:r>
      <w:r w:rsidRPr="00A65F2D">
        <w:rPr>
          <w:rFonts w:cs="Times New Roman"/>
          <w:b/>
        </w:rPr>
        <w:t>two</w:t>
      </w:r>
      <w:r w:rsidRPr="00A65F2D">
        <w:rPr>
          <w:rFonts w:cs="Times New Roman"/>
        </w:rPr>
        <w:t xml:space="preserve"> selected </w:t>
      </w:r>
      <w:r w:rsidR="00AE2F17">
        <w:rPr>
          <w:rFonts w:cs="Times New Roman"/>
        </w:rPr>
        <w:t xml:space="preserve">Australian </w:t>
      </w:r>
      <w:r w:rsidRPr="00A65F2D">
        <w:rPr>
          <w:rFonts w:cs="Times New Roman"/>
        </w:rPr>
        <w:t xml:space="preserve">First Nations Peoples, students </w:t>
      </w:r>
      <w:r w:rsidR="00DF0246">
        <w:rPr>
          <w:rFonts w:cs="Times New Roman"/>
        </w:rPr>
        <w:t>investigate</w:t>
      </w:r>
      <w:r w:rsidRPr="00A65F2D">
        <w:rPr>
          <w:rFonts w:cs="Times New Roman"/>
        </w:rPr>
        <w:t>:</w:t>
      </w:r>
    </w:p>
    <w:p w14:paraId="6F413175" w14:textId="60C60AE2" w:rsidR="00FC5F6D" w:rsidRPr="00AC1C10" w:rsidRDefault="00535DE4">
      <w:pPr>
        <w:pStyle w:val="ListParagraph"/>
        <w:numPr>
          <w:ilvl w:val="0"/>
          <w:numId w:val="9"/>
        </w:numPr>
      </w:pPr>
      <w:r w:rsidRPr="00AC1C10">
        <w:t>l</w:t>
      </w:r>
      <w:r w:rsidR="00FC5F6D" w:rsidRPr="00AC1C10">
        <w:t>ocation</w:t>
      </w:r>
    </w:p>
    <w:p w14:paraId="5D522B07" w14:textId="09C171B1" w:rsidR="00361496" w:rsidRPr="00AC1C10" w:rsidRDefault="00361496">
      <w:pPr>
        <w:pStyle w:val="ListParagraph"/>
        <w:numPr>
          <w:ilvl w:val="0"/>
          <w:numId w:val="9"/>
        </w:numPr>
      </w:pPr>
      <w:r w:rsidRPr="00AC1C10">
        <w:t xml:space="preserve">cultural identity, including </w:t>
      </w:r>
    </w:p>
    <w:p w14:paraId="344996EB" w14:textId="53816DA9" w:rsidR="00361496" w:rsidRPr="00AC1C10" w:rsidRDefault="00361496">
      <w:pPr>
        <w:pStyle w:val="ListParagraph"/>
        <w:numPr>
          <w:ilvl w:val="1"/>
          <w:numId w:val="9"/>
        </w:numPr>
      </w:pPr>
      <w:r w:rsidRPr="00AC1C10">
        <w:t>language</w:t>
      </w:r>
    </w:p>
    <w:p w14:paraId="062F7404" w14:textId="77777777" w:rsidR="00361496" w:rsidRPr="00AC1C10" w:rsidRDefault="00361496">
      <w:pPr>
        <w:pStyle w:val="ListParagraph"/>
        <w:numPr>
          <w:ilvl w:val="1"/>
          <w:numId w:val="9"/>
        </w:numPr>
      </w:pPr>
      <w:r w:rsidRPr="00AC1C10">
        <w:t>spiritual beliefs</w:t>
      </w:r>
    </w:p>
    <w:p w14:paraId="65826B3B" w14:textId="7E1075D4" w:rsidR="00361496" w:rsidRPr="00AC1C10" w:rsidRDefault="00361496">
      <w:pPr>
        <w:pStyle w:val="ListParagraph"/>
        <w:numPr>
          <w:ilvl w:val="1"/>
          <w:numId w:val="9"/>
        </w:numPr>
      </w:pPr>
      <w:r w:rsidRPr="00AC1C10">
        <w:t xml:space="preserve">Dreaming stories, </w:t>
      </w:r>
      <w:r w:rsidR="00AE2F17" w:rsidRPr="00AC1C10">
        <w:t>songlines</w:t>
      </w:r>
      <w:r w:rsidRPr="00AC1C10">
        <w:t xml:space="preserve"> and ancestors</w:t>
      </w:r>
    </w:p>
    <w:p w14:paraId="5758B5F6" w14:textId="2758D43F" w:rsidR="00361496" w:rsidRPr="00AC1C10" w:rsidRDefault="00361496">
      <w:pPr>
        <w:pStyle w:val="ListParagraph"/>
        <w:numPr>
          <w:ilvl w:val="1"/>
          <w:numId w:val="9"/>
        </w:numPr>
      </w:pPr>
      <w:r w:rsidRPr="00AC1C10">
        <w:t>kinship and family structures</w:t>
      </w:r>
    </w:p>
    <w:p w14:paraId="4545F63D" w14:textId="289C5FB6" w:rsidR="009B01EA" w:rsidRPr="00AC1C10" w:rsidRDefault="009B01EA">
      <w:pPr>
        <w:pStyle w:val="ListParagraph"/>
        <w:numPr>
          <w:ilvl w:val="1"/>
          <w:numId w:val="9"/>
        </w:numPr>
      </w:pPr>
      <w:r w:rsidRPr="00AC1C10">
        <w:t>leadership and decision-making processes</w:t>
      </w:r>
      <w:r w:rsidR="00891EAF" w:rsidRPr="00AC1C10">
        <w:t>, including the role of the Elders</w:t>
      </w:r>
    </w:p>
    <w:p w14:paraId="01497E0E" w14:textId="15D3454A" w:rsidR="00361496" w:rsidRPr="00AC1C10" w:rsidRDefault="00361496">
      <w:pPr>
        <w:pStyle w:val="ListParagraph"/>
        <w:numPr>
          <w:ilvl w:val="1"/>
          <w:numId w:val="9"/>
        </w:numPr>
      </w:pPr>
      <w:r w:rsidRPr="00AC1C10">
        <w:t>connection to and care of Country</w:t>
      </w:r>
    </w:p>
    <w:p w14:paraId="7B7590D6" w14:textId="77777777" w:rsidR="00361496" w:rsidRPr="00AC1C10" w:rsidRDefault="00361496">
      <w:pPr>
        <w:pStyle w:val="ListParagraph"/>
        <w:numPr>
          <w:ilvl w:val="1"/>
          <w:numId w:val="9"/>
        </w:numPr>
      </w:pPr>
      <w:r w:rsidRPr="00AC1C10">
        <w:t>places of significance and why they are significant</w:t>
      </w:r>
    </w:p>
    <w:p w14:paraId="684252F5" w14:textId="460BBC09" w:rsidR="00361496" w:rsidRPr="00AC1C10" w:rsidRDefault="00361496">
      <w:pPr>
        <w:pStyle w:val="ListParagraph"/>
        <w:numPr>
          <w:ilvl w:val="0"/>
          <w:numId w:val="9"/>
        </w:numPr>
      </w:pPr>
      <w:r w:rsidRPr="00AC1C10">
        <w:t>perspectives and experiences of ‘invasion and colonisation’, for three of the following</w:t>
      </w:r>
    </w:p>
    <w:p w14:paraId="53757810" w14:textId="77777777" w:rsidR="00361496" w:rsidRPr="00AC1C10" w:rsidRDefault="00361496">
      <w:pPr>
        <w:pStyle w:val="ListParagraph"/>
        <w:numPr>
          <w:ilvl w:val="1"/>
          <w:numId w:val="9"/>
        </w:numPr>
      </w:pPr>
      <w:r w:rsidRPr="00AC1C10">
        <w:t>frontier wars</w:t>
      </w:r>
    </w:p>
    <w:p w14:paraId="5C8BEFB4" w14:textId="77777777" w:rsidR="00361496" w:rsidRPr="00AC1C10" w:rsidRDefault="00361496">
      <w:pPr>
        <w:pStyle w:val="ListParagraph"/>
        <w:numPr>
          <w:ilvl w:val="1"/>
          <w:numId w:val="9"/>
        </w:numPr>
      </w:pPr>
      <w:r w:rsidRPr="00AC1C10">
        <w:t>massacres</w:t>
      </w:r>
    </w:p>
    <w:p w14:paraId="7F77A9D3" w14:textId="77777777" w:rsidR="00361496" w:rsidRPr="00AC1C10" w:rsidRDefault="00361496">
      <w:pPr>
        <w:pStyle w:val="ListParagraph"/>
        <w:numPr>
          <w:ilvl w:val="1"/>
          <w:numId w:val="9"/>
        </w:numPr>
      </w:pPr>
      <w:r w:rsidRPr="00AC1C10">
        <w:t>methods of dispossession and removal from Country</w:t>
      </w:r>
    </w:p>
    <w:p w14:paraId="2CBAF0E6" w14:textId="77777777" w:rsidR="00361496" w:rsidRPr="00AC1C10" w:rsidRDefault="00361496">
      <w:pPr>
        <w:pStyle w:val="ListParagraph"/>
        <w:numPr>
          <w:ilvl w:val="1"/>
          <w:numId w:val="9"/>
        </w:numPr>
      </w:pPr>
      <w:r w:rsidRPr="00AC1C10">
        <w:t>interruption to language and culture</w:t>
      </w:r>
    </w:p>
    <w:p w14:paraId="1AB87B1A" w14:textId="77777777" w:rsidR="00361496" w:rsidRPr="00AC1C10" w:rsidRDefault="00361496">
      <w:pPr>
        <w:pStyle w:val="ListParagraph"/>
        <w:numPr>
          <w:ilvl w:val="1"/>
          <w:numId w:val="9"/>
        </w:numPr>
      </w:pPr>
      <w:r w:rsidRPr="00AC1C10">
        <w:t>relationship between First Nations Peoples and colonisers</w:t>
      </w:r>
    </w:p>
    <w:p w14:paraId="395C383A" w14:textId="7B8A63CB" w:rsidR="00361496" w:rsidRPr="00AC1C10" w:rsidRDefault="0016144B">
      <w:pPr>
        <w:pStyle w:val="ListParagraph"/>
        <w:numPr>
          <w:ilvl w:val="0"/>
          <w:numId w:val="9"/>
        </w:numPr>
      </w:pPr>
      <w:r w:rsidRPr="00AC1C10">
        <w:t xml:space="preserve">the </w:t>
      </w:r>
      <w:r w:rsidR="00AA0D3C" w:rsidRPr="00AC1C10">
        <w:t xml:space="preserve">evidence of the </w:t>
      </w:r>
      <w:r w:rsidR="00F07994" w:rsidRPr="00AC1C10">
        <w:t>continuous</w:t>
      </w:r>
      <w:r w:rsidR="0065449A" w:rsidRPr="00AC1C10">
        <w:t xml:space="preserve"> </w:t>
      </w:r>
      <w:r w:rsidR="00384076" w:rsidRPr="00AC1C10">
        <w:t>practice and revitalisation of</w:t>
      </w:r>
      <w:r w:rsidR="00E835B0" w:rsidRPr="00AC1C10">
        <w:t xml:space="preserve"> the selected</w:t>
      </w:r>
      <w:r w:rsidRPr="00AC1C10">
        <w:t xml:space="preserve"> First Nations </w:t>
      </w:r>
      <w:r w:rsidR="008A759A" w:rsidRPr="00AC1C10">
        <w:t>P</w:t>
      </w:r>
      <w:r w:rsidRPr="00AC1C10">
        <w:t>eoples</w:t>
      </w:r>
      <w:r w:rsidR="00CB54D4" w:rsidRPr="00AC1C10">
        <w:t>’</w:t>
      </w:r>
      <w:r w:rsidRPr="00AC1C10">
        <w:t xml:space="preserve"> </w:t>
      </w:r>
      <w:r w:rsidR="000F0978" w:rsidRPr="00AC1C10">
        <w:t>cultural identity</w:t>
      </w:r>
      <w:bookmarkStart w:id="56" w:name="_Hlk144122093"/>
      <w:r w:rsidR="0071226A" w:rsidRPr="00AC1C10">
        <w:t>.</w:t>
      </w:r>
    </w:p>
    <w:p w14:paraId="21E5D5CD" w14:textId="5327599C" w:rsidR="00361496" w:rsidRPr="00A65F2D" w:rsidRDefault="00361496" w:rsidP="00DE45CE">
      <w:pPr>
        <w:pStyle w:val="SCSAHeading4"/>
      </w:pPr>
      <w:r w:rsidRPr="00A65F2D">
        <w:t xml:space="preserve">Depth Study </w:t>
      </w:r>
      <w:r>
        <w:t>Two</w:t>
      </w:r>
    </w:p>
    <w:p w14:paraId="4E040736" w14:textId="77777777" w:rsidR="00353016" w:rsidRPr="00810350" w:rsidRDefault="00353016" w:rsidP="00353016">
      <w:pPr>
        <w:spacing w:after="0"/>
        <w:ind w:right="-26"/>
        <w:rPr>
          <w:rFonts w:cs="Times New Roman"/>
        </w:rPr>
      </w:pPr>
      <w:bookmarkStart w:id="57" w:name="_Hlk144122069"/>
      <w:r w:rsidRPr="00810350">
        <w:rPr>
          <w:rFonts w:cs="Times New Roman"/>
        </w:rPr>
        <w:t>Through community experiences and/or secondary sources, and by privileging First Nations Peoples’</w:t>
      </w:r>
    </w:p>
    <w:p w14:paraId="2C1FC915" w14:textId="19C9EB83" w:rsidR="00D67BA8" w:rsidRDefault="00353016" w:rsidP="00F335B4">
      <w:pPr>
        <w:pStyle w:val="NoSpacing"/>
      </w:pPr>
      <w:r w:rsidRPr="00810350">
        <w:t>voices and perspective</w:t>
      </w:r>
      <w:r w:rsidRPr="009962AC">
        <w:t xml:space="preserve">s, students </w:t>
      </w:r>
      <w:r w:rsidRPr="00470573">
        <w:t>investigate</w:t>
      </w:r>
      <w:r w:rsidRPr="009962AC">
        <w:t xml:space="preserve"> </w:t>
      </w:r>
      <w:r w:rsidR="00BD7F73" w:rsidRPr="009962AC">
        <w:t xml:space="preserve">the </w:t>
      </w:r>
      <w:r w:rsidR="00F07994" w:rsidRPr="009962AC">
        <w:t>importance</w:t>
      </w:r>
      <w:r w:rsidR="00BD7F73" w:rsidRPr="009962AC">
        <w:t xml:space="preserve"> and pro</w:t>
      </w:r>
      <w:r w:rsidR="009962AC" w:rsidRPr="009962AC">
        <w:t>t</w:t>
      </w:r>
      <w:r w:rsidR="00BD7F73" w:rsidRPr="009962AC">
        <w:t xml:space="preserve">ection of Australian </w:t>
      </w:r>
      <w:r w:rsidRPr="009962AC">
        <w:t xml:space="preserve">First Nations </w:t>
      </w:r>
      <w:r w:rsidR="002511DD" w:rsidRPr="009962AC">
        <w:t>P</w:t>
      </w:r>
      <w:r w:rsidRPr="009962AC">
        <w:t>eoples</w:t>
      </w:r>
      <w:r w:rsidR="0071226A">
        <w:t>’</w:t>
      </w:r>
      <w:r w:rsidR="001C1E2D" w:rsidRPr="009962AC">
        <w:t xml:space="preserve"> </w:t>
      </w:r>
      <w:r w:rsidR="00BD7F73" w:rsidRPr="009962AC">
        <w:t>cultural heritage</w:t>
      </w:r>
      <w:r w:rsidR="0071226A">
        <w:t xml:space="preserve">, </w:t>
      </w:r>
      <w:r w:rsidR="0071226A" w:rsidRPr="00AC1C10">
        <w:t>including</w:t>
      </w:r>
      <w:r w:rsidR="0071226A">
        <w:t>:</w:t>
      </w:r>
    </w:p>
    <w:p w14:paraId="486AA38F" w14:textId="579A6A0E" w:rsidR="009962AC" w:rsidRPr="00AC1C10" w:rsidRDefault="00157BFF">
      <w:pPr>
        <w:pStyle w:val="ListParagraph"/>
        <w:numPr>
          <w:ilvl w:val="0"/>
          <w:numId w:val="10"/>
        </w:numPr>
      </w:pPr>
      <w:r w:rsidRPr="00AC1C10">
        <w:t>Australian First Nations Peoples’ tangible and intangible cultural heritage</w:t>
      </w:r>
    </w:p>
    <w:p w14:paraId="72088C89" w14:textId="548D9BAF" w:rsidR="00157BFF" w:rsidRPr="00AC1C10" w:rsidRDefault="0013065D">
      <w:pPr>
        <w:pStyle w:val="ListParagraph"/>
        <w:numPr>
          <w:ilvl w:val="0"/>
          <w:numId w:val="10"/>
        </w:numPr>
      </w:pPr>
      <w:r w:rsidRPr="00AC1C10">
        <w:t>t</w:t>
      </w:r>
      <w:r w:rsidR="00157BFF" w:rsidRPr="00AC1C10">
        <w:t>he importance of protecting Australian First Nations Peoples</w:t>
      </w:r>
      <w:r w:rsidR="0071226A" w:rsidRPr="00AC1C10">
        <w:t>’</w:t>
      </w:r>
      <w:r w:rsidR="00157BFF" w:rsidRPr="00AC1C10">
        <w:t xml:space="preserve"> cultural heritage</w:t>
      </w:r>
    </w:p>
    <w:p w14:paraId="670A9DC0" w14:textId="746E41B4" w:rsidR="00281AD1" w:rsidRPr="00470573" w:rsidRDefault="0013065D">
      <w:pPr>
        <w:pStyle w:val="ListParagraph"/>
        <w:numPr>
          <w:ilvl w:val="0"/>
          <w:numId w:val="10"/>
        </w:numPr>
      </w:pPr>
      <w:r w:rsidRPr="00AC1C10">
        <w:rPr>
          <w:b/>
          <w:bCs/>
        </w:rPr>
        <w:t>o</w:t>
      </w:r>
      <w:r w:rsidR="00157BFF" w:rsidRPr="00AC1C10">
        <w:rPr>
          <w:b/>
          <w:bCs/>
        </w:rPr>
        <w:t>ne</w:t>
      </w:r>
      <w:r w:rsidR="00157BFF" w:rsidRPr="00470573">
        <w:t xml:space="preserve"> example of the destruction of Australian First Nations Peoples</w:t>
      </w:r>
      <w:r w:rsidR="0071226A">
        <w:t>’</w:t>
      </w:r>
      <w:r w:rsidR="00157BFF" w:rsidRPr="00470573">
        <w:t xml:space="preserve"> cultural heritage, including</w:t>
      </w:r>
    </w:p>
    <w:p w14:paraId="2E2792C9" w14:textId="11FA90B1" w:rsidR="00281AD1" w:rsidRPr="00AC1C10" w:rsidRDefault="00BD7F73">
      <w:pPr>
        <w:pStyle w:val="ListParagraph"/>
        <w:numPr>
          <w:ilvl w:val="1"/>
          <w:numId w:val="10"/>
        </w:numPr>
      </w:pPr>
      <w:r w:rsidRPr="00AC1C10">
        <w:t>why and how it happened</w:t>
      </w:r>
    </w:p>
    <w:p w14:paraId="3CAF0102" w14:textId="6515D789" w:rsidR="00281AD1" w:rsidRPr="00AC1C10" w:rsidRDefault="00281AD1">
      <w:pPr>
        <w:pStyle w:val="ListParagraph"/>
        <w:numPr>
          <w:ilvl w:val="1"/>
          <w:numId w:val="10"/>
        </w:numPr>
      </w:pPr>
      <w:r w:rsidRPr="00AC1C10">
        <w:t>actions taken by the government</w:t>
      </w:r>
      <w:r w:rsidR="00BD7F73" w:rsidRPr="00AC1C10">
        <w:t xml:space="preserve"> </w:t>
      </w:r>
      <w:r w:rsidR="00F07994" w:rsidRPr="00AC1C10">
        <w:t>following</w:t>
      </w:r>
      <w:r w:rsidR="00BD7F73" w:rsidRPr="00AC1C10">
        <w:t xml:space="preserve"> the destruction</w:t>
      </w:r>
    </w:p>
    <w:p w14:paraId="664F3F8A" w14:textId="300581EB" w:rsidR="00157BFF" w:rsidRPr="00AC1C10" w:rsidRDefault="00281AD1">
      <w:pPr>
        <w:pStyle w:val="ListParagraph"/>
        <w:numPr>
          <w:ilvl w:val="1"/>
          <w:numId w:val="10"/>
        </w:numPr>
      </w:pPr>
      <w:r w:rsidRPr="00AC1C10">
        <w:t>local</w:t>
      </w:r>
      <w:r w:rsidR="00BD7F73" w:rsidRPr="00AC1C10">
        <w:t>,</w:t>
      </w:r>
      <w:r w:rsidRPr="00AC1C10">
        <w:t xml:space="preserve"> national and</w:t>
      </w:r>
      <w:r w:rsidR="00BD7F73" w:rsidRPr="00AC1C10">
        <w:t>/or</w:t>
      </w:r>
      <w:r w:rsidRPr="00AC1C10">
        <w:t xml:space="preserve"> global </w:t>
      </w:r>
      <w:r w:rsidR="00BD7F73" w:rsidRPr="00AC1C10">
        <w:t>reaction to the destruction</w:t>
      </w:r>
    </w:p>
    <w:p w14:paraId="2419DF5D" w14:textId="75423A56" w:rsidR="00E24151" w:rsidRPr="00AC1C10" w:rsidRDefault="003A3D29">
      <w:pPr>
        <w:pStyle w:val="ListParagraph"/>
        <w:numPr>
          <w:ilvl w:val="0"/>
          <w:numId w:val="10"/>
        </w:numPr>
      </w:pPr>
      <w:r w:rsidRPr="00706ACB">
        <w:t xml:space="preserve">the </w:t>
      </w:r>
      <w:r w:rsidRPr="00AC1C10">
        <w:rPr>
          <w:i/>
          <w:iCs/>
        </w:rPr>
        <w:t>Aboriginal Heritage Act 1972</w:t>
      </w:r>
      <w:r w:rsidR="00CB54D4" w:rsidRPr="00AC1C10">
        <w:rPr>
          <w:i/>
          <w:iCs/>
        </w:rPr>
        <w:t xml:space="preserve"> </w:t>
      </w:r>
      <w:r w:rsidR="00CB54D4" w:rsidRPr="00B94EB5">
        <w:t>(</w:t>
      </w:r>
      <w:r w:rsidR="00326C95" w:rsidRPr="00B94EB5">
        <w:t>WA</w:t>
      </w:r>
      <w:r w:rsidR="00CB54D4">
        <w:t>)</w:t>
      </w:r>
      <w:r w:rsidR="00FC3A0E" w:rsidRPr="00AC1C10">
        <w:rPr>
          <w:b/>
          <w:bCs/>
        </w:rPr>
        <w:t>,</w:t>
      </w:r>
      <w:r w:rsidR="00FC3A0E" w:rsidRPr="00706ACB">
        <w:t xml:space="preserve"> including</w:t>
      </w:r>
    </w:p>
    <w:p w14:paraId="759BD35B" w14:textId="20050C22" w:rsidR="00781B5F" w:rsidRPr="00AC1C10" w:rsidRDefault="00781B5F">
      <w:pPr>
        <w:pStyle w:val="ListParagraph"/>
        <w:numPr>
          <w:ilvl w:val="1"/>
          <w:numId w:val="10"/>
        </w:numPr>
      </w:pPr>
      <w:r w:rsidRPr="00706ACB">
        <w:t xml:space="preserve">the </w:t>
      </w:r>
      <w:r w:rsidR="00D6270A">
        <w:t>p</w:t>
      </w:r>
      <w:r w:rsidR="000824D9">
        <w:t>urpose</w:t>
      </w:r>
      <w:r w:rsidR="000941B0">
        <w:t xml:space="preserve"> of the Act</w:t>
      </w:r>
    </w:p>
    <w:p w14:paraId="3B76A78D" w14:textId="621A64F7" w:rsidR="00E24151" w:rsidRPr="00706ACB" w:rsidRDefault="00FC3A0E">
      <w:pPr>
        <w:pStyle w:val="ListParagraph"/>
        <w:numPr>
          <w:ilvl w:val="1"/>
          <w:numId w:val="10"/>
        </w:numPr>
      </w:pPr>
      <w:r w:rsidRPr="00706ACB">
        <w:t>the</w:t>
      </w:r>
      <w:r w:rsidR="00C26894">
        <w:t xml:space="preserve"> </w:t>
      </w:r>
      <w:r w:rsidR="00AB52EE">
        <w:t xml:space="preserve">background </w:t>
      </w:r>
      <w:r w:rsidR="000941B0">
        <w:t xml:space="preserve">and </w:t>
      </w:r>
      <w:r w:rsidR="000941B0" w:rsidRPr="00AC1C10">
        <w:t>perspectives</w:t>
      </w:r>
      <w:r w:rsidR="000941B0">
        <w:t xml:space="preserve"> </w:t>
      </w:r>
      <w:r w:rsidR="00AB52EE">
        <w:t>on the</w:t>
      </w:r>
      <w:r w:rsidRPr="00706ACB">
        <w:t xml:space="preserve"> </w:t>
      </w:r>
      <w:r w:rsidRPr="00AC1C10">
        <w:rPr>
          <w:i/>
          <w:iCs/>
        </w:rPr>
        <w:t xml:space="preserve">Aboriginal Heritage Act </w:t>
      </w:r>
      <w:r w:rsidR="000C60E9" w:rsidRPr="00AC1C10">
        <w:rPr>
          <w:i/>
          <w:iCs/>
        </w:rPr>
        <w:t>2021</w:t>
      </w:r>
      <w:r w:rsidR="000C60E9" w:rsidRPr="00706ACB">
        <w:t xml:space="preserve"> </w:t>
      </w:r>
      <w:r w:rsidR="00CB54D4" w:rsidRPr="00F52996">
        <w:t>(WA</w:t>
      </w:r>
      <w:r w:rsidR="00CB54D4">
        <w:t xml:space="preserve">) </w:t>
      </w:r>
      <w:r w:rsidR="00F55442">
        <w:t xml:space="preserve">and why it was </w:t>
      </w:r>
      <w:r w:rsidR="000C60E9" w:rsidRPr="00706ACB">
        <w:t>repealed</w:t>
      </w:r>
    </w:p>
    <w:p w14:paraId="316E3EB1" w14:textId="4B099AB6" w:rsidR="00B926F5" w:rsidRPr="00781B5F" w:rsidRDefault="0001727E">
      <w:pPr>
        <w:pStyle w:val="ListParagraph"/>
        <w:numPr>
          <w:ilvl w:val="1"/>
          <w:numId w:val="10"/>
        </w:numPr>
      </w:pPr>
      <w:r>
        <w:t xml:space="preserve">key changes and </w:t>
      </w:r>
      <w:r w:rsidR="00B34B1F" w:rsidRPr="00AC1C10">
        <w:t>amendments</w:t>
      </w:r>
      <w:r w:rsidR="00B34B1F" w:rsidRPr="00706ACB">
        <w:t xml:space="preserve"> to the 1972 Act</w:t>
      </w:r>
    </w:p>
    <w:p w14:paraId="652361D5" w14:textId="77FE1F4D" w:rsidR="00E873E0" w:rsidRPr="00B9787C" w:rsidRDefault="00E873E0">
      <w:pPr>
        <w:pStyle w:val="ListParagraph"/>
        <w:numPr>
          <w:ilvl w:val="0"/>
          <w:numId w:val="10"/>
        </w:numPr>
      </w:pPr>
      <w:r w:rsidRPr="00706ACB">
        <w:t xml:space="preserve">the contribution </w:t>
      </w:r>
      <w:r w:rsidR="00E92C2B">
        <w:t xml:space="preserve">of </w:t>
      </w:r>
      <w:r w:rsidRPr="00706ACB">
        <w:t>A</w:t>
      </w:r>
      <w:r w:rsidR="001D71EC" w:rsidRPr="00706ACB">
        <w:t>ustralian First Nations Peoples</w:t>
      </w:r>
      <w:r w:rsidRPr="00706ACB">
        <w:t xml:space="preserve"> </w:t>
      </w:r>
      <w:r w:rsidR="00B9787C" w:rsidRPr="00B9787C">
        <w:t>tourism</w:t>
      </w:r>
      <w:r w:rsidR="00245398">
        <w:t xml:space="preserve"> </w:t>
      </w:r>
      <w:r w:rsidR="00903122">
        <w:t xml:space="preserve">in </w:t>
      </w:r>
      <w:r w:rsidR="00B9787C" w:rsidRPr="00B9787C">
        <w:t>promoting</w:t>
      </w:r>
      <w:r w:rsidR="001D71EC" w:rsidRPr="00706ACB">
        <w:t xml:space="preserve"> and showcasing </w:t>
      </w:r>
      <w:r w:rsidR="000F729D">
        <w:t xml:space="preserve">their </w:t>
      </w:r>
      <w:r w:rsidR="00487734" w:rsidRPr="00706ACB">
        <w:t>cultural heritage</w:t>
      </w:r>
      <w:r w:rsidR="00DE4B28">
        <w:t xml:space="preserve">, including </w:t>
      </w:r>
      <w:r w:rsidR="00B245A9" w:rsidRPr="00AC1C10">
        <w:rPr>
          <w:b/>
          <w:bCs/>
        </w:rPr>
        <w:t>two</w:t>
      </w:r>
      <w:r w:rsidR="00B245A9">
        <w:t xml:space="preserve"> specific examples of Aboriginal</w:t>
      </w:r>
      <w:r w:rsidR="00CB54D4">
        <w:t>-</w:t>
      </w:r>
      <w:r w:rsidR="007533D9">
        <w:t xml:space="preserve">owned </w:t>
      </w:r>
      <w:r w:rsidR="00F95689">
        <w:t xml:space="preserve">cultural </w:t>
      </w:r>
      <w:r w:rsidR="007533D9">
        <w:t>tourism experiences</w:t>
      </w:r>
    </w:p>
    <w:bookmarkEnd w:id="56"/>
    <w:bookmarkEnd w:id="57"/>
    <w:p w14:paraId="2670FA1E" w14:textId="27B90DA4" w:rsidR="00A41F21" w:rsidRDefault="00A41F21" w:rsidP="00263DEE">
      <w:pPr>
        <w:pStyle w:val="SCSAHeading3"/>
      </w:pPr>
      <w:r w:rsidRPr="00B764C6">
        <w:t>Intercultural Skills</w:t>
      </w:r>
    </w:p>
    <w:p w14:paraId="5738257E" w14:textId="77777777" w:rsidR="00A41F21" w:rsidRPr="00901BD7" w:rsidRDefault="00A41F21" w:rsidP="00263DEE">
      <w:pPr>
        <w:pStyle w:val="SCSAHeading4"/>
      </w:pPr>
      <w:r w:rsidRPr="00901BD7">
        <w:t>Research</w:t>
      </w:r>
    </w:p>
    <w:p w14:paraId="20032F63" w14:textId="7889F77E" w:rsidR="00A41F21" w:rsidRPr="00E23776" w:rsidRDefault="009D2369">
      <w:pPr>
        <w:pStyle w:val="ListParagraph"/>
        <w:numPr>
          <w:ilvl w:val="0"/>
          <w:numId w:val="11"/>
        </w:numPr>
      </w:pPr>
      <w:r w:rsidRPr="00E23776">
        <w:t xml:space="preserve">develop and modify a range of </w:t>
      </w:r>
      <w:r w:rsidR="00A41F21" w:rsidRPr="00E23776">
        <w:t xml:space="preserve">focus questions to investigate a specific topic/issue </w:t>
      </w:r>
    </w:p>
    <w:p w14:paraId="353DAFEC" w14:textId="77777777" w:rsidR="00A41F21" w:rsidRPr="00E23776" w:rsidRDefault="00A41F21">
      <w:pPr>
        <w:pStyle w:val="ListParagraph"/>
        <w:numPr>
          <w:ilvl w:val="0"/>
          <w:numId w:val="11"/>
        </w:numPr>
      </w:pPr>
      <w:r w:rsidRPr="00E23776">
        <w:t>plan an inquiry with clearly defined aims, using appropriate methodologies</w:t>
      </w:r>
    </w:p>
    <w:p w14:paraId="1A92CB1A" w14:textId="6DB22B0D" w:rsidR="00A41F21" w:rsidRPr="00E23776" w:rsidRDefault="00A41F21">
      <w:pPr>
        <w:pStyle w:val="ListParagraph"/>
        <w:numPr>
          <w:ilvl w:val="0"/>
          <w:numId w:val="11"/>
        </w:numPr>
      </w:pPr>
      <w:r w:rsidRPr="00E23776">
        <w:t xml:space="preserve">collect, record and </w:t>
      </w:r>
      <w:r w:rsidR="009D2369" w:rsidRPr="00E23776">
        <w:t>compare</w:t>
      </w:r>
      <w:r w:rsidRPr="00E23776">
        <w:t xml:space="preserve"> information and/or data from relevant culturally responsive resources</w:t>
      </w:r>
    </w:p>
    <w:p w14:paraId="1EA5534D" w14:textId="4D9956E1" w:rsidR="0038634F" w:rsidRPr="00E23776" w:rsidRDefault="0038634F">
      <w:pPr>
        <w:pStyle w:val="ListParagraph"/>
        <w:numPr>
          <w:ilvl w:val="0"/>
          <w:numId w:val="11"/>
        </w:numPr>
      </w:pPr>
      <w:r w:rsidRPr="00E23776">
        <w:t>identify and practise ethical scholarship when conducting research, including respecting variation between cultural groups of processes and protocols for collecting information</w:t>
      </w:r>
    </w:p>
    <w:p w14:paraId="0C865A2C" w14:textId="77777777" w:rsidR="00A41F21" w:rsidRPr="00901BD7" w:rsidRDefault="00A41F21" w:rsidP="00263DEE">
      <w:pPr>
        <w:pStyle w:val="SCSAHeading4"/>
      </w:pPr>
      <w:r w:rsidRPr="00901BD7">
        <w:t>Analysis and use of sources</w:t>
      </w:r>
    </w:p>
    <w:p w14:paraId="193E0687" w14:textId="2F43AEA5" w:rsidR="00A41F21" w:rsidRPr="00E23776" w:rsidRDefault="00A41F21">
      <w:pPr>
        <w:pStyle w:val="ListParagraph"/>
        <w:numPr>
          <w:ilvl w:val="0"/>
          <w:numId w:val="12"/>
        </w:numPr>
      </w:pPr>
      <w:r w:rsidRPr="00E23776">
        <w:t>identify the origin, purpose and context of</w:t>
      </w:r>
      <w:r w:rsidR="005A5182" w:rsidRPr="00E23776">
        <w:t xml:space="preserve"> a variety of</w:t>
      </w:r>
      <w:r w:rsidRPr="00E23776">
        <w:t xml:space="preserve"> sources</w:t>
      </w:r>
    </w:p>
    <w:p w14:paraId="7B8D39E3" w14:textId="37629243" w:rsidR="00A41F21" w:rsidRPr="00E23776" w:rsidRDefault="00A41F21">
      <w:pPr>
        <w:pStyle w:val="ListParagraph"/>
        <w:numPr>
          <w:ilvl w:val="0"/>
          <w:numId w:val="12"/>
        </w:numPr>
      </w:pPr>
      <w:r w:rsidRPr="00E23776">
        <w:t xml:space="preserve">evaluate the reliability, </w:t>
      </w:r>
      <w:r w:rsidR="00EF7B78" w:rsidRPr="00E23776">
        <w:t xml:space="preserve">bias </w:t>
      </w:r>
      <w:r w:rsidRPr="00E23776">
        <w:t>and usefulness of different sources</w:t>
      </w:r>
    </w:p>
    <w:p w14:paraId="73F2B94A" w14:textId="1D7AECE1" w:rsidR="00A41F21" w:rsidRPr="00E23776" w:rsidRDefault="00A41F21">
      <w:pPr>
        <w:pStyle w:val="ListParagraph"/>
        <w:numPr>
          <w:ilvl w:val="0"/>
          <w:numId w:val="12"/>
        </w:numPr>
      </w:pPr>
      <w:r w:rsidRPr="00E23776">
        <w:t xml:space="preserve">analyse </w:t>
      </w:r>
      <w:r w:rsidR="005A5182" w:rsidRPr="00E23776">
        <w:t xml:space="preserve">and account for </w:t>
      </w:r>
      <w:r w:rsidRPr="00E23776">
        <w:t>differen</w:t>
      </w:r>
      <w:r w:rsidR="009D2369" w:rsidRPr="00E23776">
        <w:t>ces in</w:t>
      </w:r>
      <w:r w:rsidRPr="00E23776">
        <w:t xml:space="preserve"> perspectives </w:t>
      </w:r>
      <w:r w:rsidR="009D2369" w:rsidRPr="00E23776">
        <w:t xml:space="preserve">and interpretations </w:t>
      </w:r>
      <w:r w:rsidR="005A5182" w:rsidRPr="00E23776">
        <w:t xml:space="preserve">of the past, </w:t>
      </w:r>
      <w:r w:rsidRPr="00E23776">
        <w:t>presented in a variety of sources</w:t>
      </w:r>
    </w:p>
    <w:p w14:paraId="41BB4797" w14:textId="05AE9058" w:rsidR="00A41F21" w:rsidRPr="00E23776" w:rsidRDefault="00A41F21">
      <w:pPr>
        <w:pStyle w:val="ListParagraph"/>
        <w:numPr>
          <w:ilvl w:val="0"/>
          <w:numId w:val="12"/>
        </w:numPr>
      </w:pPr>
      <w:r w:rsidRPr="00E23776">
        <w:t>identify and analyse relationships, and use evidence from different sources to support a point of view</w:t>
      </w:r>
    </w:p>
    <w:p w14:paraId="48B64180" w14:textId="77777777" w:rsidR="00A41F21" w:rsidRPr="00901BD7" w:rsidRDefault="00A41F21" w:rsidP="00263DEE">
      <w:pPr>
        <w:pStyle w:val="SCSAHeading4"/>
      </w:pPr>
      <w:r w:rsidRPr="00901BD7">
        <w:t>Evaluating and communicating</w:t>
      </w:r>
    </w:p>
    <w:p w14:paraId="12FB9695" w14:textId="7A43A8A5" w:rsidR="00A41F21" w:rsidRPr="00E23776" w:rsidRDefault="00EF7B78">
      <w:pPr>
        <w:pStyle w:val="ListParagraph"/>
        <w:numPr>
          <w:ilvl w:val="0"/>
          <w:numId w:val="13"/>
        </w:numPr>
      </w:pPr>
      <w:r w:rsidRPr="00E23776">
        <w:t xml:space="preserve">evaluate information and/or data to </w:t>
      </w:r>
      <w:r w:rsidR="00A41F21" w:rsidRPr="00E23776">
        <w:t xml:space="preserve">draw </w:t>
      </w:r>
      <w:r w:rsidRPr="00E23776">
        <w:t xml:space="preserve">evidence-based </w:t>
      </w:r>
      <w:r w:rsidR="00A41F21" w:rsidRPr="00E23776">
        <w:t xml:space="preserve">conclusions and explanations taking into account </w:t>
      </w:r>
      <w:r w:rsidRPr="00E23776">
        <w:t xml:space="preserve">ambiguities and </w:t>
      </w:r>
      <w:r w:rsidR="00A41F21" w:rsidRPr="00E23776">
        <w:t>different perspectives</w:t>
      </w:r>
    </w:p>
    <w:p w14:paraId="58CC85C1" w14:textId="18716DF7" w:rsidR="00A41F21" w:rsidRPr="00E23776" w:rsidRDefault="00EE2F58">
      <w:pPr>
        <w:pStyle w:val="ListParagraph"/>
        <w:numPr>
          <w:ilvl w:val="0"/>
          <w:numId w:val="13"/>
        </w:numPr>
      </w:pPr>
      <w:r w:rsidRPr="00E23776">
        <w:t xml:space="preserve">communicate </w:t>
      </w:r>
      <w:r w:rsidR="00A41F21" w:rsidRPr="00E23776">
        <w:t>findings using formats appropriate to purpose</w:t>
      </w:r>
      <w:r w:rsidR="00EF7B78" w:rsidRPr="00E23776">
        <w:t xml:space="preserve"> and audience</w:t>
      </w:r>
    </w:p>
    <w:p w14:paraId="39341CB9" w14:textId="77777777" w:rsidR="00A41F21" w:rsidRPr="00E23776" w:rsidRDefault="00A41F21">
      <w:pPr>
        <w:pStyle w:val="ListParagraph"/>
        <w:numPr>
          <w:ilvl w:val="0"/>
          <w:numId w:val="13"/>
        </w:numPr>
      </w:pPr>
      <w:r w:rsidRPr="00E23776">
        <w:t>use respectful and inclusive language and terminology</w:t>
      </w:r>
    </w:p>
    <w:p w14:paraId="5EE7AEA2" w14:textId="77777777" w:rsidR="0038634F" w:rsidRPr="00E23776" w:rsidRDefault="0038634F">
      <w:pPr>
        <w:pStyle w:val="ListParagraph"/>
        <w:numPr>
          <w:ilvl w:val="0"/>
          <w:numId w:val="13"/>
        </w:numPr>
      </w:pPr>
      <w:r w:rsidRPr="00E23776">
        <w:t>identify and practise ethical scholarship when communicating research, including</w:t>
      </w:r>
    </w:p>
    <w:p w14:paraId="79236E84" w14:textId="77777777" w:rsidR="0038634F" w:rsidRPr="00E23776" w:rsidRDefault="0038634F">
      <w:pPr>
        <w:pStyle w:val="ListParagraph"/>
        <w:numPr>
          <w:ilvl w:val="1"/>
          <w:numId w:val="13"/>
        </w:numPr>
      </w:pPr>
      <w:r w:rsidRPr="00E23776">
        <w:t>respecting variation between cultural groups of processes and protocols for acknowledging and communicating information</w:t>
      </w:r>
    </w:p>
    <w:p w14:paraId="5F53ACD8" w14:textId="77777777" w:rsidR="0038634F" w:rsidRPr="00E23776" w:rsidRDefault="0038634F">
      <w:pPr>
        <w:pStyle w:val="ListParagraph"/>
        <w:numPr>
          <w:ilvl w:val="1"/>
          <w:numId w:val="13"/>
        </w:numPr>
      </w:pPr>
      <w:r w:rsidRPr="00E23776">
        <w:t>adopting protocols and conventions to communicate in culturally appropriate ways</w:t>
      </w:r>
    </w:p>
    <w:p w14:paraId="281AD414" w14:textId="77777777" w:rsidR="0038634F" w:rsidRPr="00E23776" w:rsidRDefault="0038634F">
      <w:pPr>
        <w:pStyle w:val="ListParagraph"/>
        <w:numPr>
          <w:ilvl w:val="1"/>
          <w:numId w:val="13"/>
        </w:numPr>
      </w:pPr>
      <w:r w:rsidRPr="00E23776">
        <w:t>applying appropriate referencing techniques accurately and consistently</w:t>
      </w:r>
    </w:p>
    <w:p w14:paraId="680A84B0" w14:textId="16B2FD56" w:rsidR="00A41F21" w:rsidRPr="00901BD7" w:rsidRDefault="00A41F21" w:rsidP="00263DEE">
      <w:pPr>
        <w:pStyle w:val="SCSAHeading4"/>
      </w:pPr>
      <w:r w:rsidRPr="00901BD7">
        <w:t>Reflection</w:t>
      </w:r>
    </w:p>
    <w:p w14:paraId="7691520A" w14:textId="77777777" w:rsidR="00A41F21" w:rsidRPr="00E23776" w:rsidRDefault="00A41F21">
      <w:pPr>
        <w:pStyle w:val="ListParagraph"/>
        <w:numPr>
          <w:ilvl w:val="0"/>
          <w:numId w:val="14"/>
        </w:numPr>
      </w:pPr>
      <w:r w:rsidRPr="00E23776">
        <w:t>acknowledge differences in personal perspectives, interpretations and world views when developing a response</w:t>
      </w:r>
    </w:p>
    <w:p w14:paraId="40053E5F" w14:textId="0C1898CD" w:rsidR="00A41F21" w:rsidRPr="00E23776" w:rsidRDefault="00A41F21">
      <w:pPr>
        <w:pStyle w:val="ListParagraph"/>
        <w:numPr>
          <w:ilvl w:val="0"/>
          <w:numId w:val="14"/>
        </w:numPr>
      </w:pPr>
      <w:r w:rsidRPr="00E23776">
        <w:t>reflect on own learning to review original understandings</w:t>
      </w:r>
      <w:r w:rsidR="00EF7B78" w:rsidRPr="00E23776">
        <w:t xml:space="preserve"> and on</w:t>
      </w:r>
      <w:r w:rsidR="00EE2F58" w:rsidRPr="00E23776">
        <w:t xml:space="preserve"> </w:t>
      </w:r>
      <w:r w:rsidR="00EF7B78" w:rsidRPr="00E23776">
        <w:t>why all findings are tentative</w:t>
      </w:r>
    </w:p>
    <w:p w14:paraId="24369C5A" w14:textId="77777777" w:rsidR="00A41F21" w:rsidRPr="00E23776" w:rsidRDefault="00A41F21" w:rsidP="00E23776">
      <w:r w:rsidRPr="00E23776">
        <w:br w:type="page"/>
      </w:r>
    </w:p>
    <w:p w14:paraId="13D917D5" w14:textId="00051864" w:rsidR="00540775" w:rsidRPr="006D4895" w:rsidRDefault="00540775" w:rsidP="00263DEE">
      <w:pPr>
        <w:pStyle w:val="SCSAHeading1"/>
      </w:pPr>
      <w:bookmarkStart w:id="58" w:name="_Toc173315833"/>
      <w:bookmarkStart w:id="59" w:name="_Toc219802586"/>
      <w:bookmarkStart w:id="60" w:name="_Toc347908227"/>
      <w:r w:rsidRPr="006D4895">
        <w:t>Unit 2</w:t>
      </w:r>
      <w:bookmarkEnd w:id="58"/>
      <w:bookmarkEnd w:id="59"/>
    </w:p>
    <w:p w14:paraId="0A73F13E" w14:textId="77777777" w:rsidR="00BE277F" w:rsidRPr="00A93F91" w:rsidRDefault="00BE277F" w:rsidP="00263DEE">
      <w:pPr>
        <w:pStyle w:val="SCSAHeading2"/>
      </w:pPr>
      <w:bookmarkStart w:id="61" w:name="_Toc173315834"/>
      <w:bookmarkStart w:id="62" w:name="_Toc219802587"/>
      <w:r w:rsidRPr="00A93F91">
        <w:t>Unit description</w:t>
      </w:r>
      <w:bookmarkEnd w:id="61"/>
      <w:bookmarkEnd w:id="62"/>
    </w:p>
    <w:p w14:paraId="1CFA871B" w14:textId="3AEB14A3" w:rsidR="00BA29BF" w:rsidRPr="000B4EF4" w:rsidRDefault="00D70BDD" w:rsidP="00E23776">
      <w:pPr>
        <w:rPr>
          <w:rFonts w:cstheme="minorHAnsi"/>
        </w:rPr>
      </w:pPr>
      <w:bookmarkStart w:id="63" w:name="_Hlk152160975"/>
      <w:r w:rsidRPr="0010526A">
        <w:rPr>
          <w:rFonts w:cs="Calibri"/>
        </w:rPr>
        <w:t>The focus of this unit is for students to learn about the distinctiveness and diversity of Australian First Nations Peoples’ cultural expressions</w:t>
      </w:r>
      <w:r w:rsidR="0090058F" w:rsidRPr="0010526A">
        <w:rPr>
          <w:rFonts w:cs="Calibri"/>
        </w:rPr>
        <w:t>.</w:t>
      </w:r>
      <w:r w:rsidRPr="0010526A">
        <w:rPr>
          <w:rFonts w:cs="Calibri"/>
        </w:rPr>
        <w:t xml:space="preserve"> </w:t>
      </w:r>
      <w:bookmarkStart w:id="64" w:name="_Toc359503805"/>
      <w:r w:rsidR="00BD1B16">
        <w:rPr>
          <w:rFonts w:cs="Calibri"/>
        </w:rPr>
        <w:t>Students</w:t>
      </w:r>
      <w:r w:rsidR="00BD1B16" w:rsidRPr="0010526A">
        <w:rPr>
          <w:rFonts w:cs="Calibri"/>
        </w:rPr>
        <w:t xml:space="preserve"> </w:t>
      </w:r>
      <w:r w:rsidRPr="0010526A">
        <w:rPr>
          <w:rFonts w:cs="Calibri"/>
        </w:rPr>
        <w:t>learn how First Nations Peoples</w:t>
      </w:r>
      <w:r w:rsidR="00CB54D4">
        <w:rPr>
          <w:rFonts w:cs="Calibri"/>
        </w:rPr>
        <w:t>,</w:t>
      </w:r>
      <w:r w:rsidRPr="0010526A">
        <w:rPr>
          <w:rFonts w:cs="Calibri"/>
        </w:rPr>
        <w:t xml:space="preserve"> both within Australia and internationally, create cultural expressions that celebrate, challenge and communicate ideas and perspectives. Students explore the use of First Nations Peoples’ cultural expressions to continue, maintain, share and revitalise their cultural knowledge and values and, in doing so, develop respect and understanding of the </w:t>
      </w:r>
      <w:r w:rsidRPr="00E23776">
        <w:t>cultural</w:t>
      </w:r>
      <w:r w:rsidRPr="0010526A">
        <w:rPr>
          <w:rFonts w:cs="Calibri"/>
        </w:rPr>
        <w:t xml:space="preserve"> protocols, including intellectual and cultural property rights, which exist to protect and revitalise First Nation Peoples’ cultures</w:t>
      </w:r>
      <w:r w:rsidR="0010526A" w:rsidRPr="0010526A">
        <w:rPr>
          <w:rFonts w:cs="Calibri"/>
        </w:rPr>
        <w:t xml:space="preserve"> in Australia and globally</w:t>
      </w:r>
      <w:bookmarkEnd w:id="63"/>
      <w:r w:rsidRPr="0010526A">
        <w:rPr>
          <w:rFonts w:cs="Calibri"/>
        </w:rPr>
        <w:t>.</w:t>
      </w:r>
      <w:bookmarkEnd w:id="64"/>
    </w:p>
    <w:p w14:paraId="521DD765" w14:textId="77777777" w:rsidR="00D65C5C" w:rsidRPr="00A93F91" w:rsidRDefault="00D65C5C" w:rsidP="00263DEE">
      <w:pPr>
        <w:pStyle w:val="SCSAHeading2"/>
      </w:pPr>
      <w:bookmarkStart w:id="65" w:name="_Toc173315835"/>
      <w:bookmarkStart w:id="66" w:name="_Toc219802588"/>
      <w:r w:rsidRPr="00A93F91">
        <w:t>Unit content</w:t>
      </w:r>
      <w:bookmarkEnd w:id="65"/>
      <w:bookmarkEnd w:id="66"/>
    </w:p>
    <w:p w14:paraId="6EA7C88B" w14:textId="77777777" w:rsidR="00B37F31" w:rsidRDefault="00B37F31" w:rsidP="00B37F31">
      <w:pPr>
        <w:spacing w:before="120"/>
      </w:pPr>
      <w:r w:rsidRPr="00042703">
        <w:t>This unit includes the knowledge, understandings and skills described below.</w:t>
      </w:r>
    </w:p>
    <w:p w14:paraId="35C5749B" w14:textId="54C1FC80" w:rsidR="00B37F31" w:rsidRPr="00D26F80" w:rsidRDefault="00B37F31" w:rsidP="00BA6D60">
      <w:pPr>
        <w:pStyle w:val="SCSAHeading3"/>
      </w:pPr>
      <w:r w:rsidRPr="00D26F80">
        <w:t>Overview</w:t>
      </w:r>
      <w:r>
        <w:t xml:space="preserve"> of the diversity </w:t>
      </w:r>
      <w:r w:rsidRPr="00844D65">
        <w:t>of First Nations Peoples’ cultural expressions and protocols</w:t>
      </w:r>
    </w:p>
    <w:p w14:paraId="28793B83" w14:textId="29A0D985" w:rsidR="00D70BDD" w:rsidRPr="00E23776" w:rsidRDefault="00D70BDD">
      <w:pPr>
        <w:pStyle w:val="ListParagraph"/>
        <w:numPr>
          <w:ilvl w:val="0"/>
          <w:numId w:val="15"/>
        </w:numPr>
      </w:pPr>
      <w:r w:rsidRPr="00E23776">
        <w:t>define the following key terms and concepts as they relate to, and by privileging</w:t>
      </w:r>
      <w:r w:rsidR="00CB54D4" w:rsidRPr="00E23776">
        <w:t>,</w:t>
      </w:r>
      <w:r w:rsidRPr="00E23776">
        <w:t xml:space="preserve"> First Nations Peoples’ voices and perspectives</w:t>
      </w:r>
    </w:p>
    <w:p w14:paraId="4DECCC9B" w14:textId="44C2A93E" w:rsidR="00D70BDD" w:rsidRPr="00E23776" w:rsidRDefault="00D70BDD">
      <w:pPr>
        <w:pStyle w:val="ListParagraph"/>
        <w:numPr>
          <w:ilvl w:val="1"/>
          <w:numId w:val="15"/>
        </w:numPr>
      </w:pPr>
      <w:bookmarkStart w:id="67" w:name="_Hlk152235467"/>
      <w:r w:rsidRPr="00E23776">
        <w:t>cultural expressions</w:t>
      </w:r>
    </w:p>
    <w:p w14:paraId="0A8532C3" w14:textId="77777777" w:rsidR="00D70BDD" w:rsidRPr="00E23776" w:rsidRDefault="00D70BDD">
      <w:pPr>
        <w:pStyle w:val="ListParagraph"/>
        <w:numPr>
          <w:ilvl w:val="1"/>
          <w:numId w:val="15"/>
        </w:numPr>
      </w:pPr>
      <w:r w:rsidRPr="00E23776">
        <w:t>empowerment</w:t>
      </w:r>
    </w:p>
    <w:p w14:paraId="02EE1B7C" w14:textId="03A125B0" w:rsidR="00F44BA0" w:rsidRPr="00E23776" w:rsidRDefault="00F44BA0">
      <w:pPr>
        <w:pStyle w:val="ListParagraph"/>
        <w:numPr>
          <w:ilvl w:val="1"/>
          <w:numId w:val="15"/>
        </w:numPr>
      </w:pPr>
      <w:r w:rsidRPr="00E23776">
        <w:t>resiliency</w:t>
      </w:r>
    </w:p>
    <w:p w14:paraId="5F528F83" w14:textId="7AE3980C" w:rsidR="00D70BDD" w:rsidRPr="00E23776" w:rsidRDefault="00D70BDD">
      <w:pPr>
        <w:pStyle w:val="ListParagraph"/>
        <w:numPr>
          <w:ilvl w:val="1"/>
          <w:numId w:val="15"/>
        </w:numPr>
      </w:pPr>
      <w:r w:rsidRPr="00E23776">
        <w:t>self-determination</w:t>
      </w:r>
    </w:p>
    <w:bookmarkEnd w:id="67"/>
    <w:p w14:paraId="7B93D9B5" w14:textId="527933D9" w:rsidR="00F864EC" w:rsidRPr="00E23776" w:rsidRDefault="00D70BDD">
      <w:pPr>
        <w:pStyle w:val="ListParagraph"/>
        <w:numPr>
          <w:ilvl w:val="0"/>
          <w:numId w:val="15"/>
        </w:numPr>
      </w:pPr>
      <w:r w:rsidRPr="00E23776">
        <w:t>the impact of invasion and colonisation on First Nations Peoples’</w:t>
      </w:r>
      <w:r w:rsidR="003B06FE" w:rsidRPr="00E23776">
        <w:t xml:space="preserve"> cultural expressions </w:t>
      </w:r>
      <w:bookmarkStart w:id="68" w:name="_Hlk155770868"/>
      <w:r w:rsidR="00076AF9" w:rsidRPr="00E23776">
        <w:t xml:space="preserve">in </w:t>
      </w:r>
      <w:r w:rsidR="003B06FE" w:rsidRPr="00E23776">
        <w:t xml:space="preserve">both Australia and </w:t>
      </w:r>
      <w:r w:rsidR="003B06FE" w:rsidRPr="00E23776">
        <w:rPr>
          <w:b/>
          <w:bCs/>
        </w:rPr>
        <w:t>one</w:t>
      </w:r>
      <w:r w:rsidR="003B06FE" w:rsidRPr="00E23776">
        <w:t xml:space="preserve"> other </w:t>
      </w:r>
      <w:r w:rsidR="006971D2" w:rsidRPr="00E23776">
        <w:t>country</w:t>
      </w:r>
    </w:p>
    <w:bookmarkEnd w:id="68"/>
    <w:p w14:paraId="1F3D2851" w14:textId="07F9A1D9" w:rsidR="00D70BDD" w:rsidRPr="00E23776" w:rsidRDefault="00D70BDD">
      <w:pPr>
        <w:pStyle w:val="ListParagraph"/>
        <w:numPr>
          <w:ilvl w:val="0"/>
          <w:numId w:val="15"/>
        </w:numPr>
      </w:pPr>
      <w:r w:rsidRPr="00E23776">
        <w:t>the contribution of contemporary cultural expressions to the empowerment and resiliency of First Nations Peoples</w:t>
      </w:r>
      <w:r w:rsidR="003B06FE" w:rsidRPr="00E23776">
        <w:t xml:space="preserve"> </w:t>
      </w:r>
      <w:r w:rsidR="00076AF9" w:rsidRPr="00E23776">
        <w:t xml:space="preserve">in </w:t>
      </w:r>
      <w:r w:rsidR="00F864EC" w:rsidRPr="00E23776">
        <w:t xml:space="preserve">both Australia and one other country, </w:t>
      </w:r>
      <w:r w:rsidRPr="00E23776">
        <w:t>including</w:t>
      </w:r>
    </w:p>
    <w:p w14:paraId="084072FC" w14:textId="77777777" w:rsidR="00D70BDD" w:rsidRPr="00E23776" w:rsidRDefault="00D70BDD">
      <w:pPr>
        <w:pStyle w:val="ListParagraph"/>
        <w:numPr>
          <w:ilvl w:val="1"/>
          <w:numId w:val="15"/>
        </w:numPr>
      </w:pPr>
      <w:r w:rsidRPr="00E23776">
        <w:t>sharing and maintaining cultural knowledge</w:t>
      </w:r>
    </w:p>
    <w:p w14:paraId="08E2E778" w14:textId="70948154" w:rsidR="003B06FE" w:rsidRPr="00E23776" w:rsidRDefault="003B06FE">
      <w:pPr>
        <w:pStyle w:val="ListParagraph"/>
        <w:numPr>
          <w:ilvl w:val="1"/>
          <w:numId w:val="15"/>
        </w:numPr>
      </w:pPr>
      <w:r w:rsidRPr="00E23776">
        <w:t>health and wellbeing</w:t>
      </w:r>
    </w:p>
    <w:p w14:paraId="02219E8D" w14:textId="2A14DCC6" w:rsidR="003B06FE" w:rsidRPr="00E23776" w:rsidRDefault="003B06FE">
      <w:pPr>
        <w:pStyle w:val="ListParagraph"/>
        <w:numPr>
          <w:ilvl w:val="1"/>
          <w:numId w:val="15"/>
        </w:numPr>
      </w:pPr>
      <w:r w:rsidRPr="00E23776">
        <w:t>economic opportunities</w:t>
      </w:r>
    </w:p>
    <w:p w14:paraId="699A0B45" w14:textId="147DE1E4" w:rsidR="003B06FE" w:rsidRPr="00E23776" w:rsidRDefault="00D70BDD">
      <w:pPr>
        <w:pStyle w:val="ListParagraph"/>
        <w:numPr>
          <w:ilvl w:val="1"/>
          <w:numId w:val="15"/>
        </w:numPr>
      </w:pPr>
      <w:r w:rsidRPr="00E23776">
        <w:t xml:space="preserve">as an advocate for the rights of First Nations Peoples </w:t>
      </w:r>
    </w:p>
    <w:p w14:paraId="090942E3" w14:textId="19C9650E" w:rsidR="008A5514" w:rsidRPr="00C91E9C" w:rsidRDefault="00D70BDD">
      <w:pPr>
        <w:pStyle w:val="ListParagraph"/>
        <w:numPr>
          <w:ilvl w:val="0"/>
          <w:numId w:val="15"/>
        </w:numPr>
      </w:pPr>
      <w:r w:rsidRPr="00C91E9C">
        <w:t xml:space="preserve">Indigenous </w:t>
      </w:r>
      <w:r w:rsidRPr="00E23776">
        <w:t>Cultural</w:t>
      </w:r>
      <w:r w:rsidRPr="00C91E9C">
        <w:t xml:space="preserve"> and Intellectual Property and the </w:t>
      </w:r>
      <w:r w:rsidRPr="00E23776">
        <w:rPr>
          <w:i/>
          <w:iCs/>
        </w:rPr>
        <w:t xml:space="preserve">Protocols for using First Nations Cultural </w:t>
      </w:r>
      <w:r w:rsidR="00190978" w:rsidRPr="00E23776">
        <w:rPr>
          <w:i/>
          <w:iCs/>
        </w:rPr>
        <w:t xml:space="preserve">and Intellectual </w:t>
      </w:r>
      <w:r w:rsidRPr="00E23776">
        <w:rPr>
          <w:i/>
          <w:iCs/>
        </w:rPr>
        <w:t>Property</w:t>
      </w:r>
      <w:r w:rsidR="00F864EC" w:rsidRPr="00E23776">
        <w:rPr>
          <w:i/>
          <w:iCs/>
        </w:rPr>
        <w:t xml:space="preserve"> in the Arts</w:t>
      </w:r>
      <w:r w:rsidR="004304C1" w:rsidRPr="00C91E9C">
        <w:t xml:space="preserve"> </w:t>
      </w:r>
      <w:r w:rsidR="00CB54D4">
        <w:t>(</w:t>
      </w:r>
      <w:hyperlink r:id="rId18" w:history="1">
        <w:r w:rsidR="00CB54D4" w:rsidRPr="00CB54D4">
          <w:rPr>
            <w:rStyle w:val="Hyperlink"/>
          </w:rPr>
          <w:t>https://australiacouncil.gov.au/investment-and-development/protocols-and-resources/protocols-for-using-first-nations-cultural-and-intellectual-property-in-the-arts/</w:t>
        </w:r>
      </w:hyperlink>
      <w:r w:rsidR="00602CD7">
        <w:t>)</w:t>
      </w:r>
      <w:r w:rsidR="00AF434F">
        <w:t xml:space="preserve"> </w:t>
      </w:r>
      <w:r w:rsidR="008A5514" w:rsidRPr="00C91E9C">
        <w:t>including</w:t>
      </w:r>
    </w:p>
    <w:p w14:paraId="02D03840" w14:textId="794DBD04" w:rsidR="004304C1" w:rsidRPr="00E23776" w:rsidRDefault="004304C1">
      <w:pPr>
        <w:pStyle w:val="ListParagraph"/>
        <w:numPr>
          <w:ilvl w:val="1"/>
          <w:numId w:val="15"/>
        </w:numPr>
      </w:pPr>
      <w:r w:rsidRPr="00E23776">
        <w:t>what are the protocols</w:t>
      </w:r>
    </w:p>
    <w:p w14:paraId="4449C171" w14:textId="1DC0C6A2" w:rsidR="00610A88" w:rsidRPr="00E23776" w:rsidRDefault="008A5514">
      <w:pPr>
        <w:pStyle w:val="ListParagraph"/>
        <w:numPr>
          <w:ilvl w:val="1"/>
          <w:numId w:val="15"/>
        </w:numPr>
      </w:pPr>
      <w:r w:rsidRPr="00E23776">
        <w:t>what is Indigenous Cultural and Intellectual Property</w:t>
      </w:r>
    </w:p>
    <w:p w14:paraId="0A65C129" w14:textId="77777777" w:rsidR="00610A88" w:rsidRPr="00E23776" w:rsidRDefault="008A5514">
      <w:pPr>
        <w:pStyle w:val="ListParagraph"/>
        <w:numPr>
          <w:ilvl w:val="1"/>
          <w:numId w:val="15"/>
        </w:numPr>
      </w:pPr>
      <w:r w:rsidRPr="00E23776">
        <w:t xml:space="preserve">Indigenous </w:t>
      </w:r>
      <w:r w:rsidR="006971D2" w:rsidRPr="00E23776">
        <w:t>peoples’</w:t>
      </w:r>
      <w:r w:rsidRPr="00E23776">
        <w:t xml:space="preserve"> rights to Cultural and Intellectual Property</w:t>
      </w:r>
    </w:p>
    <w:p w14:paraId="51D67CA7" w14:textId="4FAC7719" w:rsidR="008A5514" w:rsidRPr="00C91E9C" w:rsidRDefault="0056284A">
      <w:pPr>
        <w:pStyle w:val="ListParagraph"/>
        <w:numPr>
          <w:ilvl w:val="1"/>
          <w:numId w:val="15"/>
        </w:numPr>
      </w:pPr>
      <w:r w:rsidRPr="00E23776">
        <w:rPr>
          <w:b/>
          <w:bCs/>
        </w:rPr>
        <w:t>o</w:t>
      </w:r>
      <w:r w:rsidR="00610A88" w:rsidRPr="00E23776">
        <w:rPr>
          <w:b/>
          <w:bCs/>
        </w:rPr>
        <w:t>ne</w:t>
      </w:r>
      <w:r w:rsidR="00610A88" w:rsidRPr="00C91E9C">
        <w:t xml:space="preserve"> example of the </w:t>
      </w:r>
      <w:r w:rsidRPr="00E23776">
        <w:t>p</w:t>
      </w:r>
      <w:r w:rsidR="00610A88" w:rsidRPr="00E23776">
        <w:t>rotocols</w:t>
      </w:r>
      <w:r w:rsidR="00610A88" w:rsidRPr="00C91E9C">
        <w:t xml:space="preserve"> for using First Nations Peoples’ Cultural</w:t>
      </w:r>
      <w:r w:rsidR="00610A88">
        <w:t xml:space="preserve"> </w:t>
      </w:r>
      <w:r w:rsidR="00610A88" w:rsidRPr="00C91E9C">
        <w:t xml:space="preserve">and Intellectual Property in practice in Australia </w:t>
      </w:r>
    </w:p>
    <w:p w14:paraId="023649B8" w14:textId="61FA2103" w:rsidR="008A5514" w:rsidRPr="00C91E9C" w:rsidRDefault="00602CD7">
      <w:pPr>
        <w:pStyle w:val="ListParagraph"/>
        <w:numPr>
          <w:ilvl w:val="0"/>
          <w:numId w:val="15"/>
        </w:numPr>
      </w:pPr>
      <w:r>
        <w:t>i</w:t>
      </w:r>
      <w:r w:rsidR="008A5514" w:rsidRPr="00C91E9C">
        <w:t>nternational protection of Indigenous Cultural and Intellectual Property</w:t>
      </w:r>
      <w:r w:rsidR="004304C1" w:rsidRPr="00C91E9C">
        <w:t>,</w:t>
      </w:r>
      <w:r w:rsidR="008A5514" w:rsidRPr="00C91E9C">
        <w:t xml:space="preserve"> including</w:t>
      </w:r>
      <w:r w:rsidR="004304C1" w:rsidRPr="00C91E9C">
        <w:t xml:space="preserve"> </w:t>
      </w:r>
      <w:r w:rsidR="008A5514" w:rsidRPr="00C91E9C">
        <w:t xml:space="preserve">Article 31 of the </w:t>
      </w:r>
      <w:r w:rsidR="008A5514" w:rsidRPr="00E23776">
        <w:rPr>
          <w:i/>
          <w:iCs/>
        </w:rPr>
        <w:t>United Nations Declaration on the Rights of Indigenous Peoples</w:t>
      </w:r>
    </w:p>
    <w:p w14:paraId="6B6A46BF" w14:textId="7946B86D" w:rsidR="00D70BDD" w:rsidRPr="003B06FE" w:rsidRDefault="00D70BDD" w:rsidP="00BA6D60">
      <w:pPr>
        <w:pStyle w:val="SCSAHeading3"/>
      </w:pPr>
      <w:r w:rsidRPr="003B06FE">
        <w:t>Depth Study One</w:t>
      </w:r>
    </w:p>
    <w:p w14:paraId="6728ED85" w14:textId="74EE7BA3" w:rsidR="00D70BDD" w:rsidRDefault="00D70BDD" w:rsidP="00BA6D60">
      <w:r w:rsidRPr="00D26F80">
        <w:t>Through community experiences and/or secondary sources,</w:t>
      </w:r>
      <w:r w:rsidRPr="00901BD7">
        <w:t xml:space="preserve"> and by privileging First Nations Peoples’ voices and perspectives,</w:t>
      </w:r>
      <w:r w:rsidRPr="00D26F80">
        <w:t xml:space="preserve"> students </w:t>
      </w:r>
      <w:r>
        <w:t>investigate</w:t>
      </w:r>
      <w:r w:rsidRPr="00901BD7">
        <w:t xml:space="preserve"> </w:t>
      </w:r>
      <w:r w:rsidRPr="00613C1F">
        <w:rPr>
          <w:b/>
        </w:rPr>
        <w:t>one</w:t>
      </w:r>
      <w:r w:rsidRPr="00901BD7">
        <w:t xml:space="preserve"> </w:t>
      </w:r>
      <w:r w:rsidRPr="00D26F80">
        <w:t xml:space="preserve">form of cultural expression </w:t>
      </w:r>
      <w:r>
        <w:t>and</w:t>
      </w:r>
      <w:r w:rsidRPr="00D26F80">
        <w:t xml:space="preserve"> its significance</w:t>
      </w:r>
      <w:r w:rsidRPr="00901BD7">
        <w:t xml:space="preserve"> </w:t>
      </w:r>
      <w:r w:rsidRPr="00D26F80">
        <w:t>for</w:t>
      </w:r>
      <w:r w:rsidRPr="00901BD7">
        <w:t xml:space="preserve"> </w:t>
      </w:r>
      <w:r w:rsidRPr="00D26F80">
        <w:t>Australian First Nations People</w:t>
      </w:r>
      <w:r w:rsidR="003B39F6">
        <w:t>s.</w:t>
      </w:r>
    </w:p>
    <w:p w14:paraId="282CF9E2" w14:textId="77777777" w:rsidR="00D70BDD" w:rsidRPr="00D26F80" w:rsidRDefault="00D70BDD" w:rsidP="00E23776">
      <w:pPr>
        <w:pStyle w:val="NoSpacing"/>
      </w:pPr>
      <w:r w:rsidRPr="00D26F80">
        <w:t xml:space="preserve">From the list below, select </w:t>
      </w:r>
      <w:r w:rsidRPr="00613C1F">
        <w:rPr>
          <w:b/>
        </w:rPr>
        <w:t>one</w:t>
      </w:r>
      <w:r w:rsidRPr="00D26F80">
        <w:t xml:space="preserve"> of the forms of </w:t>
      </w:r>
      <w:r w:rsidRPr="00E23776">
        <w:t>cultural</w:t>
      </w:r>
      <w:r w:rsidRPr="00D26F80">
        <w:t xml:space="preserve"> expression:</w:t>
      </w:r>
    </w:p>
    <w:p w14:paraId="607B2286" w14:textId="53D15265" w:rsidR="00D70BDD" w:rsidRPr="00E23776" w:rsidRDefault="00D70BDD">
      <w:pPr>
        <w:pStyle w:val="ListParagraph"/>
        <w:numPr>
          <w:ilvl w:val="0"/>
          <w:numId w:val="16"/>
        </w:numPr>
      </w:pPr>
      <w:r w:rsidRPr="00E23776">
        <w:t xml:space="preserve">visual arts – </w:t>
      </w:r>
      <w:r w:rsidR="000D5EED" w:rsidRPr="00E23776">
        <w:t xml:space="preserve">encompassing drawing, </w:t>
      </w:r>
      <w:r w:rsidR="00FF0442" w:rsidRPr="00E23776">
        <w:t xml:space="preserve">painting, </w:t>
      </w:r>
      <w:r w:rsidR="004B51F0" w:rsidRPr="00E23776">
        <w:t>computer art,</w:t>
      </w:r>
      <w:r w:rsidR="00590F84" w:rsidRPr="00E23776">
        <w:t xml:space="preserve"> </w:t>
      </w:r>
      <w:r w:rsidR="000D5EED" w:rsidRPr="00E23776">
        <w:t xml:space="preserve">photography, </w:t>
      </w:r>
      <w:r w:rsidR="00FF0442" w:rsidRPr="00E23776">
        <w:t xml:space="preserve">sculpture, </w:t>
      </w:r>
      <w:r w:rsidR="000D5EED" w:rsidRPr="00E23776">
        <w:t xml:space="preserve">ceramics, </w:t>
      </w:r>
      <w:r w:rsidR="00FF0442" w:rsidRPr="00E23776">
        <w:t xml:space="preserve">homewares, </w:t>
      </w:r>
      <w:r w:rsidR="000D5EED" w:rsidRPr="00E23776">
        <w:t>fabrics, textiles</w:t>
      </w:r>
      <w:r w:rsidR="00FF0442" w:rsidRPr="00E23776">
        <w:t xml:space="preserve"> and printmaking</w:t>
      </w:r>
      <w:r w:rsidR="000D5EED" w:rsidRPr="00E23776">
        <w:t xml:space="preserve"> </w:t>
      </w:r>
    </w:p>
    <w:p w14:paraId="634C444B" w14:textId="54773E01" w:rsidR="00D70BDD" w:rsidRPr="00E23776" w:rsidRDefault="00D70BDD">
      <w:pPr>
        <w:pStyle w:val="ListParagraph"/>
        <w:numPr>
          <w:ilvl w:val="0"/>
          <w:numId w:val="16"/>
        </w:numPr>
      </w:pPr>
      <w:r w:rsidRPr="00E23776">
        <w:t xml:space="preserve">theatre – </w:t>
      </w:r>
      <w:r w:rsidR="00FF0442" w:rsidRPr="00E23776">
        <w:t>involving musical theatre</w:t>
      </w:r>
      <w:r w:rsidR="00AC1F9D" w:rsidRPr="00E23776">
        <w:t>, plays</w:t>
      </w:r>
      <w:r w:rsidR="00776F4F" w:rsidRPr="00E23776">
        <w:t>, storytelling</w:t>
      </w:r>
      <w:r w:rsidR="00AC1F9D" w:rsidRPr="00E23776">
        <w:t xml:space="preserve"> </w:t>
      </w:r>
      <w:r w:rsidR="00FF0442" w:rsidRPr="00E23776">
        <w:t>and puppet shows</w:t>
      </w:r>
      <w:r w:rsidR="00FF0442" w:rsidRPr="00E23776" w:rsidDel="00FF0442">
        <w:t xml:space="preserve"> </w:t>
      </w:r>
    </w:p>
    <w:p w14:paraId="6F19C0A0" w14:textId="387B3B9C" w:rsidR="004B51F0" w:rsidRPr="00E23776" w:rsidRDefault="004B51F0">
      <w:pPr>
        <w:pStyle w:val="ListParagraph"/>
        <w:numPr>
          <w:ilvl w:val="0"/>
          <w:numId w:val="16"/>
        </w:numPr>
      </w:pPr>
      <w:r w:rsidRPr="00E23776">
        <w:t>events – featuring cultural community festivals and workshops, art exhibitions and installations</w:t>
      </w:r>
    </w:p>
    <w:p w14:paraId="7FE4D845" w14:textId="01CA8243" w:rsidR="00D70BDD" w:rsidRPr="00E23776" w:rsidRDefault="00D70BDD">
      <w:pPr>
        <w:pStyle w:val="ListParagraph"/>
        <w:numPr>
          <w:ilvl w:val="0"/>
          <w:numId w:val="16"/>
        </w:numPr>
      </w:pPr>
      <w:r w:rsidRPr="00E23776">
        <w:t xml:space="preserve">dance – </w:t>
      </w:r>
      <w:r w:rsidR="00FF0442" w:rsidRPr="00E23776">
        <w:t xml:space="preserve">including </w:t>
      </w:r>
      <w:r w:rsidR="00385D9E" w:rsidRPr="00E23776">
        <w:t xml:space="preserve">classical and contemporary </w:t>
      </w:r>
      <w:r w:rsidRPr="00E23776">
        <w:t xml:space="preserve">ballet, </w:t>
      </w:r>
      <w:r w:rsidR="00FF0442" w:rsidRPr="00E23776">
        <w:t xml:space="preserve">traditional dance and </w:t>
      </w:r>
      <w:r w:rsidRPr="00E23776">
        <w:t>contemporary dance</w:t>
      </w:r>
      <w:r w:rsidR="00FF0442" w:rsidRPr="00E23776">
        <w:t xml:space="preserve"> forms</w:t>
      </w:r>
    </w:p>
    <w:p w14:paraId="058B8E64" w14:textId="77777777" w:rsidR="00FF0442" w:rsidRPr="00E23776" w:rsidRDefault="00FF0442">
      <w:pPr>
        <w:pStyle w:val="ListParagraph"/>
        <w:numPr>
          <w:ilvl w:val="0"/>
          <w:numId w:val="16"/>
        </w:numPr>
      </w:pPr>
      <w:r w:rsidRPr="00E23776">
        <w:t>music – covering activities such as composing, recording, publishing, performing, and touring, including songs and live performances</w:t>
      </w:r>
      <w:r w:rsidRPr="00E23776" w:rsidDel="00FF0442">
        <w:t xml:space="preserve"> </w:t>
      </w:r>
    </w:p>
    <w:p w14:paraId="0949C5E8" w14:textId="4A9F3223" w:rsidR="00D70BDD" w:rsidRPr="00E23776" w:rsidRDefault="00D70BDD">
      <w:pPr>
        <w:pStyle w:val="ListParagraph"/>
        <w:numPr>
          <w:ilvl w:val="0"/>
          <w:numId w:val="16"/>
        </w:numPr>
      </w:pPr>
      <w:r w:rsidRPr="00E23776">
        <w:t>written works</w:t>
      </w:r>
      <w:r w:rsidR="00FF0442" w:rsidRPr="00E23776">
        <w:t xml:space="preserve"> comprising </w:t>
      </w:r>
      <w:r w:rsidRPr="00E23776">
        <w:t xml:space="preserve">fiction and non-fiction works, </w:t>
      </w:r>
      <w:r w:rsidR="00FF0442" w:rsidRPr="00E23776">
        <w:t xml:space="preserve">poetry, </w:t>
      </w:r>
      <w:r w:rsidRPr="00E23776">
        <w:t>biographies and</w:t>
      </w:r>
      <w:r w:rsidR="00FF0442" w:rsidRPr="00E23776">
        <w:t>/or</w:t>
      </w:r>
      <w:r w:rsidRPr="00E23776">
        <w:t xml:space="preserve"> playwriting</w:t>
      </w:r>
      <w:r w:rsidR="004B51F0" w:rsidRPr="00E23776">
        <w:t>.</w:t>
      </w:r>
    </w:p>
    <w:p w14:paraId="43ED4675" w14:textId="77777777" w:rsidR="00D70BDD" w:rsidRPr="00D26F80" w:rsidRDefault="00D70BDD" w:rsidP="00E23776">
      <w:pPr>
        <w:pStyle w:val="NoSpacing"/>
      </w:pPr>
      <w:r w:rsidRPr="00D26F80">
        <w:t xml:space="preserve">For the selected </w:t>
      </w:r>
      <w:r w:rsidRPr="00E23776">
        <w:t>form</w:t>
      </w:r>
      <w:r w:rsidRPr="00D26F80">
        <w:t xml:space="preserve"> of c</w:t>
      </w:r>
      <w:r>
        <w:t>ultural expression, investigate:</w:t>
      </w:r>
    </w:p>
    <w:p w14:paraId="00B4DA8A" w14:textId="613CAE0C" w:rsidR="00D70BDD" w:rsidRPr="00E23776" w:rsidRDefault="00552C6C">
      <w:pPr>
        <w:pStyle w:val="ListParagraph"/>
        <w:numPr>
          <w:ilvl w:val="0"/>
          <w:numId w:val="17"/>
        </w:numPr>
      </w:pPr>
      <w:r w:rsidRPr="00E23776">
        <w:t xml:space="preserve">Australian </w:t>
      </w:r>
      <w:r w:rsidR="00D70BDD" w:rsidRPr="00E23776">
        <w:t xml:space="preserve">First Nations Peoples’ perspectives, </w:t>
      </w:r>
      <w:r w:rsidR="00F44BA0" w:rsidRPr="00E23776">
        <w:t>cultures or histories</w:t>
      </w:r>
      <w:r w:rsidR="00D70BDD" w:rsidRPr="00E23776">
        <w:t xml:space="preserve"> represented through the form of cultural expression</w:t>
      </w:r>
    </w:p>
    <w:p w14:paraId="20AD5B1A" w14:textId="567A509C" w:rsidR="00D70BDD" w:rsidRPr="00E23776" w:rsidRDefault="00D70BDD">
      <w:pPr>
        <w:pStyle w:val="ListParagraph"/>
        <w:numPr>
          <w:ilvl w:val="0"/>
          <w:numId w:val="17"/>
        </w:numPr>
      </w:pPr>
      <w:r w:rsidRPr="00E23776">
        <w:t>the role of information and telecommunications technologies in showcasing and celebrating the form of cultural expression locally, nationally and</w:t>
      </w:r>
      <w:r w:rsidR="003B39F6" w:rsidRPr="00E23776">
        <w:t>/or</w:t>
      </w:r>
      <w:r w:rsidRPr="00E23776">
        <w:t xml:space="preserve"> globally</w:t>
      </w:r>
    </w:p>
    <w:p w14:paraId="6E9719A2" w14:textId="7799CB6F" w:rsidR="007761CE" w:rsidRPr="00E23776" w:rsidRDefault="003B39F6">
      <w:pPr>
        <w:pStyle w:val="ListParagraph"/>
        <w:numPr>
          <w:ilvl w:val="0"/>
          <w:numId w:val="17"/>
        </w:numPr>
      </w:pPr>
      <w:r w:rsidRPr="00E23776">
        <w:t xml:space="preserve">the changing </w:t>
      </w:r>
      <w:r w:rsidR="006A6A0D" w:rsidRPr="00E23776">
        <w:t>engagemen</w:t>
      </w:r>
      <w:r w:rsidR="00FA1BCC" w:rsidRPr="00E23776">
        <w:t>t in the</w:t>
      </w:r>
      <w:r w:rsidR="006A6A0D" w:rsidRPr="00E23776">
        <w:t xml:space="preserve"> </w:t>
      </w:r>
      <w:r w:rsidR="00FA1BCC" w:rsidRPr="00E23776">
        <w:t xml:space="preserve">form of cultural expression </w:t>
      </w:r>
      <w:r w:rsidR="007761CE" w:rsidRPr="00E23776">
        <w:t>by Australian society over time</w:t>
      </w:r>
    </w:p>
    <w:p w14:paraId="3ADEEEC7" w14:textId="3E768D4D" w:rsidR="00F44BA0" w:rsidRPr="00E23776" w:rsidRDefault="00D70BDD">
      <w:pPr>
        <w:pStyle w:val="ListParagraph"/>
        <w:numPr>
          <w:ilvl w:val="0"/>
          <w:numId w:val="17"/>
        </w:numPr>
      </w:pPr>
      <w:r w:rsidRPr="00E23776">
        <w:t xml:space="preserve">the </w:t>
      </w:r>
      <w:r w:rsidR="0015060B" w:rsidRPr="00E23776">
        <w:t xml:space="preserve">contribution </w:t>
      </w:r>
      <w:r w:rsidRPr="00E23776">
        <w:t xml:space="preserve">of </w:t>
      </w:r>
      <w:r w:rsidR="00FA1BCC" w:rsidRPr="00E23776">
        <w:t xml:space="preserve">the form of </w:t>
      </w:r>
      <w:r w:rsidRPr="00E23776">
        <w:t>cultural expression to the continuation</w:t>
      </w:r>
      <w:r w:rsidR="00FA1BCC" w:rsidRPr="00E23776">
        <w:t xml:space="preserve"> and sharing</w:t>
      </w:r>
      <w:r w:rsidRPr="00E23776">
        <w:t xml:space="preserve"> of</w:t>
      </w:r>
      <w:r w:rsidR="0015060B" w:rsidRPr="00E23776">
        <w:t xml:space="preserve"> Australian First Nations Peoples</w:t>
      </w:r>
      <w:r w:rsidR="00602CD7" w:rsidRPr="00E23776">
        <w:t>’</w:t>
      </w:r>
      <w:r w:rsidRPr="00E23776">
        <w:t xml:space="preserve"> cultur</w:t>
      </w:r>
      <w:r w:rsidR="0015060B" w:rsidRPr="00E23776">
        <w:t>al knowledge and practi</w:t>
      </w:r>
      <w:r w:rsidR="009602A5" w:rsidRPr="00E23776">
        <w:t>c</w:t>
      </w:r>
      <w:r w:rsidR="0015060B" w:rsidRPr="00E23776">
        <w:t>es</w:t>
      </w:r>
      <w:r w:rsidR="00602CD7" w:rsidRPr="00E23776">
        <w:t>.</w:t>
      </w:r>
    </w:p>
    <w:p w14:paraId="09F8A242" w14:textId="77777777" w:rsidR="00D70BDD" w:rsidRPr="00E23776" w:rsidRDefault="00D70BDD" w:rsidP="00E23776">
      <w:pPr>
        <w:rPr>
          <w:highlight w:val="yellow"/>
        </w:rPr>
      </w:pPr>
      <w:r w:rsidRPr="00E23776">
        <w:rPr>
          <w:highlight w:val="yellow"/>
        </w:rPr>
        <w:br w:type="page"/>
      </w:r>
    </w:p>
    <w:p w14:paraId="22756684" w14:textId="1FD453D6" w:rsidR="00D70BDD" w:rsidRPr="008464E6" w:rsidRDefault="00D70BDD" w:rsidP="00BA6D60">
      <w:pPr>
        <w:pStyle w:val="SCSAHeading3"/>
      </w:pPr>
      <w:r w:rsidRPr="008464E6">
        <w:t>Depth Study Two</w:t>
      </w:r>
    </w:p>
    <w:p w14:paraId="78F8A819" w14:textId="114C29D1" w:rsidR="00352DF8" w:rsidRPr="00E23776" w:rsidRDefault="00352DF8" w:rsidP="00E23776">
      <w:r w:rsidRPr="008464E6">
        <w:rPr>
          <w:rFonts w:cstheme="minorHAnsi"/>
        </w:rPr>
        <w:t xml:space="preserve">Through community experiences and/or secondary sources, </w:t>
      </w:r>
      <w:r w:rsidRPr="008464E6">
        <w:rPr>
          <w:rFonts w:cstheme="minorHAnsi"/>
          <w:bCs/>
        </w:rPr>
        <w:t xml:space="preserve">and by privileging First Nations Peoples’ voices and perspectives, </w:t>
      </w:r>
      <w:r w:rsidRPr="008464E6">
        <w:rPr>
          <w:rFonts w:cstheme="minorHAnsi"/>
        </w:rPr>
        <w:t>s</w:t>
      </w:r>
      <w:r w:rsidRPr="0010526A">
        <w:rPr>
          <w:rFonts w:cstheme="minorHAnsi"/>
        </w:rPr>
        <w:t>tudents</w:t>
      </w:r>
      <w:bookmarkStart w:id="69" w:name="_Hlk145335708"/>
      <w:r w:rsidRPr="0010526A">
        <w:rPr>
          <w:rFonts w:cstheme="minorHAnsi"/>
        </w:rPr>
        <w:t xml:space="preserve"> investigate the importance of Australian First Nations Peoples cultural expressions </w:t>
      </w:r>
      <w:bookmarkEnd w:id="69"/>
      <w:r w:rsidRPr="0010526A">
        <w:rPr>
          <w:rFonts w:cstheme="minorHAnsi"/>
        </w:rPr>
        <w:t xml:space="preserve">in </w:t>
      </w:r>
      <w:r w:rsidR="00D12163" w:rsidRPr="0010526A">
        <w:rPr>
          <w:rFonts w:cstheme="minorHAnsi"/>
        </w:rPr>
        <w:t>showcasing</w:t>
      </w:r>
      <w:r w:rsidRPr="0010526A">
        <w:rPr>
          <w:rFonts w:cstheme="minorHAnsi"/>
        </w:rPr>
        <w:t xml:space="preserve"> </w:t>
      </w:r>
      <w:r w:rsidR="00D12163" w:rsidRPr="0010526A">
        <w:rPr>
          <w:rFonts w:cstheme="minorHAnsi" w:hint="cs"/>
        </w:rPr>
        <w:t>the world’s oldest living culture</w:t>
      </w:r>
      <w:r w:rsidR="00D12163" w:rsidRPr="0010526A">
        <w:rPr>
          <w:rFonts w:cstheme="minorHAnsi"/>
        </w:rPr>
        <w:t xml:space="preserve">s </w:t>
      </w:r>
      <w:r w:rsidRPr="0010526A">
        <w:rPr>
          <w:rFonts w:cstheme="minorHAnsi"/>
        </w:rPr>
        <w:t xml:space="preserve">and </w:t>
      </w:r>
      <w:r w:rsidR="00602CD7">
        <w:rPr>
          <w:rFonts w:cstheme="minorHAnsi"/>
        </w:rPr>
        <w:t xml:space="preserve">as </w:t>
      </w:r>
      <w:r w:rsidR="00D12163" w:rsidRPr="0010526A">
        <w:rPr>
          <w:rFonts w:cstheme="minorHAnsi"/>
        </w:rPr>
        <w:t xml:space="preserve">a way of </w:t>
      </w:r>
      <w:r w:rsidRPr="0010526A">
        <w:rPr>
          <w:rFonts w:cstheme="minorHAnsi"/>
        </w:rPr>
        <w:t xml:space="preserve">educating </w:t>
      </w:r>
      <w:r w:rsidR="00D12163" w:rsidRPr="0010526A">
        <w:rPr>
          <w:rFonts w:cstheme="minorHAnsi"/>
        </w:rPr>
        <w:t xml:space="preserve">and </w:t>
      </w:r>
      <w:r w:rsidR="006971D2" w:rsidRPr="0010526A">
        <w:rPr>
          <w:rFonts w:cstheme="minorHAnsi"/>
        </w:rPr>
        <w:t>changing people</w:t>
      </w:r>
      <w:r w:rsidR="00167B9F">
        <w:rPr>
          <w:rFonts w:cstheme="minorHAnsi"/>
        </w:rPr>
        <w:t>’</w:t>
      </w:r>
      <w:r w:rsidR="006971D2" w:rsidRPr="0010526A">
        <w:rPr>
          <w:rFonts w:cstheme="minorHAnsi"/>
        </w:rPr>
        <w:t>s</w:t>
      </w:r>
      <w:r w:rsidR="00D12163" w:rsidRPr="0010526A">
        <w:rPr>
          <w:rFonts w:cstheme="minorHAnsi"/>
        </w:rPr>
        <w:t xml:space="preserve"> perceptions.</w:t>
      </w:r>
    </w:p>
    <w:p w14:paraId="7655BD9E" w14:textId="64B021A2" w:rsidR="00352DF8" w:rsidRPr="00E23776" w:rsidRDefault="00352DF8" w:rsidP="00E23776">
      <w:pPr>
        <w:pStyle w:val="NoSpacing"/>
      </w:pPr>
      <w:r w:rsidRPr="005940F2">
        <w:t>Students investigate:</w:t>
      </w:r>
    </w:p>
    <w:p w14:paraId="52583E06" w14:textId="651794F1" w:rsidR="00352DF8" w:rsidRPr="00F544C8" w:rsidRDefault="00352DF8">
      <w:pPr>
        <w:pStyle w:val="ListParagraph"/>
        <w:numPr>
          <w:ilvl w:val="0"/>
          <w:numId w:val="18"/>
        </w:numPr>
      </w:pPr>
      <w:r w:rsidRPr="00F544C8">
        <w:t xml:space="preserve">a film or documentary which advocates for the rights of First Nations Peoples, including the </w:t>
      </w:r>
      <w:r w:rsidR="009602A5">
        <w:t>h</w:t>
      </w:r>
      <w:r w:rsidRPr="00F544C8">
        <w:t>uman rights, s</w:t>
      </w:r>
      <w:bookmarkStart w:id="70" w:name="_Hlk152235567"/>
      <w:r w:rsidRPr="00F544C8">
        <w:t>ocial justice issues</w:t>
      </w:r>
      <w:bookmarkEnd w:id="70"/>
      <w:r w:rsidRPr="00F544C8">
        <w:t xml:space="preserve"> and</w:t>
      </w:r>
      <w:r w:rsidR="000B4EF4" w:rsidRPr="00F544C8">
        <w:t>/or</w:t>
      </w:r>
      <w:r w:rsidRPr="00F544C8">
        <w:t xml:space="preserve"> different perspective included (e.g. </w:t>
      </w:r>
      <w:r w:rsidRPr="00E23776">
        <w:rPr>
          <w:i/>
          <w:iCs/>
        </w:rPr>
        <w:t xml:space="preserve">In </w:t>
      </w:r>
      <w:r w:rsidR="00167B9F" w:rsidRPr="00E23776">
        <w:rPr>
          <w:i/>
          <w:iCs/>
        </w:rPr>
        <w:t>M</w:t>
      </w:r>
      <w:r w:rsidRPr="00E23776">
        <w:rPr>
          <w:i/>
          <w:iCs/>
        </w:rPr>
        <w:t xml:space="preserve">y </w:t>
      </w:r>
      <w:r w:rsidR="000A6A7C" w:rsidRPr="00E23776">
        <w:rPr>
          <w:i/>
          <w:iCs/>
        </w:rPr>
        <w:t>B</w:t>
      </w:r>
      <w:r w:rsidRPr="00E23776">
        <w:rPr>
          <w:i/>
          <w:iCs/>
        </w:rPr>
        <w:t xml:space="preserve">lood </w:t>
      </w:r>
      <w:r w:rsidR="00167B9F" w:rsidRPr="00E23776">
        <w:rPr>
          <w:i/>
          <w:iCs/>
        </w:rPr>
        <w:t>I</w:t>
      </w:r>
      <w:r w:rsidRPr="00E23776">
        <w:rPr>
          <w:i/>
          <w:iCs/>
        </w:rPr>
        <w:t>t Runs</w:t>
      </w:r>
      <w:r w:rsidRPr="00F544C8">
        <w:t>)</w:t>
      </w:r>
    </w:p>
    <w:p w14:paraId="1E504E1D" w14:textId="101E3637" w:rsidR="00352DF8" w:rsidRPr="00E23776" w:rsidRDefault="00352DF8">
      <w:pPr>
        <w:pStyle w:val="ListParagraph"/>
        <w:numPr>
          <w:ilvl w:val="0"/>
          <w:numId w:val="18"/>
        </w:numPr>
      </w:pPr>
      <w:r w:rsidRPr="00F544C8">
        <w:t>the importance of the Aboriginal flag and the Torres Strait Islander flag as expressions of cultural identity to Australian First Nations Peoples, including</w:t>
      </w:r>
    </w:p>
    <w:p w14:paraId="09D17186" w14:textId="77777777" w:rsidR="00352DF8" w:rsidRPr="00E23776" w:rsidRDefault="00352DF8">
      <w:pPr>
        <w:pStyle w:val="ListParagraph"/>
        <w:numPr>
          <w:ilvl w:val="1"/>
          <w:numId w:val="18"/>
        </w:numPr>
      </w:pPr>
      <w:r w:rsidRPr="00F544C8">
        <w:t>why are there two different flags</w:t>
      </w:r>
    </w:p>
    <w:p w14:paraId="42FCE3FE" w14:textId="77777777" w:rsidR="00352DF8" w:rsidRPr="00E23776" w:rsidRDefault="00352DF8">
      <w:pPr>
        <w:pStyle w:val="ListParagraph"/>
        <w:numPr>
          <w:ilvl w:val="1"/>
          <w:numId w:val="18"/>
        </w:numPr>
      </w:pPr>
      <w:r w:rsidRPr="00E23776">
        <w:t>the significance of the colour, shapes and/or symbols on the flags</w:t>
      </w:r>
    </w:p>
    <w:p w14:paraId="48A2AD9B" w14:textId="73F29DA7" w:rsidR="00352DF8" w:rsidRPr="00F544C8" w:rsidRDefault="00352DF8">
      <w:pPr>
        <w:pStyle w:val="ListParagraph"/>
        <w:numPr>
          <w:ilvl w:val="1"/>
          <w:numId w:val="18"/>
        </w:numPr>
      </w:pPr>
      <w:r w:rsidRPr="00E23776">
        <w:t>different perspectives relating to the use of</w:t>
      </w:r>
      <w:r w:rsidRPr="00F544C8">
        <w:t xml:space="preserve"> the</w:t>
      </w:r>
      <w:r w:rsidR="006971D2" w:rsidRPr="00F544C8">
        <w:t xml:space="preserve"> </w:t>
      </w:r>
      <w:r w:rsidRPr="00F544C8">
        <w:t>flag</w:t>
      </w:r>
      <w:r w:rsidR="0015060B" w:rsidRPr="00F544C8">
        <w:t>s</w:t>
      </w:r>
    </w:p>
    <w:p w14:paraId="23EADF4A" w14:textId="6C08E46B" w:rsidR="00352DF8" w:rsidRPr="00F544C8" w:rsidRDefault="00352DF8">
      <w:pPr>
        <w:pStyle w:val="ListParagraph"/>
        <w:numPr>
          <w:ilvl w:val="0"/>
          <w:numId w:val="18"/>
        </w:numPr>
      </w:pPr>
      <w:r w:rsidRPr="00E23776">
        <w:rPr>
          <w:b/>
          <w:bCs/>
        </w:rPr>
        <w:t>one</w:t>
      </w:r>
      <w:r w:rsidRPr="00F544C8">
        <w:t xml:space="preserve"> example of a</w:t>
      </w:r>
      <w:r w:rsidR="00AF434F">
        <w:t>n Australian</w:t>
      </w:r>
      <w:r w:rsidRPr="00F544C8">
        <w:t xml:space="preserve"> First Nations </w:t>
      </w:r>
      <w:r w:rsidRPr="00E23776">
        <w:t>Peoples</w:t>
      </w:r>
      <w:r w:rsidR="00602CD7">
        <w:t>-</w:t>
      </w:r>
      <w:r w:rsidRPr="00F544C8">
        <w:t>led program or initiative which provides opportunities for individual and/or community cultural expression</w:t>
      </w:r>
      <w:r w:rsidR="00BB248C">
        <w:t>s</w:t>
      </w:r>
      <w:r w:rsidRPr="00F544C8">
        <w:t xml:space="preserve"> to be shared, including the background and benefit of the program or initiative</w:t>
      </w:r>
    </w:p>
    <w:p w14:paraId="0484D468" w14:textId="5D75AA04" w:rsidR="00352DF8" w:rsidRPr="00F544C8" w:rsidRDefault="00352DF8">
      <w:pPr>
        <w:pStyle w:val="ListParagraph"/>
        <w:numPr>
          <w:ilvl w:val="0"/>
          <w:numId w:val="18"/>
        </w:numPr>
      </w:pPr>
      <w:r w:rsidRPr="00F544C8">
        <w:t xml:space="preserve">the role of the WA </w:t>
      </w:r>
      <w:r w:rsidRPr="00E23776">
        <w:t>Museum</w:t>
      </w:r>
      <w:r w:rsidRPr="00F544C8">
        <w:t xml:space="preserve"> Boola Bardip and </w:t>
      </w:r>
      <w:r w:rsidRPr="00E23776">
        <w:rPr>
          <w:b/>
          <w:bCs/>
        </w:rPr>
        <w:t>one</w:t>
      </w:r>
      <w:r w:rsidRPr="00F544C8">
        <w:t xml:space="preserve"> other cultural centre in showcasing, educating and changing peoples’ perceptions about </w:t>
      </w:r>
      <w:r w:rsidR="0015060B" w:rsidRPr="00F544C8">
        <w:t xml:space="preserve">Australian </w:t>
      </w:r>
      <w:r w:rsidRPr="00F544C8">
        <w:t>First Nations Peoples’ histories and cultures</w:t>
      </w:r>
      <w:r w:rsidR="009602A5">
        <w:t>.</w:t>
      </w:r>
    </w:p>
    <w:p w14:paraId="30A28367" w14:textId="77777777" w:rsidR="00AE4762" w:rsidRDefault="00AE4762" w:rsidP="00263DEE">
      <w:pPr>
        <w:pStyle w:val="SCSAHeading3"/>
      </w:pPr>
      <w:bookmarkStart w:id="71" w:name="_Hlk162269755"/>
      <w:bookmarkStart w:id="72" w:name="_Toc114664273"/>
      <w:bookmarkStart w:id="73" w:name="_Hlk133932046"/>
      <w:bookmarkStart w:id="74" w:name="_Toc347908210"/>
      <w:bookmarkStart w:id="75" w:name="_Toc360457894"/>
      <w:bookmarkEnd w:id="60"/>
      <w:r>
        <w:t>Intercultural S</w:t>
      </w:r>
      <w:r w:rsidRPr="000F632B">
        <w:t>kills</w:t>
      </w:r>
    </w:p>
    <w:p w14:paraId="6597CB20" w14:textId="77777777" w:rsidR="00AE4762" w:rsidRPr="00901BD7" w:rsidRDefault="00AE4762" w:rsidP="00263DEE">
      <w:pPr>
        <w:pStyle w:val="SCSAHeading4"/>
      </w:pPr>
      <w:r w:rsidRPr="00901BD7">
        <w:t>Research</w:t>
      </w:r>
    </w:p>
    <w:p w14:paraId="0B587A1F" w14:textId="5CB14E85" w:rsidR="00AE4762" w:rsidRPr="00E23776" w:rsidRDefault="00AE4762">
      <w:pPr>
        <w:pStyle w:val="ListParagraph"/>
        <w:numPr>
          <w:ilvl w:val="0"/>
          <w:numId w:val="19"/>
        </w:numPr>
      </w:pPr>
      <w:r w:rsidRPr="00E23776">
        <w:t>develop and modify a range of focus questions to investigate a specific topic/issue</w:t>
      </w:r>
    </w:p>
    <w:p w14:paraId="5C51B587" w14:textId="77777777" w:rsidR="00AE4762" w:rsidRPr="00E23776" w:rsidRDefault="00AE4762">
      <w:pPr>
        <w:pStyle w:val="ListParagraph"/>
        <w:numPr>
          <w:ilvl w:val="0"/>
          <w:numId w:val="19"/>
        </w:numPr>
      </w:pPr>
      <w:r w:rsidRPr="00E23776">
        <w:t>plan an inquiry with clearly defined aims, using appropriate methodologies</w:t>
      </w:r>
    </w:p>
    <w:p w14:paraId="45ADD3B6" w14:textId="77777777" w:rsidR="00AE4762" w:rsidRPr="00E23776" w:rsidRDefault="00AE4762">
      <w:pPr>
        <w:pStyle w:val="ListParagraph"/>
        <w:numPr>
          <w:ilvl w:val="0"/>
          <w:numId w:val="19"/>
        </w:numPr>
      </w:pPr>
      <w:r w:rsidRPr="00E23776">
        <w:t>collect, record and compare information and/or data from relevant culturally responsive resources</w:t>
      </w:r>
    </w:p>
    <w:p w14:paraId="0C657145" w14:textId="30A56FBE" w:rsidR="0038634F" w:rsidRPr="00E23776" w:rsidRDefault="0038634F">
      <w:pPr>
        <w:pStyle w:val="ListParagraph"/>
        <w:numPr>
          <w:ilvl w:val="0"/>
          <w:numId w:val="19"/>
        </w:numPr>
      </w:pPr>
      <w:bookmarkStart w:id="76" w:name="_Hlk162258090"/>
      <w:r w:rsidRPr="00E23776">
        <w:t>identify and practise ethical scholarship when conducting research, including respecting variation between cultural groups of processes and protocols for collecting information</w:t>
      </w:r>
    </w:p>
    <w:bookmarkEnd w:id="76"/>
    <w:p w14:paraId="389FB486" w14:textId="77777777" w:rsidR="00AE4762" w:rsidRPr="00901BD7" w:rsidRDefault="00AE4762" w:rsidP="00263DEE">
      <w:pPr>
        <w:pStyle w:val="SCSAHeading4"/>
      </w:pPr>
      <w:r w:rsidRPr="00901BD7">
        <w:t>Analysis and use of sources</w:t>
      </w:r>
    </w:p>
    <w:p w14:paraId="61DD567D" w14:textId="77777777" w:rsidR="00AE4762" w:rsidRPr="00E23776" w:rsidRDefault="00AE4762">
      <w:pPr>
        <w:pStyle w:val="ListParagraph"/>
        <w:numPr>
          <w:ilvl w:val="0"/>
          <w:numId w:val="20"/>
        </w:numPr>
      </w:pPr>
      <w:r w:rsidRPr="00E23776">
        <w:t>identify the origin, purpose and context of a variety of sources</w:t>
      </w:r>
    </w:p>
    <w:p w14:paraId="034BE323" w14:textId="72BAAED7" w:rsidR="00AE4762" w:rsidRPr="00E23776" w:rsidRDefault="00AE4762">
      <w:pPr>
        <w:pStyle w:val="ListParagraph"/>
        <w:numPr>
          <w:ilvl w:val="0"/>
          <w:numId w:val="20"/>
        </w:numPr>
      </w:pPr>
      <w:r w:rsidRPr="00E23776">
        <w:t>evaluate the reliability, bias and usefulness of different sources</w:t>
      </w:r>
    </w:p>
    <w:p w14:paraId="11557482" w14:textId="77777777" w:rsidR="00AE4762" w:rsidRPr="00E23776" w:rsidRDefault="00AE4762">
      <w:pPr>
        <w:pStyle w:val="ListParagraph"/>
        <w:numPr>
          <w:ilvl w:val="0"/>
          <w:numId w:val="20"/>
        </w:numPr>
      </w:pPr>
      <w:r w:rsidRPr="00E23776">
        <w:t>analyse and account for differences in perspectives and interpretations of the past, presented in a variety of sources</w:t>
      </w:r>
    </w:p>
    <w:p w14:paraId="16635AF3" w14:textId="77777777" w:rsidR="00AE4762" w:rsidRPr="00E23776" w:rsidRDefault="00AE4762">
      <w:pPr>
        <w:pStyle w:val="ListParagraph"/>
        <w:numPr>
          <w:ilvl w:val="0"/>
          <w:numId w:val="20"/>
        </w:numPr>
      </w:pPr>
      <w:r w:rsidRPr="00E23776">
        <w:t>identify and analyse relationships, and use evidence from different sources to support a point of view</w:t>
      </w:r>
    </w:p>
    <w:p w14:paraId="7CA4DDD6" w14:textId="56C7A426" w:rsidR="00AE4762" w:rsidRPr="00901BD7" w:rsidRDefault="00AE4762" w:rsidP="00263DEE">
      <w:pPr>
        <w:pStyle w:val="SCSAHeading4"/>
      </w:pPr>
      <w:r w:rsidRPr="00901BD7">
        <w:t>Evaluating and communicating</w:t>
      </w:r>
    </w:p>
    <w:p w14:paraId="5BDF5878" w14:textId="7B6F9308" w:rsidR="00AE4762" w:rsidRPr="00E23776" w:rsidRDefault="00AE4762">
      <w:pPr>
        <w:pStyle w:val="ListParagraph"/>
        <w:numPr>
          <w:ilvl w:val="0"/>
          <w:numId w:val="21"/>
        </w:numPr>
      </w:pPr>
      <w:r w:rsidRPr="00E23776">
        <w:t>evaluate information and/or data to draw evidence-based conclusions and explanations</w:t>
      </w:r>
      <w:r w:rsidR="004E2CB0" w:rsidRPr="00E23776">
        <w:t>,</w:t>
      </w:r>
      <w:r w:rsidRPr="00E23776">
        <w:t xml:space="preserve"> taking into account ambiguities and different perspectives</w:t>
      </w:r>
    </w:p>
    <w:p w14:paraId="2251EC01" w14:textId="4897FA0A" w:rsidR="00AE4762" w:rsidRPr="00E23776" w:rsidRDefault="00AE4762">
      <w:pPr>
        <w:pStyle w:val="ListParagraph"/>
        <w:numPr>
          <w:ilvl w:val="0"/>
          <w:numId w:val="21"/>
        </w:numPr>
      </w:pPr>
      <w:r w:rsidRPr="00E23776">
        <w:t>communicat</w:t>
      </w:r>
      <w:r w:rsidR="00024E9D" w:rsidRPr="00E23776">
        <w:t>e</w:t>
      </w:r>
      <w:r w:rsidRPr="00E23776">
        <w:t xml:space="preserve"> findings using formats appropriate to purpose and audience</w:t>
      </w:r>
    </w:p>
    <w:p w14:paraId="3BD7B83B" w14:textId="77777777" w:rsidR="00AE4762" w:rsidRPr="00E23776" w:rsidRDefault="00AE4762">
      <w:pPr>
        <w:pStyle w:val="ListParagraph"/>
        <w:numPr>
          <w:ilvl w:val="0"/>
          <w:numId w:val="21"/>
        </w:numPr>
      </w:pPr>
      <w:r w:rsidRPr="00E23776">
        <w:t>use respectful and inclusive language and terminology</w:t>
      </w:r>
    </w:p>
    <w:p w14:paraId="5DC38F6A" w14:textId="72AFA130" w:rsidR="00AE4762" w:rsidRPr="00E23776" w:rsidRDefault="00AE4762">
      <w:pPr>
        <w:pStyle w:val="ListParagraph"/>
        <w:keepNext/>
        <w:numPr>
          <w:ilvl w:val="0"/>
          <w:numId w:val="21"/>
        </w:numPr>
        <w:ind w:left="357" w:hanging="357"/>
      </w:pPr>
      <w:bookmarkStart w:id="77" w:name="_Hlk162258125"/>
      <w:r w:rsidRPr="00E23776">
        <w:t>identify and practise ethical scholarship when co</w:t>
      </w:r>
      <w:r w:rsidR="0038634F" w:rsidRPr="00E23776">
        <w:t xml:space="preserve">mmunicating </w:t>
      </w:r>
      <w:r w:rsidRPr="00E23776">
        <w:t>research, including</w:t>
      </w:r>
    </w:p>
    <w:p w14:paraId="3261C97F" w14:textId="3E6DE0E7" w:rsidR="00AE4762" w:rsidRPr="00E23776" w:rsidRDefault="00AE4762">
      <w:pPr>
        <w:pStyle w:val="ListParagraph"/>
        <w:numPr>
          <w:ilvl w:val="1"/>
          <w:numId w:val="21"/>
        </w:numPr>
      </w:pPr>
      <w:r w:rsidRPr="00E23776">
        <w:t>respecting variation between cultural groups of processes and protocols for acknowledging and communicating information</w:t>
      </w:r>
    </w:p>
    <w:p w14:paraId="6C7BEDDE" w14:textId="77777777" w:rsidR="00AE4762" w:rsidRPr="00E23776" w:rsidRDefault="00AE4762">
      <w:pPr>
        <w:pStyle w:val="ListParagraph"/>
        <w:numPr>
          <w:ilvl w:val="1"/>
          <w:numId w:val="21"/>
        </w:numPr>
      </w:pPr>
      <w:r w:rsidRPr="00E23776">
        <w:t>adopting protocols and conventions to communicate in culturally appropriate ways</w:t>
      </w:r>
    </w:p>
    <w:p w14:paraId="69614A98" w14:textId="77777777" w:rsidR="00AE4762" w:rsidRPr="00E23776" w:rsidRDefault="00AE4762">
      <w:pPr>
        <w:pStyle w:val="ListParagraph"/>
        <w:numPr>
          <w:ilvl w:val="1"/>
          <w:numId w:val="21"/>
        </w:numPr>
      </w:pPr>
      <w:r w:rsidRPr="00E23776">
        <w:t>applying appropriate referencing techniques accurately and consistently</w:t>
      </w:r>
    </w:p>
    <w:bookmarkEnd w:id="71"/>
    <w:bookmarkEnd w:id="77"/>
    <w:p w14:paraId="54778741" w14:textId="77777777" w:rsidR="00AE4762" w:rsidRPr="00901BD7" w:rsidRDefault="00AE4762" w:rsidP="00263DEE">
      <w:pPr>
        <w:pStyle w:val="SCSAHeading4"/>
      </w:pPr>
      <w:r w:rsidRPr="00901BD7">
        <w:t>Reflection</w:t>
      </w:r>
    </w:p>
    <w:p w14:paraId="088CA0E2" w14:textId="53CEC7CF" w:rsidR="00AE4762" w:rsidRPr="00E23776" w:rsidRDefault="00AE4762">
      <w:pPr>
        <w:pStyle w:val="ListParagraph"/>
        <w:numPr>
          <w:ilvl w:val="0"/>
          <w:numId w:val="22"/>
        </w:numPr>
      </w:pPr>
      <w:r w:rsidRPr="00E23776">
        <w:t>acknowledge differences in personal perspectives, interpretations and world</w:t>
      </w:r>
      <w:r w:rsidR="00AF434F" w:rsidRPr="00E23776">
        <w:t xml:space="preserve"> </w:t>
      </w:r>
      <w:r w:rsidRPr="00E23776">
        <w:t>views when developing a response</w:t>
      </w:r>
    </w:p>
    <w:p w14:paraId="1604B088" w14:textId="6BC89937" w:rsidR="00AE4762" w:rsidRPr="00E23776" w:rsidRDefault="00AE4762">
      <w:pPr>
        <w:pStyle w:val="ListParagraph"/>
        <w:numPr>
          <w:ilvl w:val="0"/>
          <w:numId w:val="22"/>
        </w:numPr>
      </w:pPr>
      <w:bookmarkStart w:id="78" w:name="_Hlk173157966"/>
      <w:r w:rsidRPr="00E23776">
        <w:t>reflect on own learning to review original understandings and why all findings are tentative</w:t>
      </w:r>
    </w:p>
    <w:bookmarkEnd w:id="78"/>
    <w:p w14:paraId="1B8928D2" w14:textId="0E07730A" w:rsidR="0090058F" w:rsidRDefault="0090058F">
      <w:pPr>
        <w:rPr>
          <w:lang w:eastAsia="ja-JP"/>
        </w:rPr>
      </w:pPr>
      <w:r>
        <w:br w:type="page"/>
      </w:r>
    </w:p>
    <w:p w14:paraId="21BA1305" w14:textId="5F014503" w:rsidR="00CF46D5" w:rsidRPr="007A10C7" w:rsidRDefault="00CF46D5" w:rsidP="00263DEE">
      <w:pPr>
        <w:pStyle w:val="SCSAHeading1"/>
      </w:pPr>
      <w:bookmarkStart w:id="79" w:name="_Toc173315836"/>
      <w:bookmarkStart w:id="80" w:name="_Toc219802589"/>
      <w:r w:rsidRPr="00D5088E">
        <w:t>Assessment</w:t>
      </w:r>
      <w:bookmarkEnd w:id="72"/>
      <w:bookmarkEnd w:id="79"/>
      <w:bookmarkEnd w:id="80"/>
    </w:p>
    <w:p w14:paraId="7A78781C" w14:textId="77777777" w:rsidR="00CF46D5" w:rsidRDefault="00CF46D5" w:rsidP="00E23776">
      <w:pPr>
        <w:pStyle w:val="NoSpacing"/>
      </w:pPr>
      <w:r>
        <w:t xml:space="preserve">Assessment is an integral part of teaching and learning that at the </w:t>
      </w:r>
      <w:r w:rsidRPr="00E23776">
        <w:t>senior</w:t>
      </w:r>
      <w:r>
        <w:t xml:space="preserve"> secondary years:</w:t>
      </w:r>
    </w:p>
    <w:p w14:paraId="7AA4CD71" w14:textId="77777777" w:rsidR="00CF46D5" w:rsidRPr="00E23776" w:rsidRDefault="00CF46D5">
      <w:pPr>
        <w:pStyle w:val="ListParagraph"/>
        <w:numPr>
          <w:ilvl w:val="0"/>
          <w:numId w:val="23"/>
        </w:numPr>
      </w:pPr>
      <w:r w:rsidRPr="00E23776">
        <w:t>provides evidence of student achievement</w:t>
      </w:r>
    </w:p>
    <w:p w14:paraId="1F6A713F" w14:textId="77777777" w:rsidR="00CF46D5" w:rsidRPr="00E23776" w:rsidRDefault="00CF46D5">
      <w:pPr>
        <w:pStyle w:val="ListParagraph"/>
        <w:numPr>
          <w:ilvl w:val="0"/>
          <w:numId w:val="23"/>
        </w:numPr>
      </w:pPr>
      <w:r w:rsidRPr="00E23776">
        <w:t>identifies opportunities for further learning</w:t>
      </w:r>
    </w:p>
    <w:p w14:paraId="518747D7" w14:textId="77777777" w:rsidR="00CF46D5" w:rsidRPr="00E23776" w:rsidRDefault="00CF46D5">
      <w:pPr>
        <w:pStyle w:val="ListParagraph"/>
        <w:numPr>
          <w:ilvl w:val="0"/>
          <w:numId w:val="23"/>
        </w:numPr>
      </w:pPr>
      <w:r w:rsidRPr="00E23776">
        <w:t>connects to the standards described for the course</w:t>
      </w:r>
    </w:p>
    <w:p w14:paraId="4DDBE7A9" w14:textId="77777777" w:rsidR="00CF46D5" w:rsidRPr="00E23776" w:rsidRDefault="00CF46D5">
      <w:pPr>
        <w:pStyle w:val="ListParagraph"/>
        <w:numPr>
          <w:ilvl w:val="0"/>
          <w:numId w:val="23"/>
        </w:numPr>
      </w:pPr>
      <w:r w:rsidRPr="00E23776">
        <w:t>contributes to the recognition of student achievement.</w:t>
      </w:r>
    </w:p>
    <w:p w14:paraId="08530F19" w14:textId="77777777" w:rsidR="00CF46D5" w:rsidRDefault="00CF46D5" w:rsidP="00BA6D60">
      <w: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7576D73E" w14:textId="04F8E174" w:rsidR="00CF46D5" w:rsidRDefault="00CF46D5" w:rsidP="00BA6D60">
      <w:r>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6B2C6952" w14:textId="25188E34" w:rsidR="00CF46D5" w:rsidRDefault="00CF46D5" w:rsidP="00BA6D60">
      <w:r>
        <w:t>Summative assessment involves assessment procedures that aim to determine students’ learning at a particular time, for example</w:t>
      </w:r>
      <w:r w:rsidR="006863A6">
        <w:t>,</w:t>
      </w:r>
      <w:r>
        <w:t xml:space="preserve"> when reporting against the standards, after completion of a unit</w:t>
      </w:r>
      <w:r w:rsidR="00E63919">
        <w:t>(</w:t>
      </w:r>
      <w:r>
        <w:t>s</w:t>
      </w:r>
      <w:r w:rsidR="00E63919">
        <w:t>)</w:t>
      </w:r>
      <w:r>
        <w:t>. These assessments should be limited in number and made clear to students through the assessment outline.</w:t>
      </w:r>
    </w:p>
    <w:p w14:paraId="21D15C1D" w14:textId="77777777" w:rsidR="00CF46D5" w:rsidRDefault="00CF46D5" w:rsidP="00BA6D60">
      <w:r>
        <w:t>Appropriate assessment of student work in this course is underpinned by reference to the set of pre</w:t>
      </w:r>
      <w:r>
        <w:noBreakHyphen/>
        <w:t>determined course standards. These standards describe the level of achievement required to achieve each grade, from A to E. Teachers use these standards to determine how well a student has demonstrated their learning.</w:t>
      </w:r>
    </w:p>
    <w:p w14:paraId="77C7789B" w14:textId="267BCEFE" w:rsidR="00CF46D5" w:rsidRDefault="00CF46D5" w:rsidP="00BA6D60">
      <w:r>
        <w:t xml:space="preserve">Where relevant, higher order cognitive skills (e.g. application, analysis, evaluation and synthesis) and the </w:t>
      </w:r>
      <w:r w:rsidR="00073F49">
        <w:t>General Capabilities</w:t>
      </w:r>
      <w:r>
        <w:t xml:space="preserve"> should be included in the assessment of student achievement in this course. All assessment should be consistent with the requirements identified in the course assessment table.</w:t>
      </w:r>
    </w:p>
    <w:p w14:paraId="645A5FE8" w14:textId="442ECD21" w:rsidR="00A14023" w:rsidRDefault="00CF46D5" w:rsidP="00BA6D60">
      <w:r>
        <w:t>Assessment should not generate workload and/or stress that, under fair and reasonable circumstances, would unduly diminish the performance of students.</w:t>
      </w:r>
    </w:p>
    <w:p w14:paraId="528049D9" w14:textId="77777777" w:rsidR="00A14023" w:rsidRDefault="00A14023">
      <w:r>
        <w:br w:type="page"/>
      </w:r>
    </w:p>
    <w:p w14:paraId="6D6DACE7" w14:textId="77777777" w:rsidR="00CF46D5" w:rsidRPr="00915772" w:rsidRDefault="00CF46D5" w:rsidP="00263DEE">
      <w:pPr>
        <w:pStyle w:val="SCSAHeading2"/>
      </w:pPr>
      <w:bookmarkStart w:id="81" w:name="_Toc114664274"/>
      <w:bookmarkStart w:id="82" w:name="_Toc173315837"/>
      <w:bookmarkStart w:id="83" w:name="_Toc219802590"/>
      <w:bookmarkStart w:id="84" w:name="_Hlk133932168"/>
      <w:bookmarkEnd w:id="73"/>
      <w:r w:rsidRPr="00915772">
        <w:t>School-based assessment</w:t>
      </w:r>
      <w:bookmarkEnd w:id="81"/>
      <w:bookmarkEnd w:id="82"/>
      <w:bookmarkEnd w:id="83"/>
    </w:p>
    <w:p w14:paraId="238F16AD" w14:textId="717F3F1F" w:rsidR="00CF46D5" w:rsidRDefault="00CF46D5" w:rsidP="00BA6D60">
      <w:r>
        <w:t xml:space="preserve">The </w:t>
      </w:r>
      <w:r w:rsidRPr="00FC5387">
        <w:rPr>
          <w:i/>
        </w:rPr>
        <w:t>Western Australian Certificate of Education (WACE) Manual</w:t>
      </w:r>
      <w:r>
        <w:t xml:space="preserve"> contains essential information on</w:t>
      </w:r>
      <w:r w:rsidR="00024E9D">
        <w:t xml:space="preserve"> the</w:t>
      </w:r>
      <w:r>
        <w:t xml:space="preserve"> principles, policies and procedures for school-based assessment that must be read in conjunction with this syllabus.</w:t>
      </w:r>
    </w:p>
    <w:p w14:paraId="4365AEF5" w14:textId="77777777" w:rsidR="00CF46D5" w:rsidRDefault="00CF46D5" w:rsidP="00BA6D60">
      <w:r>
        <w:t>School-based assessment involves teachers gathering, describing and quantifying information about student achievement.</w:t>
      </w:r>
    </w:p>
    <w:p w14:paraId="2EF5CB1D" w14:textId="77777777" w:rsidR="00CF46D5" w:rsidRPr="00E23776" w:rsidRDefault="00CF46D5" w:rsidP="00E23776">
      <w:pPr>
        <w:pStyle w:val="NoSpacing"/>
      </w:pPr>
      <w:r>
        <w:t xml:space="preserve">Teachers design school-based assessment tasks to meet the needs of students. As outlined in </w:t>
      </w:r>
      <w:r w:rsidRPr="00FC5387">
        <w:t>the</w:t>
      </w:r>
      <w:r w:rsidRPr="00FC5387">
        <w:rPr>
          <w:i/>
          <w:iCs/>
        </w:rPr>
        <w:t xml:space="preserve"> WACE Manual</w:t>
      </w:r>
      <w:r>
        <w:t>, school-based assessment of student achievement in this course must be based on the Principles of Assessment:</w:t>
      </w:r>
    </w:p>
    <w:p w14:paraId="267DF6C5" w14:textId="77777777" w:rsidR="00CF46D5" w:rsidRPr="00E23776" w:rsidRDefault="00CF46D5">
      <w:pPr>
        <w:pStyle w:val="ListParagraph"/>
        <w:numPr>
          <w:ilvl w:val="0"/>
          <w:numId w:val="24"/>
        </w:numPr>
      </w:pPr>
      <w:r w:rsidRPr="00E23776">
        <w:t>Assessment is an integral part of teaching and learning</w:t>
      </w:r>
    </w:p>
    <w:p w14:paraId="4970B83C" w14:textId="77777777" w:rsidR="00CF46D5" w:rsidRPr="00E23776" w:rsidRDefault="00CF46D5">
      <w:pPr>
        <w:pStyle w:val="ListParagraph"/>
        <w:numPr>
          <w:ilvl w:val="0"/>
          <w:numId w:val="24"/>
        </w:numPr>
      </w:pPr>
      <w:r w:rsidRPr="00E23776">
        <w:t>Assessment should be educative</w:t>
      </w:r>
    </w:p>
    <w:p w14:paraId="0458B961" w14:textId="323D19A0" w:rsidR="00CF46D5" w:rsidRPr="00E23776" w:rsidRDefault="00CF46D5">
      <w:pPr>
        <w:pStyle w:val="ListParagraph"/>
        <w:numPr>
          <w:ilvl w:val="0"/>
          <w:numId w:val="24"/>
        </w:numPr>
      </w:pPr>
      <w:r w:rsidRPr="00E23776">
        <w:t xml:space="preserve">Assessment </w:t>
      </w:r>
      <w:r w:rsidR="006863A6" w:rsidRPr="00E23776">
        <w:t xml:space="preserve">must </w:t>
      </w:r>
      <w:r w:rsidRPr="00E23776">
        <w:t>be fair</w:t>
      </w:r>
    </w:p>
    <w:p w14:paraId="5ACC8113" w14:textId="13BED021" w:rsidR="00CF46D5" w:rsidRPr="00E23776" w:rsidRDefault="00CF46D5">
      <w:pPr>
        <w:pStyle w:val="ListParagraph"/>
        <w:numPr>
          <w:ilvl w:val="0"/>
          <w:numId w:val="24"/>
        </w:numPr>
      </w:pPr>
      <w:r w:rsidRPr="00E23776">
        <w:t>Assessment should be designed to meet its specific purpose</w:t>
      </w:r>
      <w:r w:rsidR="00E63919" w:rsidRPr="00E23776">
        <w:t>(</w:t>
      </w:r>
      <w:r w:rsidRPr="00E23776">
        <w:t>s</w:t>
      </w:r>
      <w:r w:rsidR="00E63919" w:rsidRPr="00E23776">
        <w:t>)</w:t>
      </w:r>
    </w:p>
    <w:p w14:paraId="728090A3" w14:textId="77777777" w:rsidR="00CF46D5" w:rsidRPr="00E23776" w:rsidRDefault="00CF46D5">
      <w:pPr>
        <w:pStyle w:val="ListParagraph"/>
        <w:numPr>
          <w:ilvl w:val="0"/>
          <w:numId w:val="24"/>
        </w:numPr>
      </w:pPr>
      <w:r w:rsidRPr="00E23776">
        <w:t>Assessment should lead to informative reporting</w:t>
      </w:r>
    </w:p>
    <w:p w14:paraId="4939BC25" w14:textId="77777777" w:rsidR="00CF46D5" w:rsidRPr="00E23776" w:rsidRDefault="00CF46D5">
      <w:pPr>
        <w:pStyle w:val="ListParagraph"/>
        <w:numPr>
          <w:ilvl w:val="0"/>
          <w:numId w:val="24"/>
        </w:numPr>
      </w:pPr>
      <w:r w:rsidRPr="00E23776">
        <w:t>Assessment should lead to school-wide evaluation processes</w:t>
      </w:r>
    </w:p>
    <w:p w14:paraId="46F3A5E4" w14:textId="77777777" w:rsidR="00CF46D5" w:rsidRPr="00E23776" w:rsidRDefault="00CF46D5">
      <w:pPr>
        <w:pStyle w:val="ListParagraph"/>
        <w:numPr>
          <w:ilvl w:val="0"/>
          <w:numId w:val="24"/>
        </w:numPr>
      </w:pPr>
      <w:r w:rsidRPr="00E23776">
        <w:t>Assessment should provide significant data for improvement of teaching practices.</w:t>
      </w:r>
    </w:p>
    <w:p w14:paraId="0C2FFC7D" w14:textId="77777777" w:rsidR="00CF46D5" w:rsidRDefault="00CF46D5" w:rsidP="00BA6D60">
      <w:pPr>
        <w:spacing w:after="0"/>
      </w:pPr>
      <w:r>
        <w:t>Summative assessments in this course must:</w:t>
      </w:r>
    </w:p>
    <w:p w14:paraId="27F60707" w14:textId="77777777" w:rsidR="00CF46D5" w:rsidRPr="00E23776" w:rsidRDefault="00CF46D5">
      <w:pPr>
        <w:pStyle w:val="ListParagraph"/>
        <w:numPr>
          <w:ilvl w:val="0"/>
          <w:numId w:val="25"/>
        </w:numPr>
      </w:pPr>
      <w:r w:rsidRPr="00E23776">
        <w:t>be limited in number to no more than eight tasks</w:t>
      </w:r>
    </w:p>
    <w:p w14:paraId="2BAA39DE" w14:textId="77777777" w:rsidR="00890176" w:rsidRPr="00E23776" w:rsidRDefault="00890176">
      <w:pPr>
        <w:pStyle w:val="ListParagraph"/>
        <w:numPr>
          <w:ilvl w:val="0"/>
          <w:numId w:val="25"/>
        </w:numPr>
      </w:pPr>
      <w:r w:rsidRPr="00E23776">
        <w:t>allow for the assessment of each assessment type at least once over the year/pair of units</w:t>
      </w:r>
    </w:p>
    <w:p w14:paraId="371C2265" w14:textId="1DABAF8B" w:rsidR="00CF46D5" w:rsidRPr="00E23776" w:rsidRDefault="00CF46D5">
      <w:pPr>
        <w:pStyle w:val="ListParagraph"/>
        <w:numPr>
          <w:ilvl w:val="0"/>
          <w:numId w:val="25"/>
        </w:numPr>
      </w:pPr>
      <w:r w:rsidRPr="00E23776">
        <w:t xml:space="preserve">have a minimum value of </w:t>
      </w:r>
      <w:r w:rsidR="006863A6" w:rsidRPr="00E23776">
        <w:t xml:space="preserve">five </w:t>
      </w:r>
      <w:r w:rsidRPr="00E23776">
        <w:t>per cent of the total school assessment mark</w:t>
      </w:r>
    </w:p>
    <w:p w14:paraId="4D603AE2" w14:textId="77777777" w:rsidR="00CF46D5" w:rsidRPr="00E23776" w:rsidRDefault="00CF46D5">
      <w:pPr>
        <w:pStyle w:val="ListParagraph"/>
        <w:numPr>
          <w:ilvl w:val="0"/>
          <w:numId w:val="25"/>
        </w:numPr>
      </w:pPr>
      <w:r w:rsidRPr="00E23776">
        <w:t>provide a representative sampling of the syllabus content.</w:t>
      </w:r>
    </w:p>
    <w:p w14:paraId="7FBFC0CC" w14:textId="791FA6F5" w:rsidR="001C0110" w:rsidRDefault="00CF46D5" w:rsidP="00BA6D60">
      <w:r w:rsidRPr="00AC45F1">
        <w:t>Assessment tasks not administered under test or controlled conditions require appropriate authentication</w:t>
      </w:r>
      <w:r w:rsidRPr="00F73E3E">
        <w:t xml:space="preserve"> processes.</w:t>
      </w:r>
      <w:bookmarkEnd w:id="84"/>
    </w:p>
    <w:p w14:paraId="4E55091A" w14:textId="77777777" w:rsidR="001C0110" w:rsidRDefault="001C0110">
      <w:r>
        <w:br w:type="page"/>
      </w:r>
    </w:p>
    <w:p w14:paraId="4561B222" w14:textId="77777777" w:rsidR="007766C5" w:rsidRPr="008E7BC8" w:rsidRDefault="007766C5" w:rsidP="00263DEE">
      <w:pPr>
        <w:pStyle w:val="SCSAHeading2"/>
      </w:pPr>
      <w:bookmarkStart w:id="85" w:name="_Toc173315838"/>
      <w:bookmarkStart w:id="86" w:name="_Toc219802591"/>
      <w:bookmarkStart w:id="87" w:name="_Toc347908211"/>
      <w:bookmarkEnd w:id="74"/>
      <w:r w:rsidRPr="008E7BC8">
        <w:t>Assessment table</w:t>
      </w:r>
      <w:r w:rsidR="00F17E64" w:rsidRPr="008E7BC8">
        <w:t xml:space="preserve"> </w:t>
      </w:r>
      <w:r w:rsidR="0000345F" w:rsidRPr="008E7BC8">
        <w:t>–</w:t>
      </w:r>
      <w:r w:rsidR="00F17E64" w:rsidRPr="008E7BC8">
        <w:t xml:space="preserve"> Year 11</w:t>
      </w:r>
      <w:bookmarkEnd w:id="85"/>
      <w:bookmarkEnd w:id="86"/>
    </w:p>
    <w:tbl>
      <w:tblPr>
        <w:tblStyle w:val="SCSATable"/>
        <w:tblW w:w="5000" w:type="pct"/>
        <w:tblLayout w:type="fixed"/>
        <w:tblLook w:val="04A0" w:firstRow="1" w:lastRow="0" w:firstColumn="1" w:lastColumn="0" w:noHBand="0" w:noVBand="1"/>
      </w:tblPr>
      <w:tblGrid>
        <w:gridCol w:w="7735"/>
        <w:gridCol w:w="1325"/>
      </w:tblGrid>
      <w:tr w:rsidR="007766C5" w:rsidRPr="00AC45F1" w14:paraId="488EDEA9" w14:textId="77777777" w:rsidTr="00FB5E0E">
        <w:trPr>
          <w:cnfStyle w:val="100000000000" w:firstRow="1" w:lastRow="0" w:firstColumn="0" w:lastColumn="0" w:oddVBand="0" w:evenVBand="0" w:oddHBand="0" w:evenHBand="0" w:firstRowFirstColumn="0" w:firstRowLastColumn="0" w:lastRowFirstColumn="0" w:lastRowLastColumn="0"/>
        </w:trPr>
        <w:tc>
          <w:tcPr>
            <w:tcW w:w="7735" w:type="dxa"/>
          </w:tcPr>
          <w:p w14:paraId="4FFBA016" w14:textId="77777777" w:rsidR="007766C5" w:rsidRPr="00AC45F1" w:rsidRDefault="007766C5" w:rsidP="006E2C7B">
            <w:pPr>
              <w:spacing w:line="240" w:lineRule="auto"/>
              <w:rPr>
                <w:rFonts w:ascii="Calibri" w:hAnsi="Calibri" w:cs="Calibri"/>
              </w:rPr>
            </w:pPr>
            <w:r w:rsidRPr="00AC45F1">
              <w:rPr>
                <w:rFonts w:ascii="Calibri" w:hAnsi="Calibri" w:cs="Calibri"/>
              </w:rPr>
              <w:t>Type of assessment</w:t>
            </w:r>
          </w:p>
        </w:tc>
        <w:tc>
          <w:tcPr>
            <w:tcW w:w="1325" w:type="dxa"/>
          </w:tcPr>
          <w:p w14:paraId="03394EC0" w14:textId="77777777" w:rsidR="007766C5" w:rsidRPr="00AC45F1" w:rsidRDefault="007766C5" w:rsidP="00FB5E0E">
            <w:pPr>
              <w:spacing w:line="240" w:lineRule="auto"/>
              <w:jc w:val="center"/>
              <w:rPr>
                <w:rFonts w:ascii="Calibri" w:hAnsi="Calibri" w:cs="Calibri"/>
              </w:rPr>
            </w:pPr>
            <w:r w:rsidRPr="00AC45F1">
              <w:rPr>
                <w:rFonts w:ascii="Calibri" w:hAnsi="Calibri" w:cs="Calibri"/>
              </w:rPr>
              <w:t>Weighting</w:t>
            </w:r>
          </w:p>
        </w:tc>
      </w:tr>
      <w:tr w:rsidR="007766C5" w:rsidRPr="00AC45F1" w14:paraId="12F25E1C" w14:textId="77777777" w:rsidTr="00BA6D60">
        <w:tc>
          <w:tcPr>
            <w:tcW w:w="7735" w:type="dxa"/>
          </w:tcPr>
          <w:p w14:paraId="5D3EB768" w14:textId="77777777" w:rsidR="00CF46D5" w:rsidRPr="00E23776" w:rsidRDefault="00CF46D5" w:rsidP="00E23776">
            <w:r w:rsidRPr="00C841D5">
              <w:rPr>
                <w:rFonts w:ascii="Calibri" w:eastAsia="Franklin Gothic Book" w:hAnsi="Calibri" w:cs="Calibri"/>
                <w:b/>
                <w:bCs/>
                <w:lang w:eastAsia="en-AU"/>
              </w:rPr>
              <w:t>Inquiry</w:t>
            </w:r>
          </w:p>
          <w:p w14:paraId="6E7B1EC2" w14:textId="77777777" w:rsidR="00C1494B" w:rsidRPr="00E23776" w:rsidRDefault="00C1494B" w:rsidP="00E23776">
            <w:pPr>
              <w:spacing w:after="120"/>
            </w:pPr>
            <w:r w:rsidRPr="00E23776">
              <w:t>Students conduct investigations using ethical procedures, appropriate methodology and sources, and show cultural sensitivity and awareness to plan, conduct and communicate findings.</w:t>
            </w:r>
          </w:p>
          <w:p w14:paraId="0457F649" w14:textId="49159301" w:rsidR="00C1494B" w:rsidRPr="00E23776" w:rsidRDefault="00C1494B" w:rsidP="00E23776">
            <w:pPr>
              <w:spacing w:after="120"/>
            </w:pPr>
            <w:r w:rsidRPr="00E23776">
              <w:t>Students actively engage in collecting and using primary and</w:t>
            </w:r>
            <w:r w:rsidR="00D66B8D" w:rsidRPr="00E23776">
              <w:t>/or</w:t>
            </w:r>
            <w:r w:rsidRPr="00E23776">
              <w:t xml:space="preserve"> secondary information sources, which privilege learning from First Nations Peoples, communities and/or other sources of First Nations Peoples’ voices.</w:t>
            </w:r>
          </w:p>
          <w:p w14:paraId="5886E6DC" w14:textId="59C86554" w:rsidR="00C1494B" w:rsidRPr="00E23776" w:rsidRDefault="00C1494B" w:rsidP="00E23776">
            <w:pPr>
              <w:spacing w:after="120"/>
            </w:pPr>
            <w:r w:rsidRPr="00E23776">
              <w:t>Inquiry formats can include research notes</w:t>
            </w:r>
            <w:r w:rsidR="00C2627B" w:rsidRPr="00E23776">
              <w:t>,</w:t>
            </w:r>
            <w:r w:rsidRPr="00E23776">
              <w:t xml:space="preserve"> graphic organisers</w:t>
            </w:r>
            <w:r w:rsidR="00C2627B" w:rsidRPr="00E23776">
              <w:t>,</w:t>
            </w:r>
            <w:r w:rsidRPr="00E23776">
              <w:t xml:space="preserve"> written report</w:t>
            </w:r>
            <w:r w:rsidR="00024E9D" w:rsidRPr="00E23776">
              <w:t>s</w:t>
            </w:r>
            <w:r w:rsidR="00C2627B" w:rsidRPr="00E23776">
              <w:t>,</w:t>
            </w:r>
            <w:r w:rsidRPr="00E23776">
              <w:t xml:space="preserve"> short</w:t>
            </w:r>
            <w:r w:rsidR="00DF0CDB" w:rsidRPr="00E23776">
              <w:t xml:space="preserve"> </w:t>
            </w:r>
            <w:r w:rsidRPr="00E23776">
              <w:t>answers</w:t>
            </w:r>
            <w:r w:rsidR="00C2627B" w:rsidRPr="00E23776">
              <w:t>,</w:t>
            </w:r>
            <w:r w:rsidRPr="00E23776">
              <w:t xml:space="preserve"> an analysis of the sources used in the inquiry</w:t>
            </w:r>
            <w:r w:rsidR="00C2627B" w:rsidRPr="00E23776">
              <w:t>,</w:t>
            </w:r>
            <w:r w:rsidRPr="00E23776">
              <w:t xml:space="preserve"> in-class self-evaluation and reflection of learning and/or a combination of these.</w:t>
            </w:r>
          </w:p>
          <w:p w14:paraId="28DB6204" w14:textId="5EE37848" w:rsidR="007766C5" w:rsidRPr="00840863" w:rsidRDefault="00C1494B" w:rsidP="00E23776">
            <w:pPr>
              <w:rPr>
                <w:rFonts w:ascii="Calibri" w:hAnsi="Calibri" w:cs="Calibri"/>
                <w:b/>
              </w:rPr>
            </w:pPr>
            <w:r w:rsidRPr="00E23776">
              <w:t>The inquiry must include a validation component</w:t>
            </w:r>
            <w:r w:rsidR="00BD44AB" w:rsidRPr="00E23776">
              <w:t xml:space="preserve">, which </w:t>
            </w:r>
            <w:r w:rsidRPr="00E23776">
              <w:t>is administered under test conditions.</w:t>
            </w:r>
          </w:p>
        </w:tc>
        <w:tc>
          <w:tcPr>
            <w:tcW w:w="1325" w:type="dxa"/>
            <w:vAlign w:val="center"/>
          </w:tcPr>
          <w:p w14:paraId="034BEDE7" w14:textId="51665141" w:rsidR="007766C5" w:rsidRPr="00840863" w:rsidRDefault="00AA3E8F" w:rsidP="00BA6D60">
            <w:pPr>
              <w:spacing w:line="240" w:lineRule="auto"/>
              <w:jc w:val="center"/>
              <w:rPr>
                <w:rFonts w:ascii="Calibri" w:hAnsi="Calibri" w:cs="Calibri"/>
                <w:szCs w:val="24"/>
              </w:rPr>
            </w:pPr>
            <w:r w:rsidRPr="00840863">
              <w:rPr>
                <w:rFonts w:ascii="Calibri" w:hAnsi="Calibri" w:cs="Calibri"/>
                <w:szCs w:val="24"/>
              </w:rPr>
              <w:t>2</w:t>
            </w:r>
            <w:r w:rsidR="00CF46D5" w:rsidRPr="00840863">
              <w:rPr>
                <w:rFonts w:ascii="Calibri" w:hAnsi="Calibri" w:cs="Calibri"/>
                <w:szCs w:val="24"/>
              </w:rPr>
              <w:t>0</w:t>
            </w:r>
            <w:r w:rsidR="00044FDD" w:rsidRPr="00840863">
              <w:rPr>
                <w:rFonts w:ascii="Calibri" w:hAnsi="Calibri" w:cs="Calibri"/>
                <w:szCs w:val="24"/>
              </w:rPr>
              <w:t>%</w:t>
            </w:r>
          </w:p>
        </w:tc>
      </w:tr>
      <w:tr w:rsidR="007766C5" w:rsidRPr="00AC45F1" w14:paraId="2F4C5B83" w14:textId="77777777" w:rsidTr="00BA6D60">
        <w:tc>
          <w:tcPr>
            <w:tcW w:w="7735" w:type="dxa"/>
          </w:tcPr>
          <w:p w14:paraId="5FE84AFA" w14:textId="77777777" w:rsidR="00CC401C" w:rsidRPr="00E23776" w:rsidRDefault="00CC401C" w:rsidP="00E23776">
            <w:r w:rsidRPr="00C841D5">
              <w:rPr>
                <w:rFonts w:ascii="Calibri" w:eastAsia="Franklin Gothic Book" w:hAnsi="Calibri" w:cs="Calibri"/>
                <w:b/>
                <w:bCs/>
                <w:lang w:eastAsia="en-AU"/>
              </w:rPr>
              <w:t>Short answer</w:t>
            </w:r>
          </w:p>
          <w:p w14:paraId="49179894" w14:textId="77A45C08" w:rsidR="001A2500" w:rsidRPr="00E23776" w:rsidRDefault="00CC401C" w:rsidP="00E23776">
            <w:pPr>
              <w:spacing w:after="120"/>
            </w:pPr>
            <w:r w:rsidRPr="00E23776">
              <w:t xml:space="preserve">Students </w:t>
            </w:r>
            <w:r w:rsidR="001A2500" w:rsidRPr="00E23776">
              <w:t xml:space="preserve">can be required to </w:t>
            </w:r>
            <w:r w:rsidRPr="00E23776">
              <w:t xml:space="preserve">respond to a series of open questions that require </w:t>
            </w:r>
            <w:r w:rsidR="001A2500" w:rsidRPr="00E23776">
              <w:t>them to</w:t>
            </w:r>
            <w:r w:rsidRPr="00E23776">
              <w:t xml:space="preserve"> </w:t>
            </w:r>
            <w:r w:rsidR="00434D6E" w:rsidRPr="00E23776">
              <w:t>refer to</w:t>
            </w:r>
            <w:r w:rsidR="001A2500" w:rsidRPr="00E23776">
              <w:t xml:space="preserve"> source material and/or syllabus content.</w:t>
            </w:r>
          </w:p>
          <w:p w14:paraId="0BD8E508" w14:textId="1A280AF7" w:rsidR="00CC401C" w:rsidRPr="00E23776" w:rsidRDefault="00CC401C" w:rsidP="00E23776">
            <w:pPr>
              <w:spacing w:after="120"/>
            </w:pPr>
            <w:r w:rsidRPr="00E23776">
              <w:t>Source materials can include written texts (an extract from a government paper, a newspaper or journal article</w:t>
            </w:r>
            <w:r w:rsidR="00C2627B" w:rsidRPr="00E23776">
              <w:t>,</w:t>
            </w:r>
            <w:r w:rsidRPr="00E23776">
              <w:t xml:space="preserve"> or an extract from a narrative, a poem, a song lyric, a play script, or a letter</w:t>
            </w:r>
            <w:r w:rsidR="00602CD7" w:rsidRPr="00E23776">
              <w:t xml:space="preserve">), </w:t>
            </w:r>
            <w:r w:rsidRPr="00E23776">
              <w:t>graphic materials (a photograph, a map, a graph, a diagram, a cartoon, or a drawing)</w:t>
            </w:r>
            <w:r w:rsidR="00602CD7" w:rsidRPr="00E23776">
              <w:t>,</w:t>
            </w:r>
            <w:r w:rsidRPr="00E23776">
              <w:t xml:space="preserve"> a film, a television show and/or a combination of materials.</w:t>
            </w:r>
          </w:p>
          <w:p w14:paraId="072979D4" w14:textId="632DDE3A" w:rsidR="00BD44AB" w:rsidRPr="00E23776" w:rsidRDefault="00BD44AB" w:rsidP="00E23776">
            <w:pPr>
              <w:spacing w:after="120"/>
            </w:pPr>
            <w:r w:rsidRPr="00E23776">
              <w:t>Formats can include short answer responses, which t</w:t>
            </w:r>
            <w:r w:rsidR="00CC401C" w:rsidRPr="00E23776">
              <w:t>ypically require students to</w:t>
            </w:r>
            <w:r w:rsidRPr="00E23776">
              <w:t xml:space="preserve"> </w:t>
            </w:r>
            <w:r w:rsidR="00CC401C" w:rsidRPr="00E23776">
              <w:t xml:space="preserve">identify, define, describe, outline, </w:t>
            </w:r>
            <w:r w:rsidRPr="00E23776">
              <w:t>explain</w:t>
            </w:r>
            <w:r w:rsidR="00CC401C" w:rsidRPr="00E23776">
              <w:t xml:space="preserve">, compare, </w:t>
            </w:r>
            <w:r w:rsidRPr="00E23776">
              <w:t xml:space="preserve">analyse </w:t>
            </w:r>
            <w:r w:rsidR="002A460B" w:rsidRPr="00E23776">
              <w:t xml:space="preserve">and/or </w:t>
            </w:r>
            <w:r w:rsidRPr="00E23776">
              <w:t>discuss</w:t>
            </w:r>
            <w:r w:rsidR="002A460B" w:rsidRPr="00E23776">
              <w:t>.</w:t>
            </w:r>
          </w:p>
          <w:p w14:paraId="36A5DB53" w14:textId="0EE520D6" w:rsidR="00BD44AB" w:rsidRPr="00E23776" w:rsidRDefault="00BD44AB" w:rsidP="00E23776">
            <w:pPr>
              <w:spacing w:after="120"/>
            </w:pPr>
            <w:r w:rsidRPr="00E23776">
              <w:t>Short answer tasks are administered under test conditions.</w:t>
            </w:r>
          </w:p>
          <w:p w14:paraId="7691F240" w14:textId="5184E1C4" w:rsidR="00BD44AB" w:rsidRPr="00E23776" w:rsidRDefault="00BD44AB" w:rsidP="00E23776">
            <w:r w:rsidRPr="00E23776">
              <w:t xml:space="preserve">For a full list of verbs, see the Glossary of </w:t>
            </w:r>
            <w:r w:rsidR="00FD180C" w:rsidRPr="00E23776">
              <w:t>k</w:t>
            </w:r>
            <w:r w:rsidRPr="00E23776">
              <w:t xml:space="preserve">ey </w:t>
            </w:r>
            <w:r w:rsidR="00FD180C" w:rsidRPr="00E23776">
              <w:t>w</w:t>
            </w:r>
            <w:r w:rsidRPr="00E23776">
              <w:t xml:space="preserve">ords </w:t>
            </w:r>
            <w:r w:rsidR="00FD180C" w:rsidRPr="00E23776">
              <w:t xml:space="preserve">used </w:t>
            </w:r>
            <w:r w:rsidRPr="00E23776">
              <w:t xml:space="preserve">in the </w:t>
            </w:r>
            <w:r w:rsidR="00FD180C" w:rsidRPr="00E23776">
              <w:t>f</w:t>
            </w:r>
            <w:r w:rsidRPr="00E23776">
              <w:t xml:space="preserve">ormulation of </w:t>
            </w:r>
            <w:r w:rsidR="00FD180C" w:rsidRPr="00E23776">
              <w:t>q</w:t>
            </w:r>
            <w:r w:rsidRPr="00E23776">
              <w:t>uestions on the course page.</w:t>
            </w:r>
          </w:p>
        </w:tc>
        <w:tc>
          <w:tcPr>
            <w:tcW w:w="1325" w:type="dxa"/>
            <w:vAlign w:val="center"/>
          </w:tcPr>
          <w:p w14:paraId="580768CD" w14:textId="6D9F0087" w:rsidR="007766C5" w:rsidRPr="00840863" w:rsidRDefault="00434D6E" w:rsidP="00BA6D60">
            <w:pPr>
              <w:spacing w:line="240" w:lineRule="auto"/>
              <w:jc w:val="center"/>
              <w:rPr>
                <w:rFonts w:ascii="Calibri" w:hAnsi="Calibri" w:cs="Calibri"/>
                <w:szCs w:val="24"/>
              </w:rPr>
            </w:pPr>
            <w:r>
              <w:rPr>
                <w:rFonts w:ascii="Calibri" w:hAnsi="Calibri" w:cs="Calibri"/>
                <w:szCs w:val="24"/>
              </w:rPr>
              <w:t>2</w:t>
            </w:r>
            <w:r w:rsidR="00CF46D5" w:rsidRPr="00840863">
              <w:rPr>
                <w:rFonts w:ascii="Calibri" w:hAnsi="Calibri" w:cs="Calibri"/>
                <w:szCs w:val="24"/>
              </w:rPr>
              <w:t>0</w:t>
            </w:r>
            <w:r w:rsidR="00843F98" w:rsidRPr="00840863">
              <w:rPr>
                <w:rFonts w:ascii="Calibri" w:hAnsi="Calibri" w:cs="Calibri"/>
                <w:szCs w:val="24"/>
              </w:rPr>
              <w:t>%</w:t>
            </w:r>
          </w:p>
        </w:tc>
      </w:tr>
      <w:tr w:rsidR="00CC401C" w:rsidRPr="00AC45F1" w14:paraId="19F564FB" w14:textId="77777777" w:rsidTr="00BA6D60">
        <w:tc>
          <w:tcPr>
            <w:tcW w:w="7735" w:type="dxa"/>
          </w:tcPr>
          <w:p w14:paraId="4992571A" w14:textId="77777777" w:rsidR="00CC401C" w:rsidRPr="00E23776" w:rsidRDefault="00CC401C" w:rsidP="00E23776">
            <w:r w:rsidRPr="00C841D5">
              <w:rPr>
                <w:rFonts w:ascii="Calibri" w:eastAsia="Franklin Gothic Book" w:hAnsi="Calibri" w:cs="Calibri"/>
                <w:b/>
                <w:bCs/>
                <w:lang w:eastAsia="en-AU"/>
              </w:rPr>
              <w:t>Extended answer</w:t>
            </w:r>
          </w:p>
          <w:p w14:paraId="707C7128" w14:textId="69BE5334" w:rsidR="00BD44AB" w:rsidRPr="00E23776" w:rsidRDefault="00CC401C" w:rsidP="00E23776">
            <w:pPr>
              <w:spacing w:after="120"/>
            </w:pPr>
            <w:r w:rsidRPr="00E23776">
              <w:t>Students can be required to respond to one or more questions that require a</w:t>
            </w:r>
            <w:r w:rsidR="00BD44AB" w:rsidRPr="00E23776">
              <w:t xml:space="preserve"> discussion, </w:t>
            </w:r>
            <w:r w:rsidR="00312828" w:rsidRPr="00E23776">
              <w:t>analysis,</w:t>
            </w:r>
            <w:r w:rsidRPr="00E23776">
              <w:t xml:space="preserve"> explanation and/or evaluation of </w:t>
            </w:r>
            <w:r w:rsidR="00BD44AB" w:rsidRPr="00E23776">
              <w:t xml:space="preserve">the knowledge and understandings from the </w:t>
            </w:r>
            <w:r w:rsidR="00F3703E" w:rsidRPr="00E23776">
              <w:t>depth studies</w:t>
            </w:r>
            <w:r w:rsidRPr="00E23776">
              <w:t>.</w:t>
            </w:r>
          </w:p>
          <w:p w14:paraId="3987107F" w14:textId="46F539F8" w:rsidR="00CC401C" w:rsidRPr="00E23776" w:rsidRDefault="00BD44AB" w:rsidP="00E23776">
            <w:pPr>
              <w:spacing w:after="120"/>
            </w:pPr>
            <w:r w:rsidRPr="00E23776">
              <w:t>F</w:t>
            </w:r>
            <w:r w:rsidR="00CC401C" w:rsidRPr="00E23776">
              <w:t>ormat</w:t>
            </w:r>
            <w:r w:rsidRPr="00E23776">
              <w:t>s can include</w:t>
            </w:r>
            <w:r w:rsidR="00312828" w:rsidRPr="00E23776">
              <w:t xml:space="preserve"> a</w:t>
            </w:r>
            <w:r w:rsidR="00434D6E" w:rsidRPr="00E23776">
              <w:t xml:space="preserve"> sectionalised or </w:t>
            </w:r>
            <w:r w:rsidR="00CC401C" w:rsidRPr="00E23776">
              <w:t xml:space="preserve">a </w:t>
            </w:r>
            <w:r w:rsidR="00434D6E" w:rsidRPr="00E23776">
              <w:t>non</w:t>
            </w:r>
            <w:r w:rsidR="001F0966" w:rsidRPr="00E23776">
              <w:t>-</w:t>
            </w:r>
            <w:r w:rsidR="00CC401C" w:rsidRPr="00E23776">
              <w:t>sectionalised answer.</w:t>
            </w:r>
          </w:p>
          <w:p w14:paraId="6A3DD796" w14:textId="71B35180" w:rsidR="00CC401C" w:rsidRPr="00E23776" w:rsidRDefault="00CC401C" w:rsidP="00E23776">
            <w:pPr>
              <w:spacing w:after="120"/>
            </w:pPr>
            <w:r w:rsidRPr="00E23776">
              <w:t xml:space="preserve">Typically, questions require the students to explain, discuss, </w:t>
            </w:r>
            <w:r w:rsidR="001A2500" w:rsidRPr="00E23776">
              <w:t>compare, analyse, evaluate</w:t>
            </w:r>
            <w:r w:rsidR="002A460B" w:rsidRPr="00E23776">
              <w:t xml:space="preserve"> and/or consider different perspectives.</w:t>
            </w:r>
          </w:p>
          <w:p w14:paraId="4BC1A17C" w14:textId="4CF03DAB" w:rsidR="00CC401C" w:rsidRPr="00E23776" w:rsidRDefault="00CC401C" w:rsidP="00E23776">
            <w:pPr>
              <w:spacing w:after="120"/>
            </w:pPr>
            <w:r w:rsidRPr="00E23776">
              <w:t>Extended answer tasks are administered under test conditions.</w:t>
            </w:r>
          </w:p>
          <w:p w14:paraId="700DF5FC" w14:textId="31D37913" w:rsidR="00890176" w:rsidRPr="00E23776" w:rsidRDefault="00890176" w:rsidP="00E23776">
            <w:r w:rsidRPr="00E23776">
              <w:t xml:space="preserve">For a full list of verbs, see the </w:t>
            </w:r>
            <w:r w:rsidR="00FD180C" w:rsidRPr="00E23776">
              <w:t xml:space="preserve">Glossary of key words used in the formulation of questions </w:t>
            </w:r>
            <w:r w:rsidRPr="00E23776">
              <w:t>on the course page.</w:t>
            </w:r>
          </w:p>
        </w:tc>
        <w:tc>
          <w:tcPr>
            <w:tcW w:w="1325" w:type="dxa"/>
            <w:vAlign w:val="center"/>
          </w:tcPr>
          <w:p w14:paraId="62A2C892" w14:textId="32237749" w:rsidR="00CC401C" w:rsidRPr="002A460B" w:rsidRDefault="00434D6E" w:rsidP="00BA6D60">
            <w:pPr>
              <w:spacing w:line="240" w:lineRule="auto"/>
              <w:jc w:val="center"/>
              <w:rPr>
                <w:rFonts w:ascii="Calibri" w:hAnsi="Calibri" w:cs="Calibri"/>
                <w:szCs w:val="24"/>
              </w:rPr>
            </w:pPr>
            <w:r w:rsidRPr="002A460B">
              <w:rPr>
                <w:rFonts w:ascii="Calibri" w:hAnsi="Calibri" w:cs="Calibri"/>
                <w:szCs w:val="24"/>
              </w:rPr>
              <w:t>20%</w:t>
            </w:r>
          </w:p>
        </w:tc>
      </w:tr>
      <w:tr w:rsidR="007766C5" w:rsidRPr="00AC45F1" w14:paraId="02B025F4" w14:textId="77777777" w:rsidTr="00E23776">
        <w:trPr>
          <w:trHeight w:val="769"/>
        </w:trPr>
        <w:tc>
          <w:tcPr>
            <w:tcW w:w="7735" w:type="dxa"/>
          </w:tcPr>
          <w:p w14:paraId="740D14CF" w14:textId="77777777" w:rsidR="007766C5" w:rsidRPr="00E23776" w:rsidRDefault="007766C5" w:rsidP="00E23776">
            <w:r w:rsidRPr="00C841D5">
              <w:rPr>
                <w:rFonts w:ascii="Calibri" w:eastAsia="Franklin Gothic Book" w:hAnsi="Calibri" w:cs="Calibri"/>
                <w:b/>
                <w:bCs/>
                <w:lang w:eastAsia="en-AU"/>
              </w:rPr>
              <w:t>Examination</w:t>
            </w:r>
          </w:p>
          <w:p w14:paraId="34E44D60" w14:textId="77777777" w:rsidR="007766C5" w:rsidRPr="00E23776" w:rsidRDefault="00843F98" w:rsidP="00E23776">
            <w:r w:rsidRPr="00913AEE">
              <w:rPr>
                <w:rFonts w:ascii="Calibri" w:eastAsia="Franklin Gothic Book" w:hAnsi="Calibri" w:cs="Calibri"/>
                <w:lang w:eastAsia="en-AU"/>
              </w:rPr>
              <w:t>Typically conducted at the e</w:t>
            </w:r>
            <w:r w:rsidR="00AB7FC7" w:rsidRPr="00913AEE">
              <w:rPr>
                <w:rFonts w:ascii="Calibri" w:eastAsia="Franklin Gothic Book" w:hAnsi="Calibri" w:cs="Calibri"/>
                <w:lang w:eastAsia="en-AU"/>
              </w:rPr>
              <w:t>nd of each semester and/or unit. In preparation for Unit 3 and Unit 4, the examination should reflect the examination design brief included in the ATAR Year 12 syllabus for this course.</w:t>
            </w:r>
          </w:p>
        </w:tc>
        <w:tc>
          <w:tcPr>
            <w:tcW w:w="1325" w:type="dxa"/>
            <w:vAlign w:val="center"/>
          </w:tcPr>
          <w:p w14:paraId="35791F3D" w14:textId="1C874E89" w:rsidR="007766C5" w:rsidRPr="002A460B" w:rsidRDefault="004E7D14" w:rsidP="00E23776">
            <w:pPr>
              <w:spacing w:line="240" w:lineRule="auto"/>
              <w:jc w:val="center"/>
              <w:rPr>
                <w:rFonts w:ascii="Calibri" w:hAnsi="Calibri" w:cs="Calibri"/>
                <w:szCs w:val="24"/>
              </w:rPr>
            </w:pPr>
            <w:r w:rsidRPr="002A460B">
              <w:rPr>
                <w:rFonts w:ascii="Calibri" w:hAnsi="Calibri" w:cs="Calibri"/>
                <w:szCs w:val="24"/>
              </w:rPr>
              <w:t>40</w:t>
            </w:r>
            <w:r w:rsidR="00843F98" w:rsidRPr="002A460B">
              <w:rPr>
                <w:rFonts w:ascii="Calibri" w:hAnsi="Calibri" w:cs="Calibri"/>
                <w:szCs w:val="24"/>
              </w:rPr>
              <w:t>%</w:t>
            </w:r>
          </w:p>
        </w:tc>
      </w:tr>
    </w:tbl>
    <w:p w14:paraId="73DFF6CF" w14:textId="77777777" w:rsidR="00AA3E8F" w:rsidRPr="00AA3E8F" w:rsidRDefault="00AA3E8F" w:rsidP="00E23776">
      <w:pPr>
        <w:spacing w:before="120"/>
        <w:rPr>
          <w:rFonts w:eastAsia="MS PGothic" w:cs="Mangal"/>
        </w:rPr>
      </w:pPr>
      <w:r w:rsidRPr="00AA3E8F">
        <w:rPr>
          <w:rFonts w:eastAsia="MS PGothic" w:cs="Mangal"/>
        </w:rPr>
        <w:t>Teachers must use the assessment table to develop an assessment outline for the pair of units (or for a single unit where only one is being studied).</w:t>
      </w:r>
    </w:p>
    <w:p w14:paraId="720C62F3" w14:textId="26E99FB3" w:rsidR="00AA3E8F" w:rsidRPr="00AA3E8F" w:rsidRDefault="00AA3E8F" w:rsidP="00E23776">
      <w:pPr>
        <w:pStyle w:val="NoSpacing"/>
      </w:pPr>
      <w:r w:rsidRPr="00AA3E8F">
        <w:t xml:space="preserve">The assessment </w:t>
      </w:r>
      <w:r w:rsidRPr="00E23776">
        <w:t>outline</w:t>
      </w:r>
      <w:r w:rsidRPr="00AA3E8F">
        <w:t xml:space="preserve"> must:</w:t>
      </w:r>
    </w:p>
    <w:p w14:paraId="603CF8F0" w14:textId="77777777" w:rsidR="00AA3E8F" w:rsidRPr="00E23776" w:rsidRDefault="00AA3E8F">
      <w:pPr>
        <w:pStyle w:val="ListParagraph"/>
        <w:numPr>
          <w:ilvl w:val="0"/>
          <w:numId w:val="26"/>
        </w:numPr>
      </w:pPr>
      <w:r w:rsidRPr="00E23776">
        <w:t>include a set of assessment tasks</w:t>
      </w:r>
    </w:p>
    <w:p w14:paraId="1E270859" w14:textId="77777777" w:rsidR="00AA3E8F" w:rsidRPr="00E23776" w:rsidRDefault="00AA3E8F">
      <w:pPr>
        <w:pStyle w:val="ListParagraph"/>
        <w:numPr>
          <w:ilvl w:val="0"/>
          <w:numId w:val="26"/>
        </w:numPr>
      </w:pPr>
      <w:r w:rsidRPr="00E23776">
        <w:t>include a general description of each task</w:t>
      </w:r>
    </w:p>
    <w:p w14:paraId="5A780D28" w14:textId="77777777" w:rsidR="00AA3E8F" w:rsidRPr="00E23776" w:rsidRDefault="00AA3E8F">
      <w:pPr>
        <w:pStyle w:val="ListParagraph"/>
        <w:numPr>
          <w:ilvl w:val="0"/>
          <w:numId w:val="26"/>
        </w:numPr>
      </w:pPr>
      <w:r w:rsidRPr="00E23776">
        <w:t>indicate the unit content to be assessed</w:t>
      </w:r>
    </w:p>
    <w:p w14:paraId="4A9D94AB" w14:textId="77777777" w:rsidR="00AA3E8F" w:rsidRPr="00E23776" w:rsidRDefault="00AA3E8F">
      <w:pPr>
        <w:pStyle w:val="ListParagraph"/>
        <w:numPr>
          <w:ilvl w:val="0"/>
          <w:numId w:val="26"/>
        </w:numPr>
      </w:pPr>
      <w:r w:rsidRPr="00E23776">
        <w:t>indicate a weighting for each task and each assessment type</w:t>
      </w:r>
    </w:p>
    <w:p w14:paraId="498D3BBE" w14:textId="00B6021A" w:rsidR="00AA3E8F" w:rsidRPr="00E23776" w:rsidRDefault="00AA3E8F">
      <w:pPr>
        <w:pStyle w:val="ListParagraph"/>
        <w:numPr>
          <w:ilvl w:val="0"/>
          <w:numId w:val="26"/>
        </w:numPr>
      </w:pPr>
      <w:r w:rsidRPr="00E23776">
        <w:t>include the approximate timing of each task (for example, the week the task is conducted, or the issue and submission dates for an extended task).</w:t>
      </w:r>
    </w:p>
    <w:p w14:paraId="04DA06A8" w14:textId="77777777" w:rsidR="00AA3E8F" w:rsidRPr="00AA3E8F" w:rsidRDefault="00AA3E8F" w:rsidP="00263DEE">
      <w:pPr>
        <w:pStyle w:val="SCSAHeading2"/>
      </w:pPr>
      <w:bookmarkStart w:id="88" w:name="_Toc32564813"/>
      <w:bookmarkStart w:id="89" w:name="_Toc32564995"/>
      <w:bookmarkStart w:id="90" w:name="_Toc32576625"/>
      <w:bookmarkStart w:id="91" w:name="_Toc80091325"/>
      <w:bookmarkStart w:id="92" w:name="_Toc114664275"/>
      <w:bookmarkStart w:id="93" w:name="_Toc173315839"/>
      <w:bookmarkStart w:id="94" w:name="_Toc219802592"/>
      <w:r w:rsidRPr="00AA3E8F">
        <w:t>Reporting</w:t>
      </w:r>
      <w:bookmarkEnd w:id="88"/>
      <w:bookmarkEnd w:id="89"/>
      <w:bookmarkEnd w:id="90"/>
      <w:bookmarkEnd w:id="91"/>
      <w:bookmarkEnd w:id="92"/>
      <w:bookmarkEnd w:id="93"/>
      <w:bookmarkEnd w:id="94"/>
    </w:p>
    <w:p w14:paraId="3B3E1361" w14:textId="77777777" w:rsidR="00AA3E8F" w:rsidRPr="00AA3E8F" w:rsidRDefault="00AA3E8F" w:rsidP="00E23776">
      <w:pPr>
        <w:rPr>
          <w:rFonts w:eastAsia="MS PGothic" w:cs="Mangal"/>
        </w:rPr>
      </w:pPr>
      <w:r w:rsidRPr="00AA3E8F">
        <w:rPr>
          <w:rFonts w:eastAsia="MS PGothic" w:cs="Mangal"/>
        </w:rPr>
        <w:t xml:space="preserve">Schools report </w:t>
      </w:r>
      <w:r w:rsidRPr="00E23776">
        <w:t>student</w:t>
      </w:r>
      <w:r w:rsidRPr="00AA3E8F">
        <w:rPr>
          <w:rFonts w:eastAsia="MS PGothic" w:cs="Mangal"/>
        </w:rPr>
        <w:t xml:space="preserve"> achievement, underpinned by a set of pre-determined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AA3E8F" w:rsidRPr="001C0110" w14:paraId="607858D7" w14:textId="77777777" w:rsidTr="00E23776">
        <w:trPr>
          <w:cnfStyle w:val="100000000000" w:firstRow="1" w:lastRow="0" w:firstColumn="0" w:lastColumn="0" w:oddVBand="0" w:evenVBand="0" w:oddHBand="0" w:evenHBand="0" w:firstRowFirstColumn="0" w:firstRowLastColumn="0" w:lastRowFirstColumn="0" w:lastRowLastColumn="0"/>
        </w:trPr>
        <w:tc>
          <w:tcPr>
            <w:tcW w:w="722" w:type="dxa"/>
          </w:tcPr>
          <w:p w14:paraId="577A3A7E" w14:textId="77777777" w:rsidR="00AA3E8F" w:rsidRPr="00E23776" w:rsidRDefault="00AA3E8F" w:rsidP="00E23776">
            <w:r w:rsidRPr="00E23776">
              <w:t>Grade</w:t>
            </w:r>
          </w:p>
        </w:tc>
        <w:tc>
          <w:tcPr>
            <w:tcW w:w="2267" w:type="dxa"/>
          </w:tcPr>
          <w:p w14:paraId="0722CDD7" w14:textId="77777777" w:rsidR="00AA3E8F" w:rsidRPr="00E23776" w:rsidRDefault="00AA3E8F" w:rsidP="00E23776">
            <w:r w:rsidRPr="00E23776">
              <w:t>Interpretation</w:t>
            </w:r>
          </w:p>
        </w:tc>
      </w:tr>
      <w:tr w:rsidR="00AA3E8F" w:rsidRPr="00AA3E8F" w14:paraId="427ADCFB" w14:textId="77777777" w:rsidTr="00E23776">
        <w:tc>
          <w:tcPr>
            <w:tcW w:w="722" w:type="dxa"/>
          </w:tcPr>
          <w:p w14:paraId="65EB23D0" w14:textId="77777777" w:rsidR="00AA3E8F" w:rsidRPr="00E23776" w:rsidRDefault="00AA3E8F" w:rsidP="00E23776">
            <w:pPr>
              <w:jc w:val="center"/>
              <w:rPr>
                <w:b/>
                <w:bCs/>
              </w:rPr>
            </w:pPr>
            <w:r w:rsidRPr="00E23776">
              <w:rPr>
                <w:b/>
                <w:bCs/>
              </w:rPr>
              <w:t>A</w:t>
            </w:r>
          </w:p>
        </w:tc>
        <w:tc>
          <w:tcPr>
            <w:tcW w:w="2267" w:type="dxa"/>
          </w:tcPr>
          <w:p w14:paraId="08C9D847" w14:textId="77777777" w:rsidR="00AA3E8F" w:rsidRPr="00E23776" w:rsidRDefault="00AA3E8F" w:rsidP="00E23776">
            <w:r w:rsidRPr="00E23776">
              <w:t>Excellent achievement</w:t>
            </w:r>
          </w:p>
        </w:tc>
      </w:tr>
      <w:tr w:rsidR="00AA3E8F" w:rsidRPr="00AA3E8F" w14:paraId="01ED850F" w14:textId="77777777" w:rsidTr="00E23776">
        <w:tc>
          <w:tcPr>
            <w:tcW w:w="722" w:type="dxa"/>
          </w:tcPr>
          <w:p w14:paraId="7E7C6411" w14:textId="77777777" w:rsidR="00AA3E8F" w:rsidRPr="00E23776" w:rsidRDefault="00AA3E8F" w:rsidP="00E23776">
            <w:pPr>
              <w:jc w:val="center"/>
              <w:rPr>
                <w:b/>
                <w:bCs/>
              </w:rPr>
            </w:pPr>
            <w:r w:rsidRPr="00E23776">
              <w:rPr>
                <w:b/>
                <w:bCs/>
              </w:rPr>
              <w:t>B</w:t>
            </w:r>
          </w:p>
        </w:tc>
        <w:tc>
          <w:tcPr>
            <w:tcW w:w="2267" w:type="dxa"/>
          </w:tcPr>
          <w:p w14:paraId="0517ED0B" w14:textId="77777777" w:rsidR="00AA3E8F" w:rsidRPr="00E23776" w:rsidRDefault="00AA3E8F" w:rsidP="00E23776">
            <w:r w:rsidRPr="00E23776">
              <w:t>High achievement</w:t>
            </w:r>
          </w:p>
        </w:tc>
      </w:tr>
      <w:tr w:rsidR="00AA3E8F" w:rsidRPr="00AA3E8F" w14:paraId="18E7C941" w14:textId="77777777" w:rsidTr="00E23776">
        <w:tc>
          <w:tcPr>
            <w:tcW w:w="722" w:type="dxa"/>
          </w:tcPr>
          <w:p w14:paraId="10163D8F" w14:textId="77777777" w:rsidR="00AA3E8F" w:rsidRPr="00E23776" w:rsidRDefault="00AA3E8F" w:rsidP="00E23776">
            <w:pPr>
              <w:jc w:val="center"/>
              <w:rPr>
                <w:b/>
                <w:bCs/>
              </w:rPr>
            </w:pPr>
            <w:r w:rsidRPr="00E23776">
              <w:rPr>
                <w:b/>
                <w:bCs/>
              </w:rPr>
              <w:t>C</w:t>
            </w:r>
          </w:p>
        </w:tc>
        <w:tc>
          <w:tcPr>
            <w:tcW w:w="2267" w:type="dxa"/>
          </w:tcPr>
          <w:p w14:paraId="404457C4" w14:textId="77777777" w:rsidR="00AA3E8F" w:rsidRPr="00E23776" w:rsidRDefault="00AA3E8F" w:rsidP="00E23776">
            <w:r w:rsidRPr="00E23776">
              <w:t>Satisfactory achievement</w:t>
            </w:r>
          </w:p>
        </w:tc>
      </w:tr>
      <w:tr w:rsidR="00AA3E8F" w:rsidRPr="00AA3E8F" w14:paraId="5E80DA9D" w14:textId="77777777" w:rsidTr="00E23776">
        <w:tc>
          <w:tcPr>
            <w:tcW w:w="722" w:type="dxa"/>
          </w:tcPr>
          <w:p w14:paraId="0F208E4B" w14:textId="77777777" w:rsidR="00AA3E8F" w:rsidRPr="00E23776" w:rsidRDefault="00AA3E8F" w:rsidP="00E23776">
            <w:pPr>
              <w:jc w:val="center"/>
              <w:rPr>
                <w:b/>
                <w:bCs/>
              </w:rPr>
            </w:pPr>
            <w:r w:rsidRPr="00E23776">
              <w:rPr>
                <w:b/>
                <w:bCs/>
              </w:rPr>
              <w:t>D</w:t>
            </w:r>
          </w:p>
        </w:tc>
        <w:tc>
          <w:tcPr>
            <w:tcW w:w="2267" w:type="dxa"/>
          </w:tcPr>
          <w:p w14:paraId="6EFF9841" w14:textId="77777777" w:rsidR="00AA3E8F" w:rsidRPr="00E23776" w:rsidRDefault="00AA3E8F" w:rsidP="00E23776">
            <w:r w:rsidRPr="00E23776">
              <w:t>Limited achievement</w:t>
            </w:r>
          </w:p>
        </w:tc>
      </w:tr>
      <w:tr w:rsidR="00AA3E8F" w:rsidRPr="00AA3E8F" w14:paraId="28CA9714" w14:textId="77777777" w:rsidTr="00E23776">
        <w:tc>
          <w:tcPr>
            <w:tcW w:w="722" w:type="dxa"/>
          </w:tcPr>
          <w:p w14:paraId="104FB38C" w14:textId="77777777" w:rsidR="00AA3E8F" w:rsidRPr="00E23776" w:rsidRDefault="00AA3E8F" w:rsidP="00E23776">
            <w:pPr>
              <w:jc w:val="center"/>
              <w:rPr>
                <w:b/>
                <w:bCs/>
              </w:rPr>
            </w:pPr>
            <w:r w:rsidRPr="00E23776">
              <w:rPr>
                <w:b/>
                <w:bCs/>
              </w:rPr>
              <w:t>E</w:t>
            </w:r>
          </w:p>
        </w:tc>
        <w:tc>
          <w:tcPr>
            <w:tcW w:w="2267" w:type="dxa"/>
          </w:tcPr>
          <w:p w14:paraId="5CA7B4A9" w14:textId="77777777" w:rsidR="00AA3E8F" w:rsidRPr="00E23776" w:rsidRDefault="00AA3E8F" w:rsidP="00E23776">
            <w:r w:rsidRPr="00E23776">
              <w:t>Very low achievement</w:t>
            </w:r>
          </w:p>
        </w:tc>
      </w:tr>
    </w:tbl>
    <w:p w14:paraId="7F12B261" w14:textId="3930659C" w:rsidR="00AA3E8F" w:rsidRPr="00AA3E8F" w:rsidRDefault="00AA3E8F" w:rsidP="00E23776">
      <w:pPr>
        <w:spacing w:before="120"/>
        <w:rPr>
          <w:rFonts w:eastAsia="Times New Roman" w:cs="Times New Roman"/>
        </w:rPr>
      </w:pPr>
      <w:r w:rsidRPr="00AA3E8F">
        <w:rPr>
          <w:rFonts w:eastAsia="MS PGothic" w:cs="Mangal"/>
        </w:rPr>
        <w:t xml:space="preserve">The grade </w:t>
      </w:r>
      <w:r w:rsidRPr="00E23776">
        <w:t>descriptions</w:t>
      </w:r>
      <w:r w:rsidRPr="00AA3E8F">
        <w:rPr>
          <w:rFonts w:eastAsia="MS PGothic" w:cs="Mangal"/>
        </w:rPr>
        <w:t xml:space="preserve"> for the Aboriginal and Intercultural Studies </w:t>
      </w:r>
      <w:r>
        <w:rPr>
          <w:rFonts w:eastAsia="MS PGothic" w:cs="Mangal"/>
        </w:rPr>
        <w:t xml:space="preserve">ATAR </w:t>
      </w:r>
      <w:r w:rsidRPr="00AA3E8F">
        <w:rPr>
          <w:rFonts w:eastAsia="MS PGothic" w:cs="Mangal"/>
        </w:rPr>
        <w:t>Year 11 syllabus are provided in Appendix 1. They are used to support the allocation of a grade. They can also be accessed</w:t>
      </w:r>
      <w:r>
        <w:rPr>
          <w:rFonts w:eastAsia="MS PGothic" w:cs="Mangal"/>
        </w:rPr>
        <w:t xml:space="preserve"> o</w:t>
      </w:r>
      <w:r w:rsidRPr="00AA3E8F">
        <w:rPr>
          <w:rFonts w:eastAsia="MS PGothic" w:cs="Mangal"/>
        </w:rPr>
        <w:t xml:space="preserve">n the </w:t>
      </w:r>
      <w:r w:rsidRPr="00AA3E8F">
        <w:rPr>
          <w:rFonts w:eastAsia="Times New Roman" w:cs="Calibri"/>
          <w:szCs w:val="26"/>
        </w:rPr>
        <w:t xml:space="preserve">course page of the </w:t>
      </w:r>
      <w:r w:rsidRPr="00AA3E8F">
        <w:rPr>
          <w:rFonts w:eastAsia="MS PGothic" w:cs="Mangal"/>
        </w:rPr>
        <w:t xml:space="preserve">Authority website at </w:t>
      </w:r>
      <w:hyperlink r:id="rId19" w:history="1">
        <w:r w:rsidRPr="00AA3E8F">
          <w:rPr>
            <w:rFonts w:eastAsia="MS PGothic" w:cs="Mangal"/>
            <w:color w:val="580F8B"/>
            <w:u w:val="single"/>
          </w:rPr>
          <w:t>www.scsa.wa.edu.au</w:t>
        </w:r>
      </w:hyperlink>
      <w:r w:rsidRPr="00AA3E8F">
        <w:rPr>
          <w:rFonts w:eastAsia="Times New Roman" w:cs="Calibri"/>
          <w:szCs w:val="26"/>
        </w:rPr>
        <w:t>.</w:t>
      </w:r>
    </w:p>
    <w:p w14:paraId="0B522475" w14:textId="77777777" w:rsidR="00AA3E8F" w:rsidRPr="00AA3E8F" w:rsidRDefault="00AA3E8F" w:rsidP="00AC45F1">
      <w:pPr>
        <w:spacing w:before="120"/>
        <w:rPr>
          <w:rFonts w:eastAsia="MS PGothic" w:cs="Mangal"/>
        </w:rPr>
      </w:pPr>
      <w:r w:rsidRPr="00AA3E8F">
        <w:rPr>
          <w:rFonts w:eastAsia="MS PGothic" w:cs="Mangal"/>
        </w:rPr>
        <w:t>To be assigned a grade, a student must have had the opportunity to complete the education program, including the assessment program (unless the school accepts that there are exceptional and justifiable circumstances).</w:t>
      </w:r>
    </w:p>
    <w:p w14:paraId="694D61A9" w14:textId="77777777" w:rsidR="00AA3E8F" w:rsidRPr="00AA3E8F" w:rsidRDefault="00AA3E8F" w:rsidP="00AC45F1">
      <w:pPr>
        <w:spacing w:before="120"/>
        <w:rPr>
          <w:rFonts w:eastAsia="MS PGothic" w:cs="Mangal"/>
        </w:rPr>
      </w:pPr>
      <w:r w:rsidRPr="00AA3E8F">
        <w:rPr>
          <w:rFonts w:eastAsia="MS PGothic" w:cs="Mangal"/>
        </w:rPr>
        <w:t xml:space="preserve">Refer to the </w:t>
      </w:r>
      <w:r w:rsidRPr="00AA3E8F">
        <w:rPr>
          <w:rFonts w:eastAsia="MS PGothic" w:cs="Mangal"/>
          <w:i/>
        </w:rPr>
        <w:t>WACE Manual</w:t>
      </w:r>
      <w:r w:rsidRPr="00AA3E8F">
        <w:rPr>
          <w:rFonts w:eastAsia="MS PGothic" w:cs="Mangal"/>
        </w:rPr>
        <w:t xml:space="preserve"> for further information about the use of a ranked list in the process of assigning grades.</w:t>
      </w:r>
    </w:p>
    <w:p w14:paraId="120EA2EB" w14:textId="2F340AA8" w:rsidR="00D5088E" w:rsidRDefault="00AA3E8F" w:rsidP="00AC45F1">
      <w:pPr>
        <w:rPr>
          <w:rFonts w:eastAsia="MS PGothic"/>
        </w:rPr>
      </w:pPr>
      <w:r w:rsidRPr="00D5088E">
        <w:rPr>
          <w:rFonts w:eastAsia="MS PGothic"/>
        </w:rPr>
        <w:t>The grade is determined by reference to the standard, not allocated on the basis of a pre</w:t>
      </w:r>
      <w:r w:rsidRPr="00D5088E">
        <w:rPr>
          <w:rFonts w:eastAsia="MS PGothic"/>
        </w:rPr>
        <w:noBreakHyphen/>
        <w:t>determined range of marks (cut-</w:t>
      </w:r>
      <w:r w:rsidR="00CF6E19" w:rsidRPr="00D5088E">
        <w:rPr>
          <w:rFonts w:eastAsia="MS PGothic"/>
        </w:rPr>
        <w:t>offs).</w:t>
      </w:r>
      <w:bookmarkStart w:id="95" w:name="_Toc358372267"/>
      <w:bookmarkEnd w:id="87"/>
    </w:p>
    <w:p w14:paraId="0BB3609F" w14:textId="45E001FC" w:rsidR="009A557C" w:rsidRDefault="009A557C">
      <w:pPr>
        <w:rPr>
          <w:rFonts w:eastAsia="MS PGothic"/>
        </w:rPr>
      </w:pPr>
      <w:r>
        <w:rPr>
          <w:rFonts w:eastAsia="MS PGothic"/>
        </w:rPr>
        <w:br w:type="page"/>
      </w:r>
    </w:p>
    <w:p w14:paraId="53782D9B" w14:textId="50AA6B63" w:rsidR="0010526A" w:rsidRPr="0010526A" w:rsidRDefault="000830BD" w:rsidP="00342C31">
      <w:pPr>
        <w:pStyle w:val="SCSAAppendixHeading1"/>
      </w:pPr>
      <w:bookmarkStart w:id="96" w:name="_Toc173315840"/>
      <w:bookmarkStart w:id="97" w:name="_Toc219802593"/>
      <w:r w:rsidRPr="00D5088E">
        <w:t xml:space="preserve">Appendix 1 – </w:t>
      </w:r>
      <w:r w:rsidR="007766C5" w:rsidRPr="00D5088E">
        <w:t>Grade descriptions</w:t>
      </w:r>
      <w:bookmarkEnd w:id="95"/>
      <w:r w:rsidR="007766C5" w:rsidRPr="00D5088E">
        <w:t xml:space="preserve"> Year 11</w:t>
      </w:r>
      <w:bookmarkEnd w:id="96"/>
      <w:bookmarkEnd w:id="97"/>
    </w:p>
    <w:tbl>
      <w:tblPr>
        <w:tblStyle w:val="SCSASyllabusGradeDescriptionsTable"/>
        <w:tblW w:w="5000" w:type="pct"/>
        <w:tblLook w:val="00A0" w:firstRow="1" w:lastRow="0" w:firstColumn="1" w:lastColumn="0" w:noHBand="0" w:noVBand="0"/>
      </w:tblPr>
      <w:tblGrid>
        <w:gridCol w:w="944"/>
        <w:gridCol w:w="8116"/>
      </w:tblGrid>
      <w:tr w:rsidR="007A10C7" w:rsidRPr="00E23776" w14:paraId="4D2088D1"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4AD0C03C" w14:textId="77777777" w:rsidR="007A10C7" w:rsidRPr="00E23776" w:rsidRDefault="007A10C7" w:rsidP="00E23776">
            <w:r w:rsidRPr="00E23776">
              <w:t>A</w:t>
            </w:r>
          </w:p>
        </w:tc>
        <w:tc>
          <w:tcPr>
            <w:tcW w:w="8788" w:type="dxa"/>
          </w:tcPr>
          <w:p w14:paraId="6666206D" w14:textId="67955F05" w:rsidR="00D66B8D" w:rsidRPr="00E23776" w:rsidRDefault="00A75490"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Knowledge and understanding</w:t>
            </w:r>
          </w:p>
          <w:p w14:paraId="456BA187" w14:textId="20B62DD8" w:rsidR="00D66B8D" w:rsidRPr="00E23776" w:rsidRDefault="00D66B8D" w:rsidP="00E23776">
            <w:pPr>
              <w:cnfStyle w:val="000000000000" w:firstRow="0" w:lastRow="0" w:firstColumn="0" w:lastColumn="0" w:oddVBand="0" w:evenVBand="0" w:oddHBand="0" w:evenHBand="0" w:firstRowFirstColumn="0" w:firstRowLastColumn="0" w:lastRowFirstColumn="0" w:lastRowLastColumn="0"/>
            </w:pPr>
            <w:r w:rsidRPr="00E23776">
              <w:t xml:space="preserve">Presents detailed </w:t>
            </w:r>
            <w:r w:rsidR="00AB7951" w:rsidRPr="00E23776">
              <w:t xml:space="preserve">discussions and </w:t>
            </w:r>
            <w:r w:rsidRPr="00E23776">
              <w:t xml:space="preserve">explanations of evidence, ideas and concepts </w:t>
            </w:r>
            <w:r w:rsidR="00AB7951" w:rsidRPr="00E23776">
              <w:t>about</w:t>
            </w:r>
            <w:r w:rsidRPr="00E23776">
              <w:t xml:space="preserve"> </w:t>
            </w:r>
            <w:r w:rsidR="0013065D" w:rsidRPr="00E23776">
              <w:t xml:space="preserve">the distinctiveness and diversity of First Nations Peoples’ identities, cultures, experiences, </w:t>
            </w:r>
            <w:r w:rsidR="00A9789E" w:rsidRPr="00E23776">
              <w:t xml:space="preserve">heritage, </w:t>
            </w:r>
            <w:r w:rsidR="0013065D" w:rsidRPr="00E23776">
              <w:t>perspectives and cultural expressions.</w:t>
            </w:r>
          </w:p>
        </w:tc>
      </w:tr>
      <w:tr w:rsidR="00385410" w:rsidRPr="00E23776" w14:paraId="602414B3"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6DD78A8E" w14:textId="77777777" w:rsidR="00385410" w:rsidRPr="00E23776" w:rsidRDefault="00385410" w:rsidP="00E23776"/>
        </w:tc>
        <w:tc>
          <w:tcPr>
            <w:tcW w:w="8788" w:type="dxa"/>
          </w:tcPr>
          <w:p w14:paraId="1E49F927" w14:textId="77777777" w:rsidR="00385410" w:rsidRPr="00E23776" w:rsidRDefault="00385410"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terminology</w:t>
            </w:r>
          </w:p>
          <w:p w14:paraId="00EB5B8E" w14:textId="307BC767" w:rsidR="00385410" w:rsidRPr="00E23776" w:rsidRDefault="00385410" w:rsidP="00E23776">
            <w:pPr>
              <w:cnfStyle w:val="000000000000" w:firstRow="0" w:lastRow="0" w:firstColumn="0" w:lastColumn="0" w:oddVBand="0" w:evenVBand="0" w:oddHBand="0" w:evenHBand="0" w:firstRowFirstColumn="0" w:firstRowLastColumn="0" w:lastRowFirstColumn="0" w:lastRowLastColumn="0"/>
            </w:pPr>
            <w:r w:rsidRPr="00E23776">
              <w:t>Selects and applies</w:t>
            </w:r>
            <w:r w:rsidR="00452FE7" w:rsidRPr="00E23776">
              <w:t xml:space="preserve"> </w:t>
            </w:r>
            <w:r w:rsidRPr="00E23776">
              <w:t>culturally responsive terminology and concepts to develop comprehensive, accurate and relevant responses.</w:t>
            </w:r>
          </w:p>
        </w:tc>
      </w:tr>
      <w:tr w:rsidR="00385410" w:rsidRPr="00E23776" w14:paraId="3FFA36EB"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633B071F" w14:textId="77777777" w:rsidR="00385410" w:rsidRPr="00E23776" w:rsidRDefault="00385410" w:rsidP="00E23776"/>
        </w:tc>
        <w:tc>
          <w:tcPr>
            <w:tcW w:w="8788" w:type="dxa"/>
          </w:tcPr>
          <w:p w14:paraId="4E0D7CB8" w14:textId="77777777"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skills</w:t>
            </w:r>
          </w:p>
          <w:p w14:paraId="019807EE" w14:textId="4104C126" w:rsidR="008464E6" w:rsidRPr="00E23776" w:rsidRDefault="00385410" w:rsidP="00E23776">
            <w:pPr>
              <w:cnfStyle w:val="000000000000" w:firstRow="0" w:lastRow="0" w:firstColumn="0" w:lastColumn="0" w:oddVBand="0" w:evenVBand="0" w:oddHBand="0" w:evenHBand="0" w:firstRowFirstColumn="0" w:firstRowLastColumn="0" w:lastRowFirstColumn="0" w:lastRowLastColumn="0"/>
            </w:pPr>
            <w:r w:rsidRPr="00E23776">
              <w:t xml:space="preserve">Draws detailed and relevant conclusions using a </w:t>
            </w:r>
            <w:r w:rsidR="001635AE" w:rsidRPr="00E23776">
              <w:t xml:space="preserve">wide </w:t>
            </w:r>
            <w:r w:rsidRPr="00E23776">
              <w:t>range of supporting evidence</w:t>
            </w:r>
            <w:r w:rsidR="00C34FE9" w:rsidRPr="00E23776">
              <w:t xml:space="preserve"> that</w:t>
            </w:r>
            <w:r w:rsidRPr="00E23776">
              <w:t xml:space="preserve"> takes into account different perspectives</w:t>
            </w:r>
            <w:r w:rsidR="008464E6" w:rsidRPr="00E23776">
              <w:t xml:space="preserve"> and interpretations of the past</w:t>
            </w:r>
            <w:r w:rsidRPr="00E23776">
              <w:t>.</w:t>
            </w:r>
          </w:p>
          <w:p w14:paraId="0F000AB2" w14:textId="7DB3E86B" w:rsidR="008464E6" w:rsidRPr="00E23776" w:rsidRDefault="008464E6" w:rsidP="00E23776">
            <w:pPr>
              <w:cnfStyle w:val="000000000000" w:firstRow="0" w:lastRow="0" w:firstColumn="0" w:lastColumn="0" w:oddVBand="0" w:evenVBand="0" w:oddHBand="0" w:evenHBand="0" w:firstRowFirstColumn="0" w:firstRowLastColumn="0" w:lastRowFirstColumn="0" w:lastRowLastColumn="0"/>
            </w:pPr>
            <w:r w:rsidRPr="00E23776">
              <w:t>Analyses relationships and use</w:t>
            </w:r>
            <w:r w:rsidR="00A30567" w:rsidRPr="00E23776">
              <w:t>s</w:t>
            </w:r>
            <w:r w:rsidRPr="00E23776">
              <w:t xml:space="preserve"> evidence from different sources to support a point of view.</w:t>
            </w:r>
          </w:p>
          <w:p w14:paraId="6A8D0B5F" w14:textId="063DE17C" w:rsidR="00385410" w:rsidRPr="00E23776" w:rsidRDefault="00385410" w:rsidP="00E23776">
            <w:pPr>
              <w:cnfStyle w:val="000000000000" w:firstRow="0" w:lastRow="0" w:firstColumn="0" w:lastColumn="0" w:oddVBand="0" w:evenVBand="0" w:oddHBand="0" w:evenHBand="0" w:firstRowFirstColumn="0" w:firstRowLastColumn="0" w:lastRowFirstColumn="0" w:lastRowLastColumn="0"/>
            </w:pPr>
            <w:r w:rsidRPr="00E23776">
              <w:t>Selects a diverse wide range of culturally responsive sources and applies appropriate referencing techniques accurately and consistently when conducting inquiries.</w:t>
            </w:r>
          </w:p>
        </w:tc>
      </w:tr>
    </w:tbl>
    <w:p w14:paraId="7D19B56D" w14:textId="77777777" w:rsidR="007766C5" w:rsidRPr="00E23776" w:rsidRDefault="007766C5" w:rsidP="00E23776">
      <w:pPr>
        <w:spacing w:after="0"/>
      </w:pPr>
    </w:p>
    <w:tbl>
      <w:tblPr>
        <w:tblStyle w:val="SCSASyllabusGradeDescriptionsTable"/>
        <w:tblW w:w="5000" w:type="pct"/>
        <w:tblLook w:val="00A0" w:firstRow="1" w:lastRow="0" w:firstColumn="1" w:lastColumn="0" w:noHBand="0" w:noVBand="0"/>
      </w:tblPr>
      <w:tblGrid>
        <w:gridCol w:w="943"/>
        <w:gridCol w:w="8117"/>
      </w:tblGrid>
      <w:tr w:rsidR="00E9623A" w:rsidRPr="00E23776" w14:paraId="5BD2B85B"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E52118E" w14:textId="77777777" w:rsidR="00E9623A" w:rsidRPr="00E23776" w:rsidRDefault="00E9623A" w:rsidP="00E23776">
            <w:r w:rsidRPr="00E23776">
              <w:t>B</w:t>
            </w:r>
          </w:p>
        </w:tc>
        <w:tc>
          <w:tcPr>
            <w:tcW w:w="8788" w:type="dxa"/>
          </w:tcPr>
          <w:p w14:paraId="70DB2490" w14:textId="77777777" w:rsidR="00F1452C" w:rsidRPr="00E23776" w:rsidRDefault="00F1452C"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Knowledge and understanding</w:t>
            </w:r>
          </w:p>
          <w:p w14:paraId="0D785147" w14:textId="6A18C734" w:rsidR="00E9623A" w:rsidRPr="00E23776" w:rsidRDefault="00AB7951" w:rsidP="00E23776">
            <w:pPr>
              <w:cnfStyle w:val="000000000000" w:firstRow="0" w:lastRow="0" w:firstColumn="0" w:lastColumn="0" w:oddVBand="0" w:evenVBand="0" w:oddHBand="0" w:evenHBand="0" w:firstRowFirstColumn="0" w:firstRowLastColumn="0" w:lastRowFirstColumn="0" w:lastRowLastColumn="0"/>
            </w:pPr>
            <w:r w:rsidRPr="00E23776">
              <w:t xml:space="preserve">Presents discussions and explanations of evidence, ideas and concepts about the distinctiveness and diversity of First Nations Peoples’ identities, cultures, </w:t>
            </w:r>
            <w:r w:rsidR="00A953F8" w:rsidRPr="00E23776">
              <w:t xml:space="preserve">heritage, </w:t>
            </w:r>
            <w:r w:rsidRPr="00E23776">
              <w:t>experiences, perspectives and cultural expressions.</w:t>
            </w:r>
          </w:p>
        </w:tc>
      </w:tr>
      <w:tr w:rsidR="009E363F" w:rsidRPr="00E23776" w14:paraId="64D5EA6C"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69988A5B" w14:textId="77777777" w:rsidR="009E363F" w:rsidRPr="00E23776" w:rsidRDefault="009E363F" w:rsidP="00E23776"/>
        </w:tc>
        <w:tc>
          <w:tcPr>
            <w:tcW w:w="8788" w:type="dxa"/>
          </w:tcPr>
          <w:p w14:paraId="544BEC38" w14:textId="77777777"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terminology</w:t>
            </w:r>
          </w:p>
          <w:p w14:paraId="1C00C6C3" w14:textId="67D986DC"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pPr>
            <w:r w:rsidRPr="00E23776">
              <w:t xml:space="preserve">Selects and applies culturally responsive terminology and concepts to develop </w:t>
            </w:r>
            <w:r w:rsidR="00AB7951" w:rsidRPr="00E23776">
              <w:t>accurate a</w:t>
            </w:r>
            <w:r w:rsidR="000971DD" w:rsidRPr="00E23776">
              <w:t>n</w:t>
            </w:r>
            <w:r w:rsidR="00AB7951" w:rsidRPr="00E23776">
              <w:t xml:space="preserve">d </w:t>
            </w:r>
            <w:r w:rsidRPr="00E23776">
              <w:t>relevant responses.</w:t>
            </w:r>
          </w:p>
        </w:tc>
      </w:tr>
      <w:tr w:rsidR="009E363F" w:rsidRPr="00E23776" w14:paraId="62C422C6"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7D8F2B4A" w14:textId="77777777" w:rsidR="009E363F" w:rsidRPr="00E23776" w:rsidRDefault="009E363F" w:rsidP="00E23776"/>
        </w:tc>
        <w:tc>
          <w:tcPr>
            <w:tcW w:w="8788" w:type="dxa"/>
          </w:tcPr>
          <w:p w14:paraId="6AFCE18D" w14:textId="77777777"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skills</w:t>
            </w:r>
          </w:p>
          <w:p w14:paraId="0265DFA1" w14:textId="7D448A67"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pPr>
            <w:r w:rsidRPr="00E23776">
              <w:t>Draws relevant conclusions using a range of supporting evidence</w:t>
            </w:r>
            <w:r w:rsidR="00C34FE9" w:rsidRPr="00E23776">
              <w:t xml:space="preserve"> that</w:t>
            </w:r>
            <w:r w:rsidRPr="00E23776">
              <w:t xml:space="preserve"> take</w:t>
            </w:r>
            <w:r w:rsidR="00C34FE9" w:rsidRPr="00E23776">
              <w:t>s</w:t>
            </w:r>
            <w:r w:rsidRPr="00E23776">
              <w:t xml:space="preserve"> into account different perspectives.</w:t>
            </w:r>
          </w:p>
          <w:p w14:paraId="787CB1F6" w14:textId="4121675C" w:rsidR="009E363F" w:rsidRPr="00E23776" w:rsidRDefault="009E363F" w:rsidP="00E23776">
            <w:pPr>
              <w:cnfStyle w:val="000000000000" w:firstRow="0" w:lastRow="0" w:firstColumn="0" w:lastColumn="0" w:oddVBand="0" w:evenVBand="0" w:oddHBand="0" w:evenHBand="0" w:firstRowFirstColumn="0" w:firstRowLastColumn="0" w:lastRowFirstColumn="0" w:lastRowLastColumn="0"/>
            </w:pPr>
            <w:r w:rsidRPr="00E23776">
              <w:t>Selects a range of culturally responsive sources and applies appropriate referencing techniques accurately when conducting inquiries.</w:t>
            </w:r>
          </w:p>
        </w:tc>
      </w:tr>
    </w:tbl>
    <w:p w14:paraId="1977023D" w14:textId="77777777" w:rsidR="007078B0" w:rsidRPr="00E23776" w:rsidRDefault="007078B0" w:rsidP="00E23776">
      <w:pPr>
        <w:spacing w:after="0"/>
      </w:pPr>
    </w:p>
    <w:tbl>
      <w:tblPr>
        <w:tblStyle w:val="SCSASyllabusGradeDescriptionsTable"/>
        <w:tblW w:w="5000" w:type="pct"/>
        <w:tblLook w:val="00A0" w:firstRow="1" w:lastRow="0" w:firstColumn="1" w:lastColumn="0" w:noHBand="0" w:noVBand="0"/>
      </w:tblPr>
      <w:tblGrid>
        <w:gridCol w:w="941"/>
        <w:gridCol w:w="8119"/>
      </w:tblGrid>
      <w:tr w:rsidR="00AD024E" w:rsidRPr="00E23776" w14:paraId="4CD09FB8"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059D9EC1" w14:textId="77777777" w:rsidR="00AD024E" w:rsidRPr="00E23776" w:rsidRDefault="00AD024E" w:rsidP="00E23776">
            <w:r w:rsidRPr="00E23776">
              <w:t>C</w:t>
            </w:r>
          </w:p>
        </w:tc>
        <w:tc>
          <w:tcPr>
            <w:tcW w:w="8788" w:type="dxa"/>
          </w:tcPr>
          <w:p w14:paraId="26B7DC5D" w14:textId="77777777"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Knowledge and understandings</w:t>
            </w:r>
          </w:p>
          <w:p w14:paraId="0ADFF542" w14:textId="2E30C653" w:rsidR="00AD024E" w:rsidRPr="00E23776" w:rsidRDefault="00AB7951" w:rsidP="00E23776">
            <w:pPr>
              <w:cnfStyle w:val="000000000000" w:firstRow="0" w:lastRow="0" w:firstColumn="0" w:lastColumn="0" w:oddVBand="0" w:evenVBand="0" w:oddHBand="0" w:evenHBand="0" w:firstRowFirstColumn="0" w:firstRowLastColumn="0" w:lastRowFirstColumn="0" w:lastRowLastColumn="0"/>
            </w:pPr>
            <w:r w:rsidRPr="00E23776">
              <w:t>Presents brief discussions and descri</w:t>
            </w:r>
            <w:r w:rsidR="00C22EA7" w:rsidRPr="00E23776">
              <w:t>p</w:t>
            </w:r>
            <w:r w:rsidRPr="00E23776">
              <w:t xml:space="preserve">tions of evidence, ideas and concepts about the distinctiveness and diversity of First Nations Peoples’ identities, cultures, </w:t>
            </w:r>
            <w:r w:rsidR="003014A6" w:rsidRPr="00E23776">
              <w:t xml:space="preserve">heritages, </w:t>
            </w:r>
            <w:r w:rsidRPr="00E23776">
              <w:t>experiences, perspectives and cultural expressions.</w:t>
            </w:r>
          </w:p>
        </w:tc>
      </w:tr>
      <w:tr w:rsidR="00AD024E" w:rsidRPr="00E23776" w14:paraId="64100500"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6F6ECC02" w14:textId="77777777" w:rsidR="00AD024E" w:rsidRPr="00E23776" w:rsidRDefault="00AD024E" w:rsidP="00E23776"/>
        </w:tc>
        <w:tc>
          <w:tcPr>
            <w:tcW w:w="8788" w:type="dxa"/>
          </w:tcPr>
          <w:p w14:paraId="24AE0BEC" w14:textId="2686E40C" w:rsidR="00AD024E" w:rsidRPr="00E23776" w:rsidRDefault="00AD024E"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terminology</w:t>
            </w:r>
          </w:p>
          <w:p w14:paraId="089555FA" w14:textId="492B74DC" w:rsidR="00AD024E" w:rsidRPr="00E23776" w:rsidRDefault="00AD024E" w:rsidP="00E23776">
            <w:pPr>
              <w:cnfStyle w:val="000000000000" w:firstRow="0" w:lastRow="0" w:firstColumn="0" w:lastColumn="0" w:oddVBand="0" w:evenVBand="0" w:oddHBand="0" w:evenHBand="0" w:firstRowFirstColumn="0" w:firstRowLastColumn="0" w:lastRowFirstColumn="0" w:lastRowLastColumn="0"/>
            </w:pPr>
            <w:r w:rsidRPr="00E23776">
              <w:t xml:space="preserve">Uses culturally responsive terminology and concepts to develop </w:t>
            </w:r>
            <w:r w:rsidR="000971DD" w:rsidRPr="00E23776">
              <w:t xml:space="preserve">mostly </w:t>
            </w:r>
            <w:r w:rsidRPr="00E23776">
              <w:t>relevant responses.</w:t>
            </w:r>
          </w:p>
        </w:tc>
      </w:tr>
      <w:tr w:rsidR="00AD024E" w:rsidRPr="00E23776" w14:paraId="1DEA830E"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vMerge/>
          </w:tcPr>
          <w:p w14:paraId="559CBF25" w14:textId="77777777" w:rsidR="00AD024E" w:rsidRPr="00E23776" w:rsidRDefault="00AD024E" w:rsidP="00E23776"/>
        </w:tc>
        <w:tc>
          <w:tcPr>
            <w:tcW w:w="8788" w:type="dxa"/>
          </w:tcPr>
          <w:p w14:paraId="78156AF9" w14:textId="77777777" w:rsidR="00AD024E" w:rsidRPr="00E23776" w:rsidRDefault="00AD024E"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skills</w:t>
            </w:r>
          </w:p>
          <w:p w14:paraId="68B5D9ED" w14:textId="64737F5E" w:rsidR="00AD024E" w:rsidRPr="00E23776" w:rsidRDefault="00AD024E" w:rsidP="00E23776">
            <w:pPr>
              <w:cnfStyle w:val="000000000000" w:firstRow="0" w:lastRow="0" w:firstColumn="0" w:lastColumn="0" w:oddVBand="0" w:evenVBand="0" w:oddHBand="0" w:evenHBand="0" w:firstRowFirstColumn="0" w:firstRowLastColumn="0" w:lastRowFirstColumn="0" w:lastRowLastColumn="0"/>
            </w:pPr>
            <w:r w:rsidRPr="00E23776">
              <w:t>Draws relevant conclusions using some evidence</w:t>
            </w:r>
            <w:r w:rsidR="00C34FE9" w:rsidRPr="00E23776">
              <w:t xml:space="preserve"> that</w:t>
            </w:r>
            <w:r w:rsidRPr="00E23776">
              <w:t xml:space="preserve"> recognises different perspectives.</w:t>
            </w:r>
          </w:p>
          <w:p w14:paraId="795DC8BA" w14:textId="4BE86E60" w:rsidR="00AD024E" w:rsidRPr="00E23776" w:rsidRDefault="00AD024E" w:rsidP="00E23776">
            <w:pPr>
              <w:cnfStyle w:val="000000000000" w:firstRow="0" w:lastRow="0" w:firstColumn="0" w:lastColumn="0" w:oddVBand="0" w:evenVBand="0" w:oddHBand="0" w:evenHBand="0" w:firstRowFirstColumn="0" w:firstRowLastColumn="0" w:lastRowFirstColumn="0" w:lastRowLastColumn="0"/>
            </w:pPr>
            <w:r w:rsidRPr="00E23776">
              <w:t>Selects culturally responsive sources and applies appropriate referencing techniques when conducting inquiries.</w:t>
            </w:r>
          </w:p>
        </w:tc>
      </w:tr>
    </w:tbl>
    <w:p w14:paraId="5278A2A2" w14:textId="77777777" w:rsidR="003D138B" w:rsidRPr="00E23776" w:rsidRDefault="003D138B" w:rsidP="00E23776">
      <w:r w:rsidRPr="00E23776">
        <w:br w:type="page"/>
      </w:r>
    </w:p>
    <w:tbl>
      <w:tblPr>
        <w:tblStyle w:val="SCSASyllabusGradeDescriptionsTable"/>
        <w:tblW w:w="5000" w:type="pct"/>
        <w:tblLook w:val="00A0" w:firstRow="1" w:lastRow="0" w:firstColumn="1" w:lastColumn="0" w:noHBand="0" w:noVBand="0"/>
      </w:tblPr>
      <w:tblGrid>
        <w:gridCol w:w="944"/>
        <w:gridCol w:w="8116"/>
      </w:tblGrid>
      <w:tr w:rsidR="007A2B1D" w:rsidRPr="00E23776" w14:paraId="3398D11A"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43" w:type="dxa"/>
            <w:vMerge w:val="restart"/>
          </w:tcPr>
          <w:p w14:paraId="009C463A" w14:textId="77777777" w:rsidR="007A2B1D" w:rsidRPr="00E23776" w:rsidRDefault="007A2B1D" w:rsidP="00E23776">
            <w:r w:rsidRPr="00E23776">
              <w:t>D</w:t>
            </w:r>
          </w:p>
        </w:tc>
        <w:tc>
          <w:tcPr>
            <w:tcW w:w="8107" w:type="dxa"/>
          </w:tcPr>
          <w:p w14:paraId="2315B838" w14:textId="77777777"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Knowledge and understandings</w:t>
            </w:r>
          </w:p>
          <w:p w14:paraId="063ED5B2" w14:textId="583CFFCF" w:rsidR="000971DD" w:rsidRPr="00E23776" w:rsidRDefault="000971DD" w:rsidP="00E23776">
            <w:pPr>
              <w:cnfStyle w:val="000000000000" w:firstRow="0" w:lastRow="0" w:firstColumn="0" w:lastColumn="0" w:oddVBand="0" w:evenVBand="0" w:oddHBand="0" w:evenHBand="0" w:firstRowFirstColumn="0" w:firstRowLastColumn="0" w:lastRowFirstColumn="0" w:lastRowLastColumn="0"/>
            </w:pPr>
            <w:r w:rsidRPr="00E23776">
              <w:t>Presents</w:t>
            </w:r>
            <w:r w:rsidR="00C22EA7" w:rsidRPr="00E23776">
              <w:t xml:space="preserve"> broad generalised statements</w:t>
            </w:r>
            <w:r w:rsidRPr="00E23776">
              <w:t xml:space="preserve"> about the distinctiveness and diversity of First Nations Peoples’ identities, cultures, experiences,</w:t>
            </w:r>
            <w:r w:rsidR="003014A6" w:rsidRPr="00E23776">
              <w:t xml:space="preserve"> heritage,</w:t>
            </w:r>
            <w:r w:rsidRPr="00E23776">
              <w:t xml:space="preserve"> perspectives and cultural expressions.</w:t>
            </w:r>
          </w:p>
        </w:tc>
      </w:tr>
      <w:tr w:rsidR="000B3683" w:rsidRPr="00E23776" w14:paraId="462E274D"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43" w:type="dxa"/>
            <w:vMerge/>
          </w:tcPr>
          <w:p w14:paraId="0D72C8F2" w14:textId="77777777" w:rsidR="000B3683" w:rsidRPr="00E23776" w:rsidRDefault="000B3683" w:rsidP="00E23776"/>
        </w:tc>
        <w:tc>
          <w:tcPr>
            <w:tcW w:w="8107" w:type="dxa"/>
          </w:tcPr>
          <w:p w14:paraId="7E376B5D" w14:textId="42A7B7CD"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terminology</w:t>
            </w:r>
          </w:p>
          <w:p w14:paraId="0793A503" w14:textId="3270B4EB" w:rsidR="000B3683" w:rsidRPr="00E23776" w:rsidRDefault="007A2B1D" w:rsidP="00E23776">
            <w:pPr>
              <w:cnfStyle w:val="000000000000" w:firstRow="0" w:lastRow="0" w:firstColumn="0" w:lastColumn="0" w:oddVBand="0" w:evenVBand="0" w:oddHBand="0" w:evenHBand="0" w:firstRowFirstColumn="0" w:firstRowLastColumn="0" w:lastRowFirstColumn="0" w:lastRowLastColumn="0"/>
            </w:pPr>
            <w:r w:rsidRPr="00E23776">
              <w:t>Uses limited culturally responsive terminology to develop mostly brief or irrelevant responses.</w:t>
            </w:r>
          </w:p>
        </w:tc>
      </w:tr>
      <w:tr w:rsidR="000B3683" w:rsidRPr="00E23776" w14:paraId="2499C417"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43" w:type="dxa"/>
            <w:vMerge/>
          </w:tcPr>
          <w:p w14:paraId="73A68C30" w14:textId="77777777" w:rsidR="000B3683" w:rsidRPr="00E23776" w:rsidRDefault="000B3683" w:rsidP="00E23776"/>
        </w:tc>
        <w:tc>
          <w:tcPr>
            <w:tcW w:w="8107" w:type="dxa"/>
          </w:tcPr>
          <w:p w14:paraId="2E06EE18" w14:textId="77777777"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rPr>
                <w:b/>
                <w:bCs/>
              </w:rPr>
            </w:pPr>
            <w:r w:rsidRPr="00E23776">
              <w:rPr>
                <w:b/>
                <w:bCs/>
              </w:rPr>
              <w:t>Intercultural skills</w:t>
            </w:r>
          </w:p>
          <w:p w14:paraId="5AE8E1AA" w14:textId="77777777"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pPr>
            <w:r w:rsidRPr="00E23776">
              <w:t>States personal opinions using limited or inaccurate evidence, with little or no acknowledgement of different perspectives.</w:t>
            </w:r>
          </w:p>
          <w:p w14:paraId="575CF7C2" w14:textId="2DE46358" w:rsidR="000B3683" w:rsidRPr="00E23776" w:rsidRDefault="007A2B1D" w:rsidP="00E23776">
            <w:pPr>
              <w:cnfStyle w:val="000000000000" w:firstRow="0" w:lastRow="0" w:firstColumn="0" w:lastColumn="0" w:oddVBand="0" w:evenVBand="0" w:oddHBand="0" w:evenHBand="0" w:firstRowFirstColumn="0" w:firstRowLastColumn="0" w:lastRowFirstColumn="0" w:lastRowLastColumn="0"/>
            </w:pPr>
            <w:r w:rsidRPr="00E23776">
              <w:t>Uses limited culturally responsive sources and applies limited and/or inaccurate referencing techniques when conducting inquiries.</w:t>
            </w:r>
          </w:p>
        </w:tc>
      </w:tr>
    </w:tbl>
    <w:p w14:paraId="3A046E70" w14:textId="77777777" w:rsidR="007766C5" w:rsidRPr="00E23776" w:rsidRDefault="007766C5" w:rsidP="00E23776">
      <w:pPr>
        <w:spacing w:after="0"/>
      </w:pPr>
    </w:p>
    <w:tbl>
      <w:tblPr>
        <w:tblStyle w:val="SCSASyllabusGradeDescriptionsTable"/>
        <w:tblW w:w="5000" w:type="pct"/>
        <w:tblLook w:val="00A0" w:firstRow="1" w:lastRow="0" w:firstColumn="1" w:lastColumn="0" w:noHBand="0" w:noVBand="0"/>
      </w:tblPr>
      <w:tblGrid>
        <w:gridCol w:w="941"/>
        <w:gridCol w:w="8119"/>
      </w:tblGrid>
      <w:tr w:rsidR="007A2B1D" w:rsidRPr="001C0110" w14:paraId="6FFA8C85" w14:textId="77777777" w:rsidTr="00E23776">
        <w:trPr>
          <w:trHeight w:val="23"/>
        </w:trPr>
        <w:tc>
          <w:tcPr>
            <w:cnfStyle w:val="001000000000" w:firstRow="0" w:lastRow="0" w:firstColumn="1" w:lastColumn="0" w:oddVBand="0" w:evenVBand="0" w:oddHBand="0" w:evenHBand="0" w:firstRowFirstColumn="0" w:firstRowLastColumn="0" w:lastRowFirstColumn="0" w:lastRowLastColumn="0"/>
            <w:tcW w:w="993" w:type="dxa"/>
          </w:tcPr>
          <w:p w14:paraId="570D8E7C" w14:textId="77777777" w:rsidR="007A2B1D" w:rsidRPr="00E23776" w:rsidRDefault="007A2B1D" w:rsidP="00E23776">
            <w:r w:rsidRPr="00E23776">
              <w:t>E</w:t>
            </w:r>
          </w:p>
        </w:tc>
        <w:tc>
          <w:tcPr>
            <w:tcW w:w="8788" w:type="dxa"/>
          </w:tcPr>
          <w:p w14:paraId="3E20160B" w14:textId="47044D01" w:rsidR="007A2B1D" w:rsidRPr="00E23776" w:rsidRDefault="007A2B1D" w:rsidP="00E23776">
            <w:pPr>
              <w:cnfStyle w:val="000000000000" w:firstRow="0" w:lastRow="0" w:firstColumn="0" w:lastColumn="0" w:oddVBand="0" w:evenVBand="0" w:oddHBand="0" w:evenHBand="0" w:firstRowFirstColumn="0" w:firstRowLastColumn="0" w:lastRowFirstColumn="0" w:lastRowLastColumn="0"/>
            </w:pPr>
            <w:r w:rsidRPr="00E23776">
              <w:t>Does not meet the requirements of a D grade and/or has completed insufficient assessment tasks to be assigned a higher grade.</w:t>
            </w:r>
          </w:p>
        </w:tc>
      </w:tr>
    </w:tbl>
    <w:bookmarkEnd w:id="75"/>
    <w:p w14:paraId="3304178B" w14:textId="4BA64873" w:rsidR="00F60205" w:rsidRPr="00CE6E4D" w:rsidRDefault="00C34F17" w:rsidP="003D138B">
      <w:pPr>
        <w:spacing w:before="120" w:after="0"/>
      </w:pPr>
      <w:r w:rsidRPr="00CE6E4D">
        <w:t>These grade descriptions will be reviewed at the end of the second year of implementation of this syllabus.</w:t>
      </w:r>
    </w:p>
    <w:p w14:paraId="3DD2662B" w14:textId="77777777" w:rsidR="00E3783B" w:rsidRDefault="00E3783B" w:rsidP="00593876">
      <w:pPr>
        <w:sectPr w:rsidR="00E3783B" w:rsidSect="00D66B40">
          <w:headerReference w:type="even" r:id="rId20"/>
          <w:headerReference w:type="default" r:id="rId21"/>
          <w:footerReference w:type="even" r:id="rId22"/>
          <w:footerReference w:type="default" r:id="rId23"/>
          <w:type w:val="oddPage"/>
          <w:pgSz w:w="11906" w:h="16838"/>
          <w:pgMar w:top="1644" w:right="1418" w:bottom="1276" w:left="1418" w:header="680" w:footer="567" w:gutter="0"/>
          <w:pgNumType w:start="1"/>
          <w:cols w:space="709"/>
          <w:docGrid w:linePitch="360"/>
        </w:sectPr>
      </w:pPr>
    </w:p>
    <w:p w14:paraId="576CE462" w14:textId="0F796CAC" w:rsidR="00416C3D" w:rsidRPr="00A93F91" w:rsidRDefault="00A85697" w:rsidP="00593876">
      <w:r w:rsidRPr="00BF6F9A">
        <w:rPr>
          <w:noProof/>
          <w:lang w:eastAsia="en-AU" w:bidi="hi-IN"/>
        </w:rPr>
        <w:drawing>
          <wp:anchor distT="0" distB="0" distL="114300" distR="114300" simplePos="0" relativeHeight="251659264" behindDoc="0" locked="0" layoutInCell="1" allowOverlap="1" wp14:anchorId="15253C7D" wp14:editId="5417B08F">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93F91" w:rsidSect="00D22FFB">
      <w:headerReference w:type="even" r:id="rId25"/>
      <w:headerReference w:type="default" r:id="rId26"/>
      <w:footerReference w:type="even" r:id="rId27"/>
      <w:footerReference w:type="default" r:id="rId28"/>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4B49" w14:textId="77777777" w:rsidR="00853B9F" w:rsidRDefault="00853B9F" w:rsidP="00742128">
      <w:pPr>
        <w:spacing w:after="0" w:line="240" w:lineRule="auto"/>
      </w:pPr>
      <w:r>
        <w:separator/>
      </w:r>
    </w:p>
  </w:endnote>
  <w:endnote w:type="continuationSeparator" w:id="0">
    <w:p w14:paraId="6367D8E8" w14:textId="77777777" w:rsidR="00853B9F" w:rsidRDefault="00853B9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6E4E" w14:textId="1D578808" w:rsidR="002C7AF8" w:rsidRPr="00AC1C10" w:rsidRDefault="00263DEE" w:rsidP="00AC1C10">
    <w:pPr>
      <w:pStyle w:val="SCSAFootereven"/>
    </w:pPr>
    <w:r w:rsidRPr="00263DEE">
      <w:t>202</w:t>
    </w:r>
    <w:r w:rsidR="003123B9">
      <w:t>3</w:t>
    </w:r>
    <w:r w:rsidRPr="00263DEE">
      <w:t>/</w:t>
    </w:r>
    <w:r w:rsidR="003123B9">
      <w:t>47086[v</w:t>
    </w:r>
    <w:r w:rsidR="00E54E88">
      <w:t>8</w:t>
    </w:r>
    <w:r w:rsidR="003123B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B004" w14:textId="7FD67EB6" w:rsidR="00AC1C10" w:rsidRPr="00AC1C10" w:rsidRDefault="00AC1C10" w:rsidP="00AC1C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E4C4" w14:textId="77777777" w:rsidR="00AC1C10" w:rsidRPr="00AC1C10" w:rsidRDefault="00AC1C10" w:rsidP="00AC1C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EE2" w14:textId="4A4D2DBD" w:rsidR="00F05586" w:rsidRPr="00AC1C10" w:rsidRDefault="00F05586" w:rsidP="00AC1C10">
    <w:pPr>
      <w:pStyle w:val="SCSAFootereven"/>
    </w:pPr>
    <w:r w:rsidRPr="00AC1C10">
      <w:t>Aboriginal and Intercultural Studies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BC4B" w14:textId="77777777" w:rsidR="00F05586" w:rsidRPr="003C059B" w:rsidRDefault="00F05586" w:rsidP="00AC1C10">
    <w:pPr>
      <w:pStyle w:val="SCSAFooterodd"/>
    </w:pPr>
    <w:r w:rsidRPr="00B766C7">
      <w:t xml:space="preserve">Aboriginal and </w:t>
    </w:r>
    <w:r w:rsidRPr="00AC1C10">
      <w:t>Intercultural</w:t>
    </w:r>
    <w:r w:rsidRPr="00B766C7">
      <w:t xml:space="preserve"> Studies</w:t>
    </w:r>
    <w:r>
      <w:t xml:space="preserve"> | ATAR | </w:t>
    </w:r>
    <w:r w:rsidRPr="00E32B4F">
      <w:t>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956" w14:textId="3379512F" w:rsidR="00D22FFB" w:rsidRPr="00D22FFB" w:rsidRDefault="00D22FFB" w:rsidP="00D22FF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08CA" w14:textId="771829D6" w:rsidR="00D22FFB" w:rsidRPr="00D22FFB" w:rsidRDefault="00D22FFB" w:rsidP="00D22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26D" w14:textId="77777777" w:rsidR="00853B9F" w:rsidRDefault="00853B9F" w:rsidP="00742128">
      <w:pPr>
        <w:spacing w:after="0" w:line="240" w:lineRule="auto"/>
      </w:pPr>
      <w:r>
        <w:separator/>
      </w:r>
    </w:p>
  </w:footnote>
  <w:footnote w:type="continuationSeparator" w:id="0">
    <w:p w14:paraId="7BBCF039" w14:textId="77777777" w:rsidR="00853B9F" w:rsidRDefault="00853B9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8AD5" w14:textId="77777777" w:rsidR="00AC1C10" w:rsidRPr="00AC1C10" w:rsidRDefault="00AC1C10" w:rsidP="00AC1C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E72" w14:textId="77777777" w:rsidR="00AC1C10" w:rsidRPr="00AC1C10" w:rsidRDefault="00AC1C10" w:rsidP="00AC1C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A77" w14:textId="439D14CC" w:rsidR="00F05586" w:rsidRPr="00AC1C10" w:rsidRDefault="00F05586" w:rsidP="00AC1C10">
    <w:pPr>
      <w:pStyle w:val="SCSAHeadereven"/>
    </w:pPr>
    <w:r w:rsidRPr="002C7AF8">
      <w:fldChar w:fldCharType="begin"/>
    </w:r>
    <w:r w:rsidRPr="002C7AF8">
      <w:instrText xml:space="preserve"> PAGE </w:instrText>
    </w:r>
    <w:r w:rsidRPr="002C7AF8">
      <w:fldChar w:fldCharType="separate"/>
    </w:r>
    <w:r w:rsidRPr="002C7AF8">
      <w:t>2</w:t>
    </w:r>
    <w:r w:rsidRPr="002C7AF8">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FAA5" w14:textId="004A75FD" w:rsidR="00F05586" w:rsidRPr="002C7AF8" w:rsidRDefault="00F05586" w:rsidP="00AC1C10">
    <w:pPr>
      <w:pStyle w:val="SCSAHeaderodd"/>
    </w:pPr>
    <w:r w:rsidRPr="002C7AF8">
      <w:fldChar w:fldCharType="begin"/>
    </w:r>
    <w:r w:rsidRPr="002C7AF8">
      <w:instrText xml:space="preserve"> PAGE </w:instrText>
    </w:r>
    <w:r w:rsidRPr="002C7AF8">
      <w:fldChar w:fldCharType="separate"/>
    </w:r>
    <w:r w:rsidRPr="002C7AF8">
      <w:t>2</w:t>
    </w:r>
    <w:r w:rsidRPr="002C7AF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EDAB" w14:textId="7820AA42" w:rsidR="00D22FFB" w:rsidRPr="00D22FFB" w:rsidRDefault="00D22FFB" w:rsidP="00D22F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7B94" w14:textId="6BFCAC69" w:rsidR="00D22FFB" w:rsidRPr="00D22FFB" w:rsidRDefault="00D22FFB" w:rsidP="00D22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11"/>
    <w:multiLevelType w:val="multilevel"/>
    <w:tmpl w:val="762853C8"/>
    <w:numStyleLink w:val="SCSABulletList"/>
  </w:abstractNum>
  <w:abstractNum w:abstractNumId="1" w15:restartNumberingAfterBreak="0">
    <w:nsid w:val="05AD6B43"/>
    <w:multiLevelType w:val="multilevel"/>
    <w:tmpl w:val="762853C8"/>
    <w:numStyleLink w:val="SCSABulletList"/>
  </w:abstractNum>
  <w:abstractNum w:abstractNumId="2" w15:restartNumberingAfterBreak="0">
    <w:nsid w:val="0C1246D4"/>
    <w:multiLevelType w:val="multilevel"/>
    <w:tmpl w:val="762853C8"/>
    <w:numStyleLink w:val="SCSABulletList"/>
  </w:abstractNum>
  <w:abstractNum w:abstractNumId="3" w15:restartNumberingAfterBreak="0">
    <w:nsid w:val="14E955C6"/>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B971679"/>
    <w:multiLevelType w:val="multilevel"/>
    <w:tmpl w:val="762853C8"/>
    <w:numStyleLink w:val="SCSABulletList"/>
  </w:abstractNum>
  <w:abstractNum w:abstractNumId="6" w15:restartNumberingAfterBreak="0">
    <w:nsid w:val="1D086760"/>
    <w:multiLevelType w:val="multilevel"/>
    <w:tmpl w:val="762853C8"/>
    <w:numStyleLink w:val="SCSABulletList"/>
  </w:abstractNum>
  <w:abstractNum w:abstractNumId="7" w15:restartNumberingAfterBreak="0">
    <w:nsid w:val="28CD68B2"/>
    <w:multiLevelType w:val="multilevel"/>
    <w:tmpl w:val="762853C8"/>
    <w:numStyleLink w:val="SCSABulletList"/>
  </w:abstractNum>
  <w:abstractNum w:abstractNumId="8" w15:restartNumberingAfterBreak="0">
    <w:nsid w:val="334647F9"/>
    <w:multiLevelType w:val="multilevel"/>
    <w:tmpl w:val="762853C8"/>
    <w:numStyleLink w:val="SCSABulletList"/>
  </w:abstractNum>
  <w:abstractNum w:abstractNumId="9" w15:restartNumberingAfterBreak="0">
    <w:nsid w:val="34CC45B2"/>
    <w:multiLevelType w:val="multilevel"/>
    <w:tmpl w:val="762853C8"/>
    <w:numStyleLink w:val="SCSABulletList"/>
  </w:abstractNum>
  <w:abstractNum w:abstractNumId="10" w15:restartNumberingAfterBreak="0">
    <w:nsid w:val="356A72A5"/>
    <w:multiLevelType w:val="multilevel"/>
    <w:tmpl w:val="762853C8"/>
    <w:numStyleLink w:val="SCSABulletList"/>
  </w:abstractNum>
  <w:abstractNum w:abstractNumId="11" w15:restartNumberingAfterBreak="0">
    <w:nsid w:val="386957EA"/>
    <w:multiLevelType w:val="multilevel"/>
    <w:tmpl w:val="762853C8"/>
    <w:numStyleLink w:val="SCSABulletList"/>
  </w:abstractNum>
  <w:abstractNum w:abstractNumId="12" w15:restartNumberingAfterBreak="0">
    <w:nsid w:val="3B7E1698"/>
    <w:multiLevelType w:val="multilevel"/>
    <w:tmpl w:val="762853C8"/>
    <w:numStyleLink w:val="SCSABulletList"/>
  </w:abstractNum>
  <w:abstractNum w:abstractNumId="13" w15:restartNumberingAfterBreak="0">
    <w:nsid w:val="3E51749C"/>
    <w:multiLevelType w:val="multilevel"/>
    <w:tmpl w:val="762853C8"/>
    <w:numStyleLink w:val="SCSABulletList"/>
  </w:abstractNum>
  <w:abstractNum w:abstractNumId="14" w15:restartNumberingAfterBreak="0">
    <w:nsid w:val="47EE2ED4"/>
    <w:multiLevelType w:val="multilevel"/>
    <w:tmpl w:val="762853C8"/>
    <w:numStyleLink w:val="SCSABulletList"/>
  </w:abstractNum>
  <w:abstractNum w:abstractNumId="15" w15:restartNumberingAfterBreak="0">
    <w:nsid w:val="49EB0220"/>
    <w:multiLevelType w:val="multilevel"/>
    <w:tmpl w:val="762853C8"/>
    <w:numStyleLink w:val="SCSABulletList"/>
  </w:abstractNum>
  <w:abstractNum w:abstractNumId="16" w15:restartNumberingAfterBreak="0">
    <w:nsid w:val="52CB7802"/>
    <w:multiLevelType w:val="multilevel"/>
    <w:tmpl w:val="762853C8"/>
    <w:numStyleLink w:val="SCSABulletList"/>
  </w:abstractNum>
  <w:abstractNum w:abstractNumId="17" w15:restartNumberingAfterBreak="0">
    <w:nsid w:val="5563746E"/>
    <w:multiLevelType w:val="multilevel"/>
    <w:tmpl w:val="762853C8"/>
    <w:numStyleLink w:val="SCSABulletList"/>
  </w:abstractNum>
  <w:abstractNum w:abstractNumId="18" w15:restartNumberingAfterBreak="0">
    <w:nsid w:val="566D68E9"/>
    <w:multiLevelType w:val="multilevel"/>
    <w:tmpl w:val="762853C8"/>
    <w:numStyleLink w:val="SCSABulletList"/>
  </w:abstractNum>
  <w:abstractNum w:abstractNumId="19" w15:restartNumberingAfterBreak="0">
    <w:nsid w:val="5E4D6749"/>
    <w:multiLevelType w:val="multilevel"/>
    <w:tmpl w:val="762853C8"/>
    <w:numStyleLink w:val="SCSABulletList"/>
  </w:abstractNum>
  <w:abstractNum w:abstractNumId="20" w15:restartNumberingAfterBreak="0">
    <w:nsid w:val="61357F3B"/>
    <w:multiLevelType w:val="multilevel"/>
    <w:tmpl w:val="762853C8"/>
    <w:numStyleLink w:val="SCSABulletList"/>
  </w:abstractNum>
  <w:abstractNum w:abstractNumId="21" w15:restartNumberingAfterBreak="0">
    <w:nsid w:val="63213898"/>
    <w:multiLevelType w:val="multilevel"/>
    <w:tmpl w:val="762853C8"/>
    <w:numStyleLink w:val="SCSABulletList"/>
  </w:abstractNum>
  <w:abstractNum w:abstractNumId="22" w15:restartNumberingAfterBreak="0">
    <w:nsid w:val="66760D5A"/>
    <w:multiLevelType w:val="multilevel"/>
    <w:tmpl w:val="762853C8"/>
    <w:numStyleLink w:val="SCSABulletList"/>
  </w:abstractNum>
  <w:abstractNum w:abstractNumId="23"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CA6FF5"/>
    <w:multiLevelType w:val="multilevel"/>
    <w:tmpl w:val="762853C8"/>
    <w:numStyleLink w:val="SCSABulletList"/>
  </w:abstractNum>
  <w:abstractNum w:abstractNumId="25" w15:restartNumberingAfterBreak="0">
    <w:nsid w:val="711D244D"/>
    <w:multiLevelType w:val="multilevel"/>
    <w:tmpl w:val="762853C8"/>
    <w:numStyleLink w:val="SCSABulletList"/>
  </w:abstractNum>
  <w:abstractNum w:abstractNumId="26"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B706EE"/>
    <w:multiLevelType w:val="multilevel"/>
    <w:tmpl w:val="762853C8"/>
    <w:numStyleLink w:val="SCSABulletList"/>
  </w:abstractNum>
  <w:num w:numId="1" w16cid:durableId="366104368">
    <w:abstractNumId w:val="4"/>
  </w:num>
  <w:num w:numId="2" w16cid:durableId="1261907606">
    <w:abstractNumId w:val="24"/>
  </w:num>
  <w:num w:numId="3" w16cid:durableId="154540191">
    <w:abstractNumId w:val="8"/>
  </w:num>
  <w:num w:numId="4" w16cid:durableId="1956207031">
    <w:abstractNumId w:val="2"/>
  </w:num>
  <w:num w:numId="5" w16cid:durableId="1808627509">
    <w:abstractNumId w:val="25"/>
  </w:num>
  <w:num w:numId="6" w16cid:durableId="464741110">
    <w:abstractNumId w:val="17"/>
  </w:num>
  <w:num w:numId="7" w16cid:durableId="902982738">
    <w:abstractNumId w:val="21"/>
  </w:num>
  <w:num w:numId="8" w16cid:durableId="1210412235">
    <w:abstractNumId w:val="27"/>
  </w:num>
  <w:num w:numId="9" w16cid:durableId="642463304">
    <w:abstractNumId w:val="6"/>
  </w:num>
  <w:num w:numId="10" w16cid:durableId="1388534211">
    <w:abstractNumId w:val="16"/>
  </w:num>
  <w:num w:numId="11" w16cid:durableId="2115635271">
    <w:abstractNumId w:val="11"/>
  </w:num>
  <w:num w:numId="12" w16cid:durableId="1664696171">
    <w:abstractNumId w:val="5"/>
  </w:num>
  <w:num w:numId="13" w16cid:durableId="276257952">
    <w:abstractNumId w:val="13"/>
  </w:num>
  <w:num w:numId="14" w16cid:durableId="124197656">
    <w:abstractNumId w:val="7"/>
  </w:num>
  <w:num w:numId="15" w16cid:durableId="553540752">
    <w:abstractNumId w:val="14"/>
  </w:num>
  <w:num w:numId="16" w16cid:durableId="1139688435">
    <w:abstractNumId w:val="1"/>
  </w:num>
  <w:num w:numId="17" w16cid:durableId="64572145">
    <w:abstractNumId w:val="10"/>
  </w:num>
  <w:num w:numId="18" w16cid:durableId="2055612886">
    <w:abstractNumId w:val="9"/>
  </w:num>
  <w:num w:numId="19" w16cid:durableId="1043287867">
    <w:abstractNumId w:val="20"/>
  </w:num>
  <w:num w:numId="20" w16cid:durableId="436605094">
    <w:abstractNumId w:val="18"/>
  </w:num>
  <w:num w:numId="21" w16cid:durableId="373775611">
    <w:abstractNumId w:val="19"/>
  </w:num>
  <w:num w:numId="22" w16cid:durableId="85156209">
    <w:abstractNumId w:val="22"/>
  </w:num>
  <w:num w:numId="23" w16cid:durableId="1712067808">
    <w:abstractNumId w:val="0"/>
  </w:num>
  <w:num w:numId="24" w16cid:durableId="1454865816">
    <w:abstractNumId w:val="3"/>
  </w:num>
  <w:num w:numId="25" w16cid:durableId="2077193685">
    <w:abstractNumId w:val="12"/>
  </w:num>
  <w:num w:numId="26" w16cid:durableId="658070936">
    <w:abstractNumId w:val="15"/>
  </w:num>
  <w:num w:numId="27" w16cid:durableId="1301421984">
    <w:abstractNumId w:val="23"/>
  </w:num>
  <w:num w:numId="28" w16cid:durableId="11183060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2DD"/>
    <w:rsid w:val="0000213F"/>
    <w:rsid w:val="00002F36"/>
    <w:rsid w:val="0000317C"/>
    <w:rsid w:val="00003459"/>
    <w:rsid w:val="0000345F"/>
    <w:rsid w:val="00006696"/>
    <w:rsid w:val="00006C27"/>
    <w:rsid w:val="00007E22"/>
    <w:rsid w:val="0001040B"/>
    <w:rsid w:val="00013CC4"/>
    <w:rsid w:val="00015DDE"/>
    <w:rsid w:val="00016BD4"/>
    <w:rsid w:val="0001727E"/>
    <w:rsid w:val="00017D9C"/>
    <w:rsid w:val="0002336A"/>
    <w:rsid w:val="00023D45"/>
    <w:rsid w:val="00023E2B"/>
    <w:rsid w:val="00024E9D"/>
    <w:rsid w:val="00031C11"/>
    <w:rsid w:val="00032340"/>
    <w:rsid w:val="000332F3"/>
    <w:rsid w:val="0003569A"/>
    <w:rsid w:val="00036A92"/>
    <w:rsid w:val="00036F9A"/>
    <w:rsid w:val="000370E0"/>
    <w:rsid w:val="00042661"/>
    <w:rsid w:val="00043A39"/>
    <w:rsid w:val="00044FDD"/>
    <w:rsid w:val="000509CD"/>
    <w:rsid w:val="0005135D"/>
    <w:rsid w:val="00054DF2"/>
    <w:rsid w:val="0005533C"/>
    <w:rsid w:val="00057D33"/>
    <w:rsid w:val="0006007F"/>
    <w:rsid w:val="000660CC"/>
    <w:rsid w:val="00073439"/>
    <w:rsid w:val="00073F49"/>
    <w:rsid w:val="00075F28"/>
    <w:rsid w:val="00076AF9"/>
    <w:rsid w:val="00080A2D"/>
    <w:rsid w:val="0008142C"/>
    <w:rsid w:val="000824D9"/>
    <w:rsid w:val="00082A26"/>
    <w:rsid w:val="000830BD"/>
    <w:rsid w:val="00084A54"/>
    <w:rsid w:val="00085237"/>
    <w:rsid w:val="00085626"/>
    <w:rsid w:val="00085F8F"/>
    <w:rsid w:val="000871B7"/>
    <w:rsid w:val="0009024C"/>
    <w:rsid w:val="0009076A"/>
    <w:rsid w:val="00093187"/>
    <w:rsid w:val="000933B2"/>
    <w:rsid w:val="000941B0"/>
    <w:rsid w:val="00095CD6"/>
    <w:rsid w:val="0009614D"/>
    <w:rsid w:val="000971DD"/>
    <w:rsid w:val="000A60A0"/>
    <w:rsid w:val="000A60CB"/>
    <w:rsid w:val="000A6A7C"/>
    <w:rsid w:val="000A6ABE"/>
    <w:rsid w:val="000A7B41"/>
    <w:rsid w:val="000B1044"/>
    <w:rsid w:val="000B10DA"/>
    <w:rsid w:val="000B1346"/>
    <w:rsid w:val="000B16A8"/>
    <w:rsid w:val="000B3683"/>
    <w:rsid w:val="000B4EF4"/>
    <w:rsid w:val="000C1262"/>
    <w:rsid w:val="000C209A"/>
    <w:rsid w:val="000C4411"/>
    <w:rsid w:val="000C60E9"/>
    <w:rsid w:val="000C63F4"/>
    <w:rsid w:val="000C6659"/>
    <w:rsid w:val="000D0EFF"/>
    <w:rsid w:val="000D15D8"/>
    <w:rsid w:val="000D2BE0"/>
    <w:rsid w:val="000D3832"/>
    <w:rsid w:val="000D4735"/>
    <w:rsid w:val="000D5203"/>
    <w:rsid w:val="000D5EED"/>
    <w:rsid w:val="000D689A"/>
    <w:rsid w:val="000E1A59"/>
    <w:rsid w:val="000E2035"/>
    <w:rsid w:val="000E218B"/>
    <w:rsid w:val="000E32D9"/>
    <w:rsid w:val="000F048C"/>
    <w:rsid w:val="000F07DB"/>
    <w:rsid w:val="000F0978"/>
    <w:rsid w:val="000F11CC"/>
    <w:rsid w:val="000F404F"/>
    <w:rsid w:val="000F6D17"/>
    <w:rsid w:val="000F729D"/>
    <w:rsid w:val="00100C85"/>
    <w:rsid w:val="00101994"/>
    <w:rsid w:val="00104329"/>
    <w:rsid w:val="001051EF"/>
    <w:rsid w:val="0010526A"/>
    <w:rsid w:val="00106FB9"/>
    <w:rsid w:val="00107B8D"/>
    <w:rsid w:val="00112118"/>
    <w:rsid w:val="00112932"/>
    <w:rsid w:val="001176E8"/>
    <w:rsid w:val="001200AC"/>
    <w:rsid w:val="00120671"/>
    <w:rsid w:val="0012087B"/>
    <w:rsid w:val="001243D8"/>
    <w:rsid w:val="0012754D"/>
    <w:rsid w:val="0013065D"/>
    <w:rsid w:val="0013092D"/>
    <w:rsid w:val="00130AFE"/>
    <w:rsid w:val="00130B03"/>
    <w:rsid w:val="00131E4D"/>
    <w:rsid w:val="0013465E"/>
    <w:rsid w:val="00136547"/>
    <w:rsid w:val="00141089"/>
    <w:rsid w:val="001451B9"/>
    <w:rsid w:val="00146160"/>
    <w:rsid w:val="001500B2"/>
    <w:rsid w:val="0015060B"/>
    <w:rsid w:val="0015397F"/>
    <w:rsid w:val="001563B1"/>
    <w:rsid w:val="001567D0"/>
    <w:rsid w:val="00156E20"/>
    <w:rsid w:val="00157BFF"/>
    <w:rsid w:val="00157E06"/>
    <w:rsid w:val="00160379"/>
    <w:rsid w:val="0016144B"/>
    <w:rsid w:val="00163206"/>
    <w:rsid w:val="001635AE"/>
    <w:rsid w:val="0016442C"/>
    <w:rsid w:val="00166FCB"/>
    <w:rsid w:val="00167B9F"/>
    <w:rsid w:val="001702DE"/>
    <w:rsid w:val="00171100"/>
    <w:rsid w:val="00175416"/>
    <w:rsid w:val="0017562F"/>
    <w:rsid w:val="00175C55"/>
    <w:rsid w:val="0017785E"/>
    <w:rsid w:val="001813C7"/>
    <w:rsid w:val="001819D7"/>
    <w:rsid w:val="001866EA"/>
    <w:rsid w:val="00187765"/>
    <w:rsid w:val="00190978"/>
    <w:rsid w:val="00191B6C"/>
    <w:rsid w:val="00192FC7"/>
    <w:rsid w:val="0019340B"/>
    <w:rsid w:val="001936CC"/>
    <w:rsid w:val="001943A4"/>
    <w:rsid w:val="00194F1D"/>
    <w:rsid w:val="001953C6"/>
    <w:rsid w:val="001A04CD"/>
    <w:rsid w:val="001A2500"/>
    <w:rsid w:val="001A39D0"/>
    <w:rsid w:val="001A4D3F"/>
    <w:rsid w:val="001A7DBB"/>
    <w:rsid w:val="001B1383"/>
    <w:rsid w:val="001B699E"/>
    <w:rsid w:val="001B73BA"/>
    <w:rsid w:val="001C0110"/>
    <w:rsid w:val="001C1E2D"/>
    <w:rsid w:val="001C27BD"/>
    <w:rsid w:val="001C3D6C"/>
    <w:rsid w:val="001C543C"/>
    <w:rsid w:val="001D0D3F"/>
    <w:rsid w:val="001D4B3B"/>
    <w:rsid w:val="001D5394"/>
    <w:rsid w:val="001D56E3"/>
    <w:rsid w:val="001D5CDA"/>
    <w:rsid w:val="001D5DAA"/>
    <w:rsid w:val="001D661D"/>
    <w:rsid w:val="001D66F3"/>
    <w:rsid w:val="001D717F"/>
    <w:rsid w:val="001D71EC"/>
    <w:rsid w:val="001D76C5"/>
    <w:rsid w:val="001E20E2"/>
    <w:rsid w:val="001E2D08"/>
    <w:rsid w:val="001F0966"/>
    <w:rsid w:val="001F6411"/>
    <w:rsid w:val="001F76F9"/>
    <w:rsid w:val="002001D8"/>
    <w:rsid w:val="00202436"/>
    <w:rsid w:val="00203FF5"/>
    <w:rsid w:val="00205DE8"/>
    <w:rsid w:val="00207341"/>
    <w:rsid w:val="0021044A"/>
    <w:rsid w:val="00217284"/>
    <w:rsid w:val="00217506"/>
    <w:rsid w:val="00217C4F"/>
    <w:rsid w:val="00220381"/>
    <w:rsid w:val="00221A84"/>
    <w:rsid w:val="00223D1B"/>
    <w:rsid w:val="00224BAC"/>
    <w:rsid w:val="00224EA4"/>
    <w:rsid w:val="0022567D"/>
    <w:rsid w:val="00226274"/>
    <w:rsid w:val="002263DA"/>
    <w:rsid w:val="0023023D"/>
    <w:rsid w:val="00236CFF"/>
    <w:rsid w:val="002375DE"/>
    <w:rsid w:val="00240A97"/>
    <w:rsid w:val="0024363D"/>
    <w:rsid w:val="002451B5"/>
    <w:rsid w:val="00245398"/>
    <w:rsid w:val="00245996"/>
    <w:rsid w:val="00246E52"/>
    <w:rsid w:val="00247037"/>
    <w:rsid w:val="002473B9"/>
    <w:rsid w:val="00250292"/>
    <w:rsid w:val="002509A5"/>
    <w:rsid w:val="002511DD"/>
    <w:rsid w:val="002532DE"/>
    <w:rsid w:val="00253315"/>
    <w:rsid w:val="002533D1"/>
    <w:rsid w:val="00255553"/>
    <w:rsid w:val="0025749C"/>
    <w:rsid w:val="0026063C"/>
    <w:rsid w:val="00263DEE"/>
    <w:rsid w:val="00264DBE"/>
    <w:rsid w:val="0026534A"/>
    <w:rsid w:val="00267595"/>
    <w:rsid w:val="00270163"/>
    <w:rsid w:val="002706B4"/>
    <w:rsid w:val="002728A3"/>
    <w:rsid w:val="0027335A"/>
    <w:rsid w:val="00275384"/>
    <w:rsid w:val="00276221"/>
    <w:rsid w:val="002762D3"/>
    <w:rsid w:val="00281AD1"/>
    <w:rsid w:val="00281B06"/>
    <w:rsid w:val="002833FF"/>
    <w:rsid w:val="00283643"/>
    <w:rsid w:val="00285893"/>
    <w:rsid w:val="00290C4A"/>
    <w:rsid w:val="00291EA6"/>
    <w:rsid w:val="00292731"/>
    <w:rsid w:val="00294F98"/>
    <w:rsid w:val="00297207"/>
    <w:rsid w:val="00297BBB"/>
    <w:rsid w:val="002A25BC"/>
    <w:rsid w:val="002A29CA"/>
    <w:rsid w:val="002A460B"/>
    <w:rsid w:val="002A471E"/>
    <w:rsid w:val="002A5DDD"/>
    <w:rsid w:val="002A77A2"/>
    <w:rsid w:val="002B18B6"/>
    <w:rsid w:val="002B1A9E"/>
    <w:rsid w:val="002B3FC1"/>
    <w:rsid w:val="002B519D"/>
    <w:rsid w:val="002B5511"/>
    <w:rsid w:val="002B57DA"/>
    <w:rsid w:val="002B6D80"/>
    <w:rsid w:val="002B6FEE"/>
    <w:rsid w:val="002B79DF"/>
    <w:rsid w:val="002C05E5"/>
    <w:rsid w:val="002C09C4"/>
    <w:rsid w:val="002C11EC"/>
    <w:rsid w:val="002C61E6"/>
    <w:rsid w:val="002C7AF8"/>
    <w:rsid w:val="002D01AF"/>
    <w:rsid w:val="002D57AD"/>
    <w:rsid w:val="002D5F35"/>
    <w:rsid w:val="002D65F7"/>
    <w:rsid w:val="002D7972"/>
    <w:rsid w:val="002E06EC"/>
    <w:rsid w:val="002E070B"/>
    <w:rsid w:val="002E32FD"/>
    <w:rsid w:val="002E78F4"/>
    <w:rsid w:val="002F002A"/>
    <w:rsid w:val="002F186E"/>
    <w:rsid w:val="002F3A83"/>
    <w:rsid w:val="002F5334"/>
    <w:rsid w:val="003014A6"/>
    <w:rsid w:val="00304684"/>
    <w:rsid w:val="00304E41"/>
    <w:rsid w:val="00305496"/>
    <w:rsid w:val="0030608A"/>
    <w:rsid w:val="00306C56"/>
    <w:rsid w:val="00307855"/>
    <w:rsid w:val="00312156"/>
    <w:rsid w:val="00312298"/>
    <w:rsid w:val="003123B9"/>
    <w:rsid w:val="00312828"/>
    <w:rsid w:val="00315B44"/>
    <w:rsid w:val="00315E51"/>
    <w:rsid w:val="00317833"/>
    <w:rsid w:val="00317C40"/>
    <w:rsid w:val="0032037A"/>
    <w:rsid w:val="00322A21"/>
    <w:rsid w:val="00326242"/>
    <w:rsid w:val="003264C8"/>
    <w:rsid w:val="00326C95"/>
    <w:rsid w:val="00327665"/>
    <w:rsid w:val="003300ED"/>
    <w:rsid w:val="00330C46"/>
    <w:rsid w:val="0033404A"/>
    <w:rsid w:val="00335377"/>
    <w:rsid w:val="00336B68"/>
    <w:rsid w:val="00341EC9"/>
    <w:rsid w:val="00342C31"/>
    <w:rsid w:val="00343469"/>
    <w:rsid w:val="003455D3"/>
    <w:rsid w:val="00347970"/>
    <w:rsid w:val="00352DF8"/>
    <w:rsid w:val="00353016"/>
    <w:rsid w:val="0035512C"/>
    <w:rsid w:val="00357F49"/>
    <w:rsid w:val="00361496"/>
    <w:rsid w:val="0036440F"/>
    <w:rsid w:val="00364BF8"/>
    <w:rsid w:val="003668C3"/>
    <w:rsid w:val="00383597"/>
    <w:rsid w:val="00384076"/>
    <w:rsid w:val="00385410"/>
    <w:rsid w:val="00385595"/>
    <w:rsid w:val="00385D9E"/>
    <w:rsid w:val="0038634F"/>
    <w:rsid w:val="0038711C"/>
    <w:rsid w:val="0038797E"/>
    <w:rsid w:val="003906C9"/>
    <w:rsid w:val="00390A28"/>
    <w:rsid w:val="00391507"/>
    <w:rsid w:val="0039509D"/>
    <w:rsid w:val="0039616F"/>
    <w:rsid w:val="003A1928"/>
    <w:rsid w:val="003A2EB4"/>
    <w:rsid w:val="003A3D29"/>
    <w:rsid w:val="003A5B29"/>
    <w:rsid w:val="003A621E"/>
    <w:rsid w:val="003A6CF6"/>
    <w:rsid w:val="003A6F8D"/>
    <w:rsid w:val="003A72F6"/>
    <w:rsid w:val="003B06FE"/>
    <w:rsid w:val="003B1A32"/>
    <w:rsid w:val="003B39F6"/>
    <w:rsid w:val="003B5D2A"/>
    <w:rsid w:val="003B7B5E"/>
    <w:rsid w:val="003C0558"/>
    <w:rsid w:val="003C059B"/>
    <w:rsid w:val="003C078F"/>
    <w:rsid w:val="003C0879"/>
    <w:rsid w:val="003C73C8"/>
    <w:rsid w:val="003D0829"/>
    <w:rsid w:val="003D138B"/>
    <w:rsid w:val="003D1C45"/>
    <w:rsid w:val="003D2071"/>
    <w:rsid w:val="003D2A3C"/>
    <w:rsid w:val="003D3CBD"/>
    <w:rsid w:val="003D3E71"/>
    <w:rsid w:val="003D5B34"/>
    <w:rsid w:val="003D667A"/>
    <w:rsid w:val="003D73F2"/>
    <w:rsid w:val="003E056E"/>
    <w:rsid w:val="003E18AF"/>
    <w:rsid w:val="003E2A4B"/>
    <w:rsid w:val="003E2A71"/>
    <w:rsid w:val="003E2EBE"/>
    <w:rsid w:val="003E394E"/>
    <w:rsid w:val="003E60FF"/>
    <w:rsid w:val="003E6BC2"/>
    <w:rsid w:val="003E6DB6"/>
    <w:rsid w:val="003F0EBF"/>
    <w:rsid w:val="003F1C41"/>
    <w:rsid w:val="003F21DD"/>
    <w:rsid w:val="003F2E4D"/>
    <w:rsid w:val="003F46D5"/>
    <w:rsid w:val="003F4E8B"/>
    <w:rsid w:val="003F58B4"/>
    <w:rsid w:val="003F5F8E"/>
    <w:rsid w:val="003F69D0"/>
    <w:rsid w:val="003F6D7D"/>
    <w:rsid w:val="004062B0"/>
    <w:rsid w:val="00406DD6"/>
    <w:rsid w:val="00406E52"/>
    <w:rsid w:val="0040794D"/>
    <w:rsid w:val="00412E85"/>
    <w:rsid w:val="00413B09"/>
    <w:rsid w:val="00413C8C"/>
    <w:rsid w:val="00416C3D"/>
    <w:rsid w:val="00417BEE"/>
    <w:rsid w:val="0042005D"/>
    <w:rsid w:val="00420218"/>
    <w:rsid w:val="00421A8C"/>
    <w:rsid w:val="004227E6"/>
    <w:rsid w:val="00426B9A"/>
    <w:rsid w:val="004304C1"/>
    <w:rsid w:val="00431694"/>
    <w:rsid w:val="004342C7"/>
    <w:rsid w:val="00434AF8"/>
    <w:rsid w:val="00434D6E"/>
    <w:rsid w:val="0043620D"/>
    <w:rsid w:val="00436A62"/>
    <w:rsid w:val="00437780"/>
    <w:rsid w:val="0044131C"/>
    <w:rsid w:val="004434B8"/>
    <w:rsid w:val="00443748"/>
    <w:rsid w:val="00443DC6"/>
    <w:rsid w:val="00444968"/>
    <w:rsid w:val="0044627A"/>
    <w:rsid w:val="004462B1"/>
    <w:rsid w:val="00446AD4"/>
    <w:rsid w:val="00451F33"/>
    <w:rsid w:val="00452FE7"/>
    <w:rsid w:val="004535A4"/>
    <w:rsid w:val="00453732"/>
    <w:rsid w:val="00465F15"/>
    <w:rsid w:val="00466D3C"/>
    <w:rsid w:val="004675A2"/>
    <w:rsid w:val="00470573"/>
    <w:rsid w:val="00473067"/>
    <w:rsid w:val="004750DA"/>
    <w:rsid w:val="0047736F"/>
    <w:rsid w:val="00477591"/>
    <w:rsid w:val="00480983"/>
    <w:rsid w:val="00483981"/>
    <w:rsid w:val="00487734"/>
    <w:rsid w:val="004878B6"/>
    <w:rsid w:val="0049013A"/>
    <w:rsid w:val="00492074"/>
    <w:rsid w:val="00492105"/>
    <w:rsid w:val="00492C50"/>
    <w:rsid w:val="00492EA8"/>
    <w:rsid w:val="0049705D"/>
    <w:rsid w:val="004A00C2"/>
    <w:rsid w:val="004A0EFA"/>
    <w:rsid w:val="004A572A"/>
    <w:rsid w:val="004A5E63"/>
    <w:rsid w:val="004B45CA"/>
    <w:rsid w:val="004B4D92"/>
    <w:rsid w:val="004B51F0"/>
    <w:rsid w:val="004B7DB5"/>
    <w:rsid w:val="004C0AC9"/>
    <w:rsid w:val="004C0FC1"/>
    <w:rsid w:val="004C11FA"/>
    <w:rsid w:val="004C3D18"/>
    <w:rsid w:val="004C4453"/>
    <w:rsid w:val="004C4AA3"/>
    <w:rsid w:val="004C70A5"/>
    <w:rsid w:val="004D072E"/>
    <w:rsid w:val="004D37B4"/>
    <w:rsid w:val="004D5F24"/>
    <w:rsid w:val="004D6BFF"/>
    <w:rsid w:val="004E2CB0"/>
    <w:rsid w:val="004E3706"/>
    <w:rsid w:val="004E412D"/>
    <w:rsid w:val="004E5238"/>
    <w:rsid w:val="004E7D14"/>
    <w:rsid w:val="004F031D"/>
    <w:rsid w:val="004F5FD8"/>
    <w:rsid w:val="00501E89"/>
    <w:rsid w:val="005035B2"/>
    <w:rsid w:val="00504046"/>
    <w:rsid w:val="00505252"/>
    <w:rsid w:val="00511D86"/>
    <w:rsid w:val="00512E1B"/>
    <w:rsid w:val="0051392C"/>
    <w:rsid w:val="00513C09"/>
    <w:rsid w:val="005151F4"/>
    <w:rsid w:val="00515573"/>
    <w:rsid w:val="005158DE"/>
    <w:rsid w:val="005175CE"/>
    <w:rsid w:val="00520795"/>
    <w:rsid w:val="005229C6"/>
    <w:rsid w:val="00523ADF"/>
    <w:rsid w:val="00525648"/>
    <w:rsid w:val="00526F15"/>
    <w:rsid w:val="0053049F"/>
    <w:rsid w:val="005324C0"/>
    <w:rsid w:val="00533607"/>
    <w:rsid w:val="00534AA6"/>
    <w:rsid w:val="00534B78"/>
    <w:rsid w:val="00535DE4"/>
    <w:rsid w:val="005367D9"/>
    <w:rsid w:val="00540775"/>
    <w:rsid w:val="00541AFA"/>
    <w:rsid w:val="00544467"/>
    <w:rsid w:val="00545495"/>
    <w:rsid w:val="00545992"/>
    <w:rsid w:val="00546AF4"/>
    <w:rsid w:val="00551937"/>
    <w:rsid w:val="00552763"/>
    <w:rsid w:val="00552B03"/>
    <w:rsid w:val="00552C6C"/>
    <w:rsid w:val="00554AC8"/>
    <w:rsid w:val="0055748D"/>
    <w:rsid w:val="00557BF7"/>
    <w:rsid w:val="00560643"/>
    <w:rsid w:val="00562279"/>
    <w:rsid w:val="0056284A"/>
    <w:rsid w:val="00563D67"/>
    <w:rsid w:val="00565DF1"/>
    <w:rsid w:val="00567A99"/>
    <w:rsid w:val="00570167"/>
    <w:rsid w:val="005719D5"/>
    <w:rsid w:val="00572709"/>
    <w:rsid w:val="005735A7"/>
    <w:rsid w:val="005747C5"/>
    <w:rsid w:val="00580A19"/>
    <w:rsid w:val="00581675"/>
    <w:rsid w:val="00582A3F"/>
    <w:rsid w:val="005856FF"/>
    <w:rsid w:val="0058767F"/>
    <w:rsid w:val="00590F84"/>
    <w:rsid w:val="005926F6"/>
    <w:rsid w:val="00593876"/>
    <w:rsid w:val="005940F2"/>
    <w:rsid w:val="005A0B64"/>
    <w:rsid w:val="005A0F80"/>
    <w:rsid w:val="005A162E"/>
    <w:rsid w:val="005A2662"/>
    <w:rsid w:val="005A3FE3"/>
    <w:rsid w:val="005A4841"/>
    <w:rsid w:val="005A501F"/>
    <w:rsid w:val="005A5182"/>
    <w:rsid w:val="005A7404"/>
    <w:rsid w:val="005B59A0"/>
    <w:rsid w:val="005B6FAB"/>
    <w:rsid w:val="005C0541"/>
    <w:rsid w:val="005C4E63"/>
    <w:rsid w:val="005D0A45"/>
    <w:rsid w:val="005D2461"/>
    <w:rsid w:val="005D28D2"/>
    <w:rsid w:val="005D5646"/>
    <w:rsid w:val="005D5ABB"/>
    <w:rsid w:val="005D7245"/>
    <w:rsid w:val="005E18DA"/>
    <w:rsid w:val="005E26A0"/>
    <w:rsid w:val="005E4B8A"/>
    <w:rsid w:val="005E51CE"/>
    <w:rsid w:val="005E6287"/>
    <w:rsid w:val="005E75BD"/>
    <w:rsid w:val="005F092B"/>
    <w:rsid w:val="005F18AC"/>
    <w:rsid w:val="005F26D2"/>
    <w:rsid w:val="005F695A"/>
    <w:rsid w:val="005F6FEF"/>
    <w:rsid w:val="00601867"/>
    <w:rsid w:val="00602733"/>
    <w:rsid w:val="00602CD7"/>
    <w:rsid w:val="006063AA"/>
    <w:rsid w:val="00610A88"/>
    <w:rsid w:val="00614234"/>
    <w:rsid w:val="00615D07"/>
    <w:rsid w:val="00616036"/>
    <w:rsid w:val="00616905"/>
    <w:rsid w:val="00620AD7"/>
    <w:rsid w:val="006216EA"/>
    <w:rsid w:val="006221EF"/>
    <w:rsid w:val="00623AEB"/>
    <w:rsid w:val="0062616C"/>
    <w:rsid w:val="006264F3"/>
    <w:rsid w:val="00626978"/>
    <w:rsid w:val="00626EDC"/>
    <w:rsid w:val="0063075E"/>
    <w:rsid w:val="00630C3D"/>
    <w:rsid w:val="00631671"/>
    <w:rsid w:val="00634C17"/>
    <w:rsid w:val="006362A6"/>
    <w:rsid w:val="00637898"/>
    <w:rsid w:val="00637B7B"/>
    <w:rsid w:val="00637F0D"/>
    <w:rsid w:val="00643DA9"/>
    <w:rsid w:val="0064733D"/>
    <w:rsid w:val="00647FCF"/>
    <w:rsid w:val="00651092"/>
    <w:rsid w:val="00652BC5"/>
    <w:rsid w:val="006538B0"/>
    <w:rsid w:val="0065449A"/>
    <w:rsid w:val="006566C1"/>
    <w:rsid w:val="006575AE"/>
    <w:rsid w:val="00657DAF"/>
    <w:rsid w:val="006660B3"/>
    <w:rsid w:val="00666366"/>
    <w:rsid w:val="006665C2"/>
    <w:rsid w:val="00666FEB"/>
    <w:rsid w:val="00670407"/>
    <w:rsid w:val="006735A0"/>
    <w:rsid w:val="0067392B"/>
    <w:rsid w:val="006748E6"/>
    <w:rsid w:val="00674C9A"/>
    <w:rsid w:val="00674D96"/>
    <w:rsid w:val="006767FE"/>
    <w:rsid w:val="00676A14"/>
    <w:rsid w:val="00685646"/>
    <w:rsid w:val="006863A6"/>
    <w:rsid w:val="0068738C"/>
    <w:rsid w:val="00691A72"/>
    <w:rsid w:val="00692B14"/>
    <w:rsid w:val="00693261"/>
    <w:rsid w:val="0069421A"/>
    <w:rsid w:val="0069678E"/>
    <w:rsid w:val="006971D2"/>
    <w:rsid w:val="0069742C"/>
    <w:rsid w:val="006A06DC"/>
    <w:rsid w:val="006A07AF"/>
    <w:rsid w:val="006A0AFB"/>
    <w:rsid w:val="006A105E"/>
    <w:rsid w:val="006A312D"/>
    <w:rsid w:val="006A32B8"/>
    <w:rsid w:val="006A4816"/>
    <w:rsid w:val="006A4B90"/>
    <w:rsid w:val="006A622E"/>
    <w:rsid w:val="006A6A0D"/>
    <w:rsid w:val="006B071D"/>
    <w:rsid w:val="006B109C"/>
    <w:rsid w:val="006B3D0F"/>
    <w:rsid w:val="006B540C"/>
    <w:rsid w:val="006B67CC"/>
    <w:rsid w:val="006B6A32"/>
    <w:rsid w:val="006B6E12"/>
    <w:rsid w:val="006C2642"/>
    <w:rsid w:val="006D35AB"/>
    <w:rsid w:val="006D4895"/>
    <w:rsid w:val="006D680B"/>
    <w:rsid w:val="006D73B6"/>
    <w:rsid w:val="006D766E"/>
    <w:rsid w:val="006E122E"/>
    <w:rsid w:val="006E1D80"/>
    <w:rsid w:val="006E267A"/>
    <w:rsid w:val="006E2C7B"/>
    <w:rsid w:val="006E3EA7"/>
    <w:rsid w:val="006E4B1E"/>
    <w:rsid w:val="006E4B45"/>
    <w:rsid w:val="006E7753"/>
    <w:rsid w:val="006F15D4"/>
    <w:rsid w:val="006F1EB4"/>
    <w:rsid w:val="006F3E57"/>
    <w:rsid w:val="006F544F"/>
    <w:rsid w:val="006F700D"/>
    <w:rsid w:val="00700096"/>
    <w:rsid w:val="007040D7"/>
    <w:rsid w:val="00706746"/>
    <w:rsid w:val="00706A03"/>
    <w:rsid w:val="00706ACB"/>
    <w:rsid w:val="007078B0"/>
    <w:rsid w:val="00710059"/>
    <w:rsid w:val="00711306"/>
    <w:rsid w:val="007121FE"/>
    <w:rsid w:val="0071226A"/>
    <w:rsid w:val="007124CB"/>
    <w:rsid w:val="0071406F"/>
    <w:rsid w:val="00715F36"/>
    <w:rsid w:val="00716616"/>
    <w:rsid w:val="0071680D"/>
    <w:rsid w:val="007221DF"/>
    <w:rsid w:val="007225A0"/>
    <w:rsid w:val="00723A1A"/>
    <w:rsid w:val="00724E4A"/>
    <w:rsid w:val="007268FD"/>
    <w:rsid w:val="00730883"/>
    <w:rsid w:val="00730983"/>
    <w:rsid w:val="007312FB"/>
    <w:rsid w:val="00733885"/>
    <w:rsid w:val="007342C4"/>
    <w:rsid w:val="00735669"/>
    <w:rsid w:val="007373C1"/>
    <w:rsid w:val="00737E63"/>
    <w:rsid w:val="007415E7"/>
    <w:rsid w:val="00741822"/>
    <w:rsid w:val="00742128"/>
    <w:rsid w:val="00751318"/>
    <w:rsid w:val="00751B1C"/>
    <w:rsid w:val="00751D91"/>
    <w:rsid w:val="007527C5"/>
    <w:rsid w:val="00752D1F"/>
    <w:rsid w:val="007533D9"/>
    <w:rsid w:val="00765CC2"/>
    <w:rsid w:val="007716E1"/>
    <w:rsid w:val="007741AE"/>
    <w:rsid w:val="007761CE"/>
    <w:rsid w:val="007766C5"/>
    <w:rsid w:val="00776F4F"/>
    <w:rsid w:val="00781B4E"/>
    <w:rsid w:val="00781B5F"/>
    <w:rsid w:val="00781D43"/>
    <w:rsid w:val="00782DDF"/>
    <w:rsid w:val="007858C8"/>
    <w:rsid w:val="00787D6F"/>
    <w:rsid w:val="00792AA4"/>
    <w:rsid w:val="00792F54"/>
    <w:rsid w:val="00793207"/>
    <w:rsid w:val="00793E51"/>
    <w:rsid w:val="00795F9D"/>
    <w:rsid w:val="00796D31"/>
    <w:rsid w:val="00797E51"/>
    <w:rsid w:val="007A0D1C"/>
    <w:rsid w:val="007A10C7"/>
    <w:rsid w:val="007A2214"/>
    <w:rsid w:val="007A2B1D"/>
    <w:rsid w:val="007A2EEF"/>
    <w:rsid w:val="007A7886"/>
    <w:rsid w:val="007B19D2"/>
    <w:rsid w:val="007B36EB"/>
    <w:rsid w:val="007B3A77"/>
    <w:rsid w:val="007B3D2E"/>
    <w:rsid w:val="007B3D63"/>
    <w:rsid w:val="007B66E7"/>
    <w:rsid w:val="007C0642"/>
    <w:rsid w:val="007C160C"/>
    <w:rsid w:val="007C2772"/>
    <w:rsid w:val="007C6DD9"/>
    <w:rsid w:val="007D01C7"/>
    <w:rsid w:val="007D0534"/>
    <w:rsid w:val="007D28D3"/>
    <w:rsid w:val="007D3966"/>
    <w:rsid w:val="007D44DA"/>
    <w:rsid w:val="007D4F2C"/>
    <w:rsid w:val="007D5837"/>
    <w:rsid w:val="007D6B4D"/>
    <w:rsid w:val="007D6D7F"/>
    <w:rsid w:val="007D76DE"/>
    <w:rsid w:val="007E3678"/>
    <w:rsid w:val="007F25C6"/>
    <w:rsid w:val="007F2BBD"/>
    <w:rsid w:val="007F407F"/>
    <w:rsid w:val="0080045E"/>
    <w:rsid w:val="008079E9"/>
    <w:rsid w:val="00807B28"/>
    <w:rsid w:val="00807BC8"/>
    <w:rsid w:val="00810350"/>
    <w:rsid w:val="0081089B"/>
    <w:rsid w:val="008115C0"/>
    <w:rsid w:val="008145A8"/>
    <w:rsid w:val="0081544F"/>
    <w:rsid w:val="00820C51"/>
    <w:rsid w:val="00821D17"/>
    <w:rsid w:val="00822E3C"/>
    <w:rsid w:val="008237FF"/>
    <w:rsid w:val="00823F9F"/>
    <w:rsid w:val="008270FD"/>
    <w:rsid w:val="00827DBC"/>
    <w:rsid w:val="008324A6"/>
    <w:rsid w:val="00832865"/>
    <w:rsid w:val="00834D1F"/>
    <w:rsid w:val="00836162"/>
    <w:rsid w:val="00836B9E"/>
    <w:rsid w:val="00840863"/>
    <w:rsid w:val="00842530"/>
    <w:rsid w:val="00843F98"/>
    <w:rsid w:val="008463D9"/>
    <w:rsid w:val="008464E6"/>
    <w:rsid w:val="00846AF5"/>
    <w:rsid w:val="00846B49"/>
    <w:rsid w:val="00846F90"/>
    <w:rsid w:val="0085090E"/>
    <w:rsid w:val="00850F80"/>
    <w:rsid w:val="00853622"/>
    <w:rsid w:val="00853B9F"/>
    <w:rsid w:val="008545AF"/>
    <w:rsid w:val="008574C9"/>
    <w:rsid w:val="00857B6D"/>
    <w:rsid w:val="008676AD"/>
    <w:rsid w:val="00871B0D"/>
    <w:rsid w:val="00872A85"/>
    <w:rsid w:val="00872ABB"/>
    <w:rsid w:val="008755B7"/>
    <w:rsid w:val="00876CB9"/>
    <w:rsid w:val="0088053A"/>
    <w:rsid w:val="00881078"/>
    <w:rsid w:val="008826CC"/>
    <w:rsid w:val="00882E95"/>
    <w:rsid w:val="00884DDC"/>
    <w:rsid w:val="00885435"/>
    <w:rsid w:val="00890176"/>
    <w:rsid w:val="00891034"/>
    <w:rsid w:val="00891EAF"/>
    <w:rsid w:val="00893ACF"/>
    <w:rsid w:val="008A02F7"/>
    <w:rsid w:val="008A241E"/>
    <w:rsid w:val="008A2648"/>
    <w:rsid w:val="008A5514"/>
    <w:rsid w:val="008A704D"/>
    <w:rsid w:val="008A7555"/>
    <w:rsid w:val="008A759A"/>
    <w:rsid w:val="008B2CE0"/>
    <w:rsid w:val="008B473A"/>
    <w:rsid w:val="008B49B7"/>
    <w:rsid w:val="008B50BD"/>
    <w:rsid w:val="008C0496"/>
    <w:rsid w:val="008C11ED"/>
    <w:rsid w:val="008C2DBE"/>
    <w:rsid w:val="008C4F84"/>
    <w:rsid w:val="008C647B"/>
    <w:rsid w:val="008C7462"/>
    <w:rsid w:val="008C74FE"/>
    <w:rsid w:val="008D05A2"/>
    <w:rsid w:val="008D114B"/>
    <w:rsid w:val="008D1FAF"/>
    <w:rsid w:val="008D2152"/>
    <w:rsid w:val="008D5098"/>
    <w:rsid w:val="008E0073"/>
    <w:rsid w:val="008E144B"/>
    <w:rsid w:val="008E1CFF"/>
    <w:rsid w:val="008E3EDD"/>
    <w:rsid w:val="008E7907"/>
    <w:rsid w:val="008E7BC8"/>
    <w:rsid w:val="008F0755"/>
    <w:rsid w:val="008F1102"/>
    <w:rsid w:val="008F15C7"/>
    <w:rsid w:val="008F1E1E"/>
    <w:rsid w:val="008F2FF8"/>
    <w:rsid w:val="008F596B"/>
    <w:rsid w:val="0090058F"/>
    <w:rsid w:val="00900A21"/>
    <w:rsid w:val="0090202D"/>
    <w:rsid w:val="00903122"/>
    <w:rsid w:val="00904BFC"/>
    <w:rsid w:val="00907675"/>
    <w:rsid w:val="0091064C"/>
    <w:rsid w:val="00913AEE"/>
    <w:rsid w:val="00913CA9"/>
    <w:rsid w:val="00914487"/>
    <w:rsid w:val="009149A2"/>
    <w:rsid w:val="0091622F"/>
    <w:rsid w:val="009210C5"/>
    <w:rsid w:val="00921165"/>
    <w:rsid w:val="00924C4D"/>
    <w:rsid w:val="00924D3A"/>
    <w:rsid w:val="00925173"/>
    <w:rsid w:val="009273E0"/>
    <w:rsid w:val="00930A62"/>
    <w:rsid w:val="00933095"/>
    <w:rsid w:val="00933C11"/>
    <w:rsid w:val="00935376"/>
    <w:rsid w:val="00936427"/>
    <w:rsid w:val="00937EEF"/>
    <w:rsid w:val="0094007F"/>
    <w:rsid w:val="009402A6"/>
    <w:rsid w:val="00940616"/>
    <w:rsid w:val="00942FF3"/>
    <w:rsid w:val="00943484"/>
    <w:rsid w:val="00943A44"/>
    <w:rsid w:val="009453EB"/>
    <w:rsid w:val="00945408"/>
    <w:rsid w:val="009479CF"/>
    <w:rsid w:val="00947B46"/>
    <w:rsid w:val="009507C8"/>
    <w:rsid w:val="00950D99"/>
    <w:rsid w:val="00952CC6"/>
    <w:rsid w:val="00955E93"/>
    <w:rsid w:val="009602A5"/>
    <w:rsid w:val="00961C44"/>
    <w:rsid w:val="00961FE3"/>
    <w:rsid w:val="009630D5"/>
    <w:rsid w:val="00963389"/>
    <w:rsid w:val="009645D6"/>
    <w:rsid w:val="00964696"/>
    <w:rsid w:val="00965C28"/>
    <w:rsid w:val="0096668D"/>
    <w:rsid w:val="009732C7"/>
    <w:rsid w:val="00976A74"/>
    <w:rsid w:val="00980307"/>
    <w:rsid w:val="009803BE"/>
    <w:rsid w:val="0098192E"/>
    <w:rsid w:val="0098495E"/>
    <w:rsid w:val="00985700"/>
    <w:rsid w:val="00985B16"/>
    <w:rsid w:val="00985C2B"/>
    <w:rsid w:val="009878CB"/>
    <w:rsid w:val="00987FD1"/>
    <w:rsid w:val="00990915"/>
    <w:rsid w:val="00990AE8"/>
    <w:rsid w:val="00991311"/>
    <w:rsid w:val="00992D56"/>
    <w:rsid w:val="0099499A"/>
    <w:rsid w:val="00994E96"/>
    <w:rsid w:val="009953F4"/>
    <w:rsid w:val="009962AC"/>
    <w:rsid w:val="009A3C4E"/>
    <w:rsid w:val="009A557C"/>
    <w:rsid w:val="009A55D8"/>
    <w:rsid w:val="009A5AA5"/>
    <w:rsid w:val="009A6314"/>
    <w:rsid w:val="009A6EF1"/>
    <w:rsid w:val="009B01EA"/>
    <w:rsid w:val="009B4667"/>
    <w:rsid w:val="009B69DF"/>
    <w:rsid w:val="009B7177"/>
    <w:rsid w:val="009B77A7"/>
    <w:rsid w:val="009C0D36"/>
    <w:rsid w:val="009C6293"/>
    <w:rsid w:val="009C65EB"/>
    <w:rsid w:val="009C7542"/>
    <w:rsid w:val="009C7970"/>
    <w:rsid w:val="009D2369"/>
    <w:rsid w:val="009D39E1"/>
    <w:rsid w:val="009D4530"/>
    <w:rsid w:val="009D6524"/>
    <w:rsid w:val="009D7425"/>
    <w:rsid w:val="009D774F"/>
    <w:rsid w:val="009D793E"/>
    <w:rsid w:val="009E0260"/>
    <w:rsid w:val="009E2FF7"/>
    <w:rsid w:val="009E363F"/>
    <w:rsid w:val="009E4B35"/>
    <w:rsid w:val="009E76C6"/>
    <w:rsid w:val="009E7EE2"/>
    <w:rsid w:val="009F0804"/>
    <w:rsid w:val="00A00413"/>
    <w:rsid w:val="00A04059"/>
    <w:rsid w:val="00A0425A"/>
    <w:rsid w:val="00A067C0"/>
    <w:rsid w:val="00A110E1"/>
    <w:rsid w:val="00A13D22"/>
    <w:rsid w:val="00A13E7D"/>
    <w:rsid w:val="00A14023"/>
    <w:rsid w:val="00A14A98"/>
    <w:rsid w:val="00A203F3"/>
    <w:rsid w:val="00A24944"/>
    <w:rsid w:val="00A27208"/>
    <w:rsid w:val="00A30483"/>
    <w:rsid w:val="00A30567"/>
    <w:rsid w:val="00A318B9"/>
    <w:rsid w:val="00A363BF"/>
    <w:rsid w:val="00A40D60"/>
    <w:rsid w:val="00A41F21"/>
    <w:rsid w:val="00A46740"/>
    <w:rsid w:val="00A50AD0"/>
    <w:rsid w:val="00A50AF0"/>
    <w:rsid w:val="00A523E8"/>
    <w:rsid w:val="00A52523"/>
    <w:rsid w:val="00A52960"/>
    <w:rsid w:val="00A52C88"/>
    <w:rsid w:val="00A53BEB"/>
    <w:rsid w:val="00A574FB"/>
    <w:rsid w:val="00A66782"/>
    <w:rsid w:val="00A72380"/>
    <w:rsid w:val="00A72A4C"/>
    <w:rsid w:val="00A73168"/>
    <w:rsid w:val="00A75490"/>
    <w:rsid w:val="00A7586A"/>
    <w:rsid w:val="00A75DDE"/>
    <w:rsid w:val="00A80DA9"/>
    <w:rsid w:val="00A8522E"/>
    <w:rsid w:val="00A85697"/>
    <w:rsid w:val="00A85FD4"/>
    <w:rsid w:val="00A8720F"/>
    <w:rsid w:val="00A929C3"/>
    <w:rsid w:val="00A93F91"/>
    <w:rsid w:val="00A953F8"/>
    <w:rsid w:val="00A96AC7"/>
    <w:rsid w:val="00A9789E"/>
    <w:rsid w:val="00A97E7A"/>
    <w:rsid w:val="00AA0D3C"/>
    <w:rsid w:val="00AA1237"/>
    <w:rsid w:val="00AA1BBD"/>
    <w:rsid w:val="00AA2B0D"/>
    <w:rsid w:val="00AA3E8F"/>
    <w:rsid w:val="00AA5981"/>
    <w:rsid w:val="00AA6B0C"/>
    <w:rsid w:val="00AB00F3"/>
    <w:rsid w:val="00AB411A"/>
    <w:rsid w:val="00AB48D1"/>
    <w:rsid w:val="00AB52EE"/>
    <w:rsid w:val="00AB6E39"/>
    <w:rsid w:val="00AB7951"/>
    <w:rsid w:val="00AB7FC7"/>
    <w:rsid w:val="00AC0155"/>
    <w:rsid w:val="00AC0759"/>
    <w:rsid w:val="00AC1C10"/>
    <w:rsid w:val="00AC1F9D"/>
    <w:rsid w:val="00AC4209"/>
    <w:rsid w:val="00AC45F1"/>
    <w:rsid w:val="00AC4A4E"/>
    <w:rsid w:val="00AC678D"/>
    <w:rsid w:val="00AC791D"/>
    <w:rsid w:val="00AD024E"/>
    <w:rsid w:val="00AD0D81"/>
    <w:rsid w:val="00AD41BD"/>
    <w:rsid w:val="00AE0CDE"/>
    <w:rsid w:val="00AE1ECE"/>
    <w:rsid w:val="00AE2AF5"/>
    <w:rsid w:val="00AE2F17"/>
    <w:rsid w:val="00AE4762"/>
    <w:rsid w:val="00AE4B02"/>
    <w:rsid w:val="00AE4DEF"/>
    <w:rsid w:val="00AE57D9"/>
    <w:rsid w:val="00AF1795"/>
    <w:rsid w:val="00AF3106"/>
    <w:rsid w:val="00AF434F"/>
    <w:rsid w:val="00AF5724"/>
    <w:rsid w:val="00AF6454"/>
    <w:rsid w:val="00AF6A10"/>
    <w:rsid w:val="00AF7785"/>
    <w:rsid w:val="00B001A5"/>
    <w:rsid w:val="00B04173"/>
    <w:rsid w:val="00B068FE"/>
    <w:rsid w:val="00B07C16"/>
    <w:rsid w:val="00B13C8F"/>
    <w:rsid w:val="00B140DB"/>
    <w:rsid w:val="00B15444"/>
    <w:rsid w:val="00B16304"/>
    <w:rsid w:val="00B17111"/>
    <w:rsid w:val="00B22119"/>
    <w:rsid w:val="00B22F29"/>
    <w:rsid w:val="00B22F69"/>
    <w:rsid w:val="00B245A9"/>
    <w:rsid w:val="00B25B33"/>
    <w:rsid w:val="00B2609D"/>
    <w:rsid w:val="00B30716"/>
    <w:rsid w:val="00B30816"/>
    <w:rsid w:val="00B3084D"/>
    <w:rsid w:val="00B30DD2"/>
    <w:rsid w:val="00B30E89"/>
    <w:rsid w:val="00B32B66"/>
    <w:rsid w:val="00B34B1F"/>
    <w:rsid w:val="00B364FD"/>
    <w:rsid w:val="00B37051"/>
    <w:rsid w:val="00B37F31"/>
    <w:rsid w:val="00B434D1"/>
    <w:rsid w:val="00B468C1"/>
    <w:rsid w:val="00B46973"/>
    <w:rsid w:val="00B4754E"/>
    <w:rsid w:val="00B47F6B"/>
    <w:rsid w:val="00B51B8C"/>
    <w:rsid w:val="00B528E4"/>
    <w:rsid w:val="00B53CA6"/>
    <w:rsid w:val="00B55942"/>
    <w:rsid w:val="00B60430"/>
    <w:rsid w:val="00B61752"/>
    <w:rsid w:val="00B70AA7"/>
    <w:rsid w:val="00B71C2D"/>
    <w:rsid w:val="00B72FCA"/>
    <w:rsid w:val="00B746A9"/>
    <w:rsid w:val="00B764C6"/>
    <w:rsid w:val="00B766C7"/>
    <w:rsid w:val="00B81823"/>
    <w:rsid w:val="00B8647B"/>
    <w:rsid w:val="00B86D7C"/>
    <w:rsid w:val="00B926F5"/>
    <w:rsid w:val="00B935B0"/>
    <w:rsid w:val="00B949B9"/>
    <w:rsid w:val="00B94EB5"/>
    <w:rsid w:val="00B94F99"/>
    <w:rsid w:val="00B954DA"/>
    <w:rsid w:val="00B96244"/>
    <w:rsid w:val="00B9787C"/>
    <w:rsid w:val="00B97F15"/>
    <w:rsid w:val="00B97F16"/>
    <w:rsid w:val="00B97F40"/>
    <w:rsid w:val="00BA0C42"/>
    <w:rsid w:val="00BA1685"/>
    <w:rsid w:val="00BA29BF"/>
    <w:rsid w:val="00BA423D"/>
    <w:rsid w:val="00BA6B21"/>
    <w:rsid w:val="00BA6D60"/>
    <w:rsid w:val="00BA71B1"/>
    <w:rsid w:val="00BB0A97"/>
    <w:rsid w:val="00BB248C"/>
    <w:rsid w:val="00BB4454"/>
    <w:rsid w:val="00BC00EE"/>
    <w:rsid w:val="00BC07F8"/>
    <w:rsid w:val="00BC1F96"/>
    <w:rsid w:val="00BC40D9"/>
    <w:rsid w:val="00BC61D3"/>
    <w:rsid w:val="00BD0125"/>
    <w:rsid w:val="00BD0215"/>
    <w:rsid w:val="00BD145C"/>
    <w:rsid w:val="00BD1B16"/>
    <w:rsid w:val="00BD216C"/>
    <w:rsid w:val="00BD34D7"/>
    <w:rsid w:val="00BD44AB"/>
    <w:rsid w:val="00BD4560"/>
    <w:rsid w:val="00BD7886"/>
    <w:rsid w:val="00BD7F73"/>
    <w:rsid w:val="00BE1C1F"/>
    <w:rsid w:val="00BE1D28"/>
    <w:rsid w:val="00BE277F"/>
    <w:rsid w:val="00BE6BB5"/>
    <w:rsid w:val="00BF0B38"/>
    <w:rsid w:val="00BF4881"/>
    <w:rsid w:val="00C001A9"/>
    <w:rsid w:val="00C0026D"/>
    <w:rsid w:val="00C02CCA"/>
    <w:rsid w:val="00C03263"/>
    <w:rsid w:val="00C05375"/>
    <w:rsid w:val="00C05689"/>
    <w:rsid w:val="00C05C37"/>
    <w:rsid w:val="00C05D70"/>
    <w:rsid w:val="00C05F48"/>
    <w:rsid w:val="00C0628F"/>
    <w:rsid w:val="00C064B9"/>
    <w:rsid w:val="00C07CF5"/>
    <w:rsid w:val="00C104C2"/>
    <w:rsid w:val="00C11AF7"/>
    <w:rsid w:val="00C131B2"/>
    <w:rsid w:val="00C1494B"/>
    <w:rsid w:val="00C15344"/>
    <w:rsid w:val="00C1764E"/>
    <w:rsid w:val="00C21C97"/>
    <w:rsid w:val="00C22EA7"/>
    <w:rsid w:val="00C23E91"/>
    <w:rsid w:val="00C24F89"/>
    <w:rsid w:val="00C258D2"/>
    <w:rsid w:val="00C2627B"/>
    <w:rsid w:val="00C26894"/>
    <w:rsid w:val="00C276CE"/>
    <w:rsid w:val="00C2781D"/>
    <w:rsid w:val="00C27957"/>
    <w:rsid w:val="00C34F17"/>
    <w:rsid w:val="00C34FE9"/>
    <w:rsid w:val="00C37E5F"/>
    <w:rsid w:val="00C40915"/>
    <w:rsid w:val="00C436DB"/>
    <w:rsid w:val="00C43A9A"/>
    <w:rsid w:val="00C44608"/>
    <w:rsid w:val="00C4479F"/>
    <w:rsid w:val="00C44E35"/>
    <w:rsid w:val="00C45C22"/>
    <w:rsid w:val="00C460D1"/>
    <w:rsid w:val="00C4635E"/>
    <w:rsid w:val="00C5002A"/>
    <w:rsid w:val="00C51F9A"/>
    <w:rsid w:val="00C528FA"/>
    <w:rsid w:val="00C5718F"/>
    <w:rsid w:val="00C57CDD"/>
    <w:rsid w:val="00C60723"/>
    <w:rsid w:val="00C633ED"/>
    <w:rsid w:val="00C63985"/>
    <w:rsid w:val="00C6459C"/>
    <w:rsid w:val="00C7111C"/>
    <w:rsid w:val="00C721BC"/>
    <w:rsid w:val="00C73530"/>
    <w:rsid w:val="00C76F24"/>
    <w:rsid w:val="00C77063"/>
    <w:rsid w:val="00C7716D"/>
    <w:rsid w:val="00C776C9"/>
    <w:rsid w:val="00C77C05"/>
    <w:rsid w:val="00C80FFC"/>
    <w:rsid w:val="00C83088"/>
    <w:rsid w:val="00C8412F"/>
    <w:rsid w:val="00C841D5"/>
    <w:rsid w:val="00C86A7A"/>
    <w:rsid w:val="00C91357"/>
    <w:rsid w:val="00C91E9C"/>
    <w:rsid w:val="00C92E0E"/>
    <w:rsid w:val="00CA0CDA"/>
    <w:rsid w:val="00CA25F6"/>
    <w:rsid w:val="00CA51CE"/>
    <w:rsid w:val="00CA5914"/>
    <w:rsid w:val="00CA5A9A"/>
    <w:rsid w:val="00CA6A65"/>
    <w:rsid w:val="00CA70DA"/>
    <w:rsid w:val="00CB0B33"/>
    <w:rsid w:val="00CB54D4"/>
    <w:rsid w:val="00CB666B"/>
    <w:rsid w:val="00CB6AD0"/>
    <w:rsid w:val="00CC214E"/>
    <w:rsid w:val="00CC401C"/>
    <w:rsid w:val="00CD1829"/>
    <w:rsid w:val="00CD24FA"/>
    <w:rsid w:val="00CD489B"/>
    <w:rsid w:val="00CD4CA0"/>
    <w:rsid w:val="00CE0E01"/>
    <w:rsid w:val="00CE1961"/>
    <w:rsid w:val="00CE300C"/>
    <w:rsid w:val="00CE6E4D"/>
    <w:rsid w:val="00CE7784"/>
    <w:rsid w:val="00CF103B"/>
    <w:rsid w:val="00CF2A51"/>
    <w:rsid w:val="00CF31B1"/>
    <w:rsid w:val="00CF39A2"/>
    <w:rsid w:val="00CF46D5"/>
    <w:rsid w:val="00CF6AB8"/>
    <w:rsid w:val="00CF6E19"/>
    <w:rsid w:val="00D003D8"/>
    <w:rsid w:val="00D02BA0"/>
    <w:rsid w:val="00D0711B"/>
    <w:rsid w:val="00D101E0"/>
    <w:rsid w:val="00D12163"/>
    <w:rsid w:val="00D1231A"/>
    <w:rsid w:val="00D12AF9"/>
    <w:rsid w:val="00D1467F"/>
    <w:rsid w:val="00D17A5D"/>
    <w:rsid w:val="00D22110"/>
    <w:rsid w:val="00D22680"/>
    <w:rsid w:val="00D22FFB"/>
    <w:rsid w:val="00D245F9"/>
    <w:rsid w:val="00D27A88"/>
    <w:rsid w:val="00D306B5"/>
    <w:rsid w:val="00D423DC"/>
    <w:rsid w:val="00D43E6C"/>
    <w:rsid w:val="00D449FB"/>
    <w:rsid w:val="00D46879"/>
    <w:rsid w:val="00D47CF8"/>
    <w:rsid w:val="00D5088E"/>
    <w:rsid w:val="00D51D65"/>
    <w:rsid w:val="00D550A9"/>
    <w:rsid w:val="00D6270A"/>
    <w:rsid w:val="00D638E6"/>
    <w:rsid w:val="00D65C5C"/>
    <w:rsid w:val="00D66B40"/>
    <w:rsid w:val="00D66B8D"/>
    <w:rsid w:val="00D67BA8"/>
    <w:rsid w:val="00D70BDD"/>
    <w:rsid w:val="00D73A7A"/>
    <w:rsid w:val="00D7429A"/>
    <w:rsid w:val="00D75FE7"/>
    <w:rsid w:val="00D800B0"/>
    <w:rsid w:val="00D8481C"/>
    <w:rsid w:val="00D84AD8"/>
    <w:rsid w:val="00D87C82"/>
    <w:rsid w:val="00D914FF"/>
    <w:rsid w:val="00D916B5"/>
    <w:rsid w:val="00D92D10"/>
    <w:rsid w:val="00D93291"/>
    <w:rsid w:val="00D93714"/>
    <w:rsid w:val="00D94961"/>
    <w:rsid w:val="00D94FB3"/>
    <w:rsid w:val="00D96496"/>
    <w:rsid w:val="00DA203D"/>
    <w:rsid w:val="00DA2E68"/>
    <w:rsid w:val="00DA396F"/>
    <w:rsid w:val="00DA4499"/>
    <w:rsid w:val="00DA4B39"/>
    <w:rsid w:val="00DA6275"/>
    <w:rsid w:val="00DA6406"/>
    <w:rsid w:val="00DB1BBF"/>
    <w:rsid w:val="00DB3DD5"/>
    <w:rsid w:val="00DB4B3C"/>
    <w:rsid w:val="00DB5D57"/>
    <w:rsid w:val="00DB63DF"/>
    <w:rsid w:val="00DB7B0D"/>
    <w:rsid w:val="00DB7E00"/>
    <w:rsid w:val="00DC0FE1"/>
    <w:rsid w:val="00DC10C3"/>
    <w:rsid w:val="00DC1602"/>
    <w:rsid w:val="00DC3A58"/>
    <w:rsid w:val="00DC3AEA"/>
    <w:rsid w:val="00DC75E9"/>
    <w:rsid w:val="00DC7C4E"/>
    <w:rsid w:val="00DD01DA"/>
    <w:rsid w:val="00DD0CEE"/>
    <w:rsid w:val="00DD0EDA"/>
    <w:rsid w:val="00DD1633"/>
    <w:rsid w:val="00DD1D21"/>
    <w:rsid w:val="00DD437B"/>
    <w:rsid w:val="00DD446C"/>
    <w:rsid w:val="00DD51A8"/>
    <w:rsid w:val="00DE2046"/>
    <w:rsid w:val="00DE333F"/>
    <w:rsid w:val="00DE45CE"/>
    <w:rsid w:val="00DE4B28"/>
    <w:rsid w:val="00DF0246"/>
    <w:rsid w:val="00DF0CDB"/>
    <w:rsid w:val="00DF181E"/>
    <w:rsid w:val="00DF1D4B"/>
    <w:rsid w:val="00DF4423"/>
    <w:rsid w:val="00DF61CD"/>
    <w:rsid w:val="00E00882"/>
    <w:rsid w:val="00E01535"/>
    <w:rsid w:val="00E02764"/>
    <w:rsid w:val="00E05075"/>
    <w:rsid w:val="00E0627D"/>
    <w:rsid w:val="00E06B18"/>
    <w:rsid w:val="00E06B60"/>
    <w:rsid w:val="00E06BBB"/>
    <w:rsid w:val="00E0753F"/>
    <w:rsid w:val="00E07B77"/>
    <w:rsid w:val="00E07E80"/>
    <w:rsid w:val="00E1108A"/>
    <w:rsid w:val="00E1267F"/>
    <w:rsid w:val="00E17C1C"/>
    <w:rsid w:val="00E21930"/>
    <w:rsid w:val="00E21CBA"/>
    <w:rsid w:val="00E21CE3"/>
    <w:rsid w:val="00E22D2F"/>
    <w:rsid w:val="00E23776"/>
    <w:rsid w:val="00E24151"/>
    <w:rsid w:val="00E2451E"/>
    <w:rsid w:val="00E3027E"/>
    <w:rsid w:val="00E305A3"/>
    <w:rsid w:val="00E327A3"/>
    <w:rsid w:val="00E35A16"/>
    <w:rsid w:val="00E3783B"/>
    <w:rsid w:val="00E379E7"/>
    <w:rsid w:val="00E41C0A"/>
    <w:rsid w:val="00E42317"/>
    <w:rsid w:val="00E449B6"/>
    <w:rsid w:val="00E4517F"/>
    <w:rsid w:val="00E46541"/>
    <w:rsid w:val="00E46F0D"/>
    <w:rsid w:val="00E5289E"/>
    <w:rsid w:val="00E52943"/>
    <w:rsid w:val="00E53494"/>
    <w:rsid w:val="00E54E88"/>
    <w:rsid w:val="00E5522A"/>
    <w:rsid w:val="00E557E6"/>
    <w:rsid w:val="00E57AFB"/>
    <w:rsid w:val="00E60268"/>
    <w:rsid w:val="00E60B20"/>
    <w:rsid w:val="00E61626"/>
    <w:rsid w:val="00E61DB1"/>
    <w:rsid w:val="00E62784"/>
    <w:rsid w:val="00E63919"/>
    <w:rsid w:val="00E64BF2"/>
    <w:rsid w:val="00E65CF7"/>
    <w:rsid w:val="00E663FA"/>
    <w:rsid w:val="00E669F0"/>
    <w:rsid w:val="00E721B6"/>
    <w:rsid w:val="00E72B3B"/>
    <w:rsid w:val="00E7471E"/>
    <w:rsid w:val="00E747EB"/>
    <w:rsid w:val="00E74E14"/>
    <w:rsid w:val="00E776CF"/>
    <w:rsid w:val="00E77891"/>
    <w:rsid w:val="00E82314"/>
    <w:rsid w:val="00E83439"/>
    <w:rsid w:val="00E835B0"/>
    <w:rsid w:val="00E85CDF"/>
    <w:rsid w:val="00E873E0"/>
    <w:rsid w:val="00E903E0"/>
    <w:rsid w:val="00E92C2B"/>
    <w:rsid w:val="00E9623A"/>
    <w:rsid w:val="00EA01BA"/>
    <w:rsid w:val="00EA3530"/>
    <w:rsid w:val="00EA5DC1"/>
    <w:rsid w:val="00EA6C21"/>
    <w:rsid w:val="00EB3C04"/>
    <w:rsid w:val="00EB4800"/>
    <w:rsid w:val="00EB55F2"/>
    <w:rsid w:val="00EB5A4D"/>
    <w:rsid w:val="00EB5BE3"/>
    <w:rsid w:val="00EB7B4E"/>
    <w:rsid w:val="00EC02DD"/>
    <w:rsid w:val="00EC1C56"/>
    <w:rsid w:val="00EC27FE"/>
    <w:rsid w:val="00EC2A95"/>
    <w:rsid w:val="00EC3F7B"/>
    <w:rsid w:val="00EC4826"/>
    <w:rsid w:val="00EC609F"/>
    <w:rsid w:val="00EC6E57"/>
    <w:rsid w:val="00EC72BA"/>
    <w:rsid w:val="00ED2F47"/>
    <w:rsid w:val="00ED3A00"/>
    <w:rsid w:val="00ED3BA1"/>
    <w:rsid w:val="00ED672C"/>
    <w:rsid w:val="00EE081B"/>
    <w:rsid w:val="00EE280D"/>
    <w:rsid w:val="00EE2E1D"/>
    <w:rsid w:val="00EE2F58"/>
    <w:rsid w:val="00EE3067"/>
    <w:rsid w:val="00EE3FBE"/>
    <w:rsid w:val="00EE7EEA"/>
    <w:rsid w:val="00EF0533"/>
    <w:rsid w:val="00EF6131"/>
    <w:rsid w:val="00EF6B76"/>
    <w:rsid w:val="00EF7B78"/>
    <w:rsid w:val="00F0265C"/>
    <w:rsid w:val="00F02D80"/>
    <w:rsid w:val="00F02E9A"/>
    <w:rsid w:val="00F03095"/>
    <w:rsid w:val="00F05586"/>
    <w:rsid w:val="00F07994"/>
    <w:rsid w:val="00F115E5"/>
    <w:rsid w:val="00F1452C"/>
    <w:rsid w:val="00F14C13"/>
    <w:rsid w:val="00F16456"/>
    <w:rsid w:val="00F17E64"/>
    <w:rsid w:val="00F20633"/>
    <w:rsid w:val="00F209C1"/>
    <w:rsid w:val="00F239B4"/>
    <w:rsid w:val="00F254B7"/>
    <w:rsid w:val="00F26029"/>
    <w:rsid w:val="00F27275"/>
    <w:rsid w:val="00F2734D"/>
    <w:rsid w:val="00F3260B"/>
    <w:rsid w:val="00F335B4"/>
    <w:rsid w:val="00F35D7C"/>
    <w:rsid w:val="00F3703E"/>
    <w:rsid w:val="00F37069"/>
    <w:rsid w:val="00F40A74"/>
    <w:rsid w:val="00F43790"/>
    <w:rsid w:val="00F4390C"/>
    <w:rsid w:val="00F43ED7"/>
    <w:rsid w:val="00F44BA0"/>
    <w:rsid w:val="00F46135"/>
    <w:rsid w:val="00F469CE"/>
    <w:rsid w:val="00F5018E"/>
    <w:rsid w:val="00F544C8"/>
    <w:rsid w:val="00F55442"/>
    <w:rsid w:val="00F55B41"/>
    <w:rsid w:val="00F56AF8"/>
    <w:rsid w:val="00F57262"/>
    <w:rsid w:val="00F60205"/>
    <w:rsid w:val="00F60B5D"/>
    <w:rsid w:val="00F61078"/>
    <w:rsid w:val="00F612AF"/>
    <w:rsid w:val="00F63D11"/>
    <w:rsid w:val="00F650FC"/>
    <w:rsid w:val="00F67994"/>
    <w:rsid w:val="00F67CE8"/>
    <w:rsid w:val="00F731A9"/>
    <w:rsid w:val="00F760F2"/>
    <w:rsid w:val="00F775EB"/>
    <w:rsid w:val="00F81088"/>
    <w:rsid w:val="00F81E86"/>
    <w:rsid w:val="00F83152"/>
    <w:rsid w:val="00F864EC"/>
    <w:rsid w:val="00F869A5"/>
    <w:rsid w:val="00F86B99"/>
    <w:rsid w:val="00F90258"/>
    <w:rsid w:val="00F931EC"/>
    <w:rsid w:val="00F95689"/>
    <w:rsid w:val="00F95D28"/>
    <w:rsid w:val="00F97F94"/>
    <w:rsid w:val="00FA0805"/>
    <w:rsid w:val="00FA1BCC"/>
    <w:rsid w:val="00FA4CF0"/>
    <w:rsid w:val="00FA6DF9"/>
    <w:rsid w:val="00FB06E8"/>
    <w:rsid w:val="00FB1598"/>
    <w:rsid w:val="00FB5E0E"/>
    <w:rsid w:val="00FC09E7"/>
    <w:rsid w:val="00FC1CFB"/>
    <w:rsid w:val="00FC2705"/>
    <w:rsid w:val="00FC3A0E"/>
    <w:rsid w:val="00FC4CB9"/>
    <w:rsid w:val="00FC5F6D"/>
    <w:rsid w:val="00FD167A"/>
    <w:rsid w:val="00FD180C"/>
    <w:rsid w:val="00FD3773"/>
    <w:rsid w:val="00FD3BED"/>
    <w:rsid w:val="00FD4D7A"/>
    <w:rsid w:val="00FD6BB0"/>
    <w:rsid w:val="00FD73A8"/>
    <w:rsid w:val="00FE15C2"/>
    <w:rsid w:val="00FE26F0"/>
    <w:rsid w:val="00FE2FC5"/>
    <w:rsid w:val="00FE5C22"/>
    <w:rsid w:val="00FE5E8A"/>
    <w:rsid w:val="00FF0442"/>
    <w:rsid w:val="00FF0595"/>
    <w:rsid w:val="00FF0D87"/>
    <w:rsid w:val="00FF0FD3"/>
    <w:rsid w:val="00FF32AA"/>
    <w:rsid w:val="00FF3FE4"/>
    <w:rsid w:val="00FF60C7"/>
    <w:rsid w:val="00FF6123"/>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F2CA"/>
  <w15:docId w15:val="{A4DFFC7F-E5CF-45EE-A7ED-A4A39101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10"/>
  </w:style>
  <w:style w:type="paragraph" w:styleId="Heading1">
    <w:name w:val="heading 1"/>
    <w:basedOn w:val="Normal"/>
    <w:next w:val="Normal"/>
    <w:link w:val="Heading1Char"/>
    <w:qFormat/>
    <w:rsid w:val="007A0D1C"/>
    <w:pPr>
      <w:keepNext/>
      <w:keepLines/>
      <w:spacing w:before="120"/>
      <w:contextualSpacing/>
      <w:outlineLvl w:val="0"/>
    </w:pPr>
    <w:rPr>
      <w:rFonts w:eastAsiaTheme="majorEastAsia" w:cs="Calibri"/>
      <w:b/>
      <w:bCs/>
      <w:color w:val="410B68" w:themeColor="accent1" w:themeShade="BF"/>
      <w:sz w:val="40"/>
      <w:szCs w:val="28"/>
    </w:rPr>
  </w:style>
  <w:style w:type="paragraph" w:styleId="Heading2">
    <w:name w:val="heading 2"/>
    <w:basedOn w:val="Normal"/>
    <w:next w:val="Normal"/>
    <w:link w:val="Heading2Char"/>
    <w:uiPriority w:val="9"/>
    <w:unhideWhenUsed/>
    <w:qFormat/>
    <w:rsid w:val="007A0D1C"/>
    <w:pPr>
      <w:keepNext/>
      <w:keepLines/>
      <w:spacing w:before="200" w:after="60"/>
      <w:outlineLvl w:val="1"/>
    </w:pPr>
    <w:rPr>
      <w:rFonts w:eastAsiaTheme="majorEastAsia" w:cs="Calibr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5940F2"/>
    <w:pPr>
      <w:spacing w:before="120"/>
      <w:outlineLvl w:val="3"/>
    </w:pPr>
    <w:rPr>
      <w:rFonts w:ascii="Calibri" w:eastAsiaTheme="minorHAnsi" w:hAnsi="Calibri" w:cs="Calibri"/>
      <w:b/>
      <w:szCs w:val="24"/>
      <w:lang w:eastAsia="en-AU"/>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D1C"/>
    <w:rPr>
      <w:rFonts w:eastAsiaTheme="majorEastAsia" w:cs="Calibri"/>
      <w:b/>
      <w:bCs/>
      <w:color w:val="410B68" w:themeColor="accent1" w:themeShade="BF"/>
      <w:sz w:val="40"/>
      <w:szCs w:val="28"/>
    </w:rPr>
  </w:style>
  <w:style w:type="character" w:customStyle="1" w:styleId="Heading2Char">
    <w:name w:val="Heading 2 Char"/>
    <w:basedOn w:val="DefaultParagraphFont"/>
    <w:link w:val="Heading2"/>
    <w:uiPriority w:val="9"/>
    <w:rsid w:val="007A0D1C"/>
    <w:rPr>
      <w:rFonts w:eastAsiaTheme="majorEastAsia" w:cs="Calibr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A85697"/>
    <w:rPr>
      <w:rFonts w:eastAsiaTheme="minorHAnsi" w:cs="Calibri"/>
      <w:b/>
      <w:szCs w:val="24"/>
      <w:lang w:eastAsia="en-AU"/>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AC1C10"/>
    <w:pPr>
      <w:contextualSpacing/>
    </w:pPr>
  </w:style>
  <w:style w:type="paragraph" w:styleId="TOCHeading">
    <w:name w:val="TOC Heading"/>
    <w:basedOn w:val="Normal"/>
    <w:next w:val="Normal"/>
    <w:uiPriority w:val="39"/>
    <w:unhideWhenUsed/>
    <w:qFormat/>
    <w:rsid w:val="00AC1C10"/>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DEE"/>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AC1C1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AC1C10"/>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080A2D"/>
    <w:pPr>
      <w:spacing w:after="0" w:line="240" w:lineRule="auto"/>
    </w:pPr>
  </w:style>
  <w:style w:type="paragraph" w:styleId="NoSpacing">
    <w:name w:val="No Spacing"/>
    <w:basedOn w:val="Normal"/>
    <w:uiPriority w:val="1"/>
    <w:qFormat/>
    <w:rsid w:val="00AC1C10"/>
    <w:pPr>
      <w:keepNext/>
      <w:spacing w:after="0"/>
    </w:pPr>
  </w:style>
  <w:style w:type="character" w:styleId="FollowedHyperlink">
    <w:name w:val="FollowedHyperlink"/>
    <w:basedOn w:val="DefaultParagraphFont"/>
    <w:uiPriority w:val="99"/>
    <w:unhideWhenUsed/>
    <w:rsid w:val="00263DEE"/>
    <w:rPr>
      <w:color w:val="646464"/>
      <w:u w:val="single"/>
    </w:rPr>
  </w:style>
  <w:style w:type="paragraph" w:customStyle="1" w:styleId="SCSAHeading1">
    <w:name w:val="SCSA Heading 1"/>
    <w:basedOn w:val="Normal"/>
    <w:qFormat/>
    <w:rsid w:val="00AC1C1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AC1C10"/>
  </w:style>
  <w:style w:type="paragraph" w:customStyle="1" w:styleId="SCSAHeading3">
    <w:name w:val="SCSA Heading 3"/>
    <w:basedOn w:val="Normal"/>
    <w:qFormat/>
    <w:rsid w:val="00AC1C1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AC1C10"/>
    <w:pPr>
      <w:outlineLvl w:val="1"/>
    </w:pPr>
  </w:style>
  <w:style w:type="paragraph" w:customStyle="1" w:styleId="SCSAHeading4">
    <w:name w:val="SCSA Heading 4"/>
    <w:basedOn w:val="Normal"/>
    <w:qFormat/>
    <w:rsid w:val="00AC1C10"/>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AC1C10"/>
    <w:pPr>
      <w:spacing w:after="0"/>
      <w:outlineLvl w:val="9"/>
    </w:pPr>
  </w:style>
  <w:style w:type="numbering" w:customStyle="1" w:styleId="SCSABulletList">
    <w:name w:val="SCSA Bullet List"/>
    <w:uiPriority w:val="99"/>
    <w:rsid w:val="00AC1C10"/>
    <w:pPr>
      <w:numPr>
        <w:numId w:val="1"/>
      </w:numPr>
    </w:pPr>
  </w:style>
  <w:style w:type="paragraph" w:customStyle="1" w:styleId="SCSAFooter">
    <w:name w:val="SCSA Footer"/>
    <w:basedOn w:val="Normal"/>
    <w:qFormat/>
    <w:rsid w:val="00263DEE"/>
    <w:pPr>
      <w:pBdr>
        <w:top w:val="single" w:sz="4" w:space="1" w:color="580F8B" w:themeColor="accent1"/>
      </w:pBdr>
      <w:tabs>
        <w:tab w:val="right" w:pos="9072"/>
      </w:tabs>
    </w:pPr>
    <w:rPr>
      <w:rFonts w:ascii="Calibri" w:hAnsi="Calibri"/>
      <w:color w:val="580F8B" w:themeColor="accent1"/>
      <w:kern w:val="2"/>
      <w:sz w:val="18"/>
      <w:szCs w:val="18"/>
      <w:lang w:eastAsia="ja-JP"/>
      <w14:ligatures w14:val="standardContextual"/>
    </w:rPr>
  </w:style>
  <w:style w:type="paragraph" w:customStyle="1" w:styleId="SCSAFooterodd">
    <w:name w:val="SCSA Footer odd"/>
    <w:basedOn w:val="Normal"/>
    <w:qFormat/>
    <w:rsid w:val="00AC1C1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AC1C10"/>
    <w:pPr>
      <w:jc w:val="left"/>
    </w:pPr>
  </w:style>
  <w:style w:type="paragraph" w:customStyle="1" w:styleId="SCSAFooterplain">
    <w:name w:val="SCSA Footer plain"/>
    <w:basedOn w:val="Normal"/>
    <w:qFormat/>
    <w:rsid w:val="00263DEE"/>
    <w:pPr>
      <w:tabs>
        <w:tab w:val="right" w:pos="9072"/>
      </w:tabs>
    </w:pPr>
    <w:rPr>
      <w:rFonts w:ascii="Calibri" w:hAnsi="Calibri"/>
      <w:kern w:val="2"/>
      <w:sz w:val="18"/>
      <w:szCs w:val="18"/>
      <w:lang w:eastAsia="ja-JP"/>
      <w14:ligatures w14:val="standardContextual"/>
    </w:rPr>
  </w:style>
  <w:style w:type="paragraph" w:customStyle="1" w:styleId="SCSAHeaderodd">
    <w:name w:val="SCSA Header odd"/>
    <w:basedOn w:val="Normal"/>
    <w:qFormat/>
    <w:rsid w:val="00AC1C1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AC1C10"/>
    <w:pPr>
      <w:ind w:left="-1134" w:right="9356"/>
      <w:jc w:val="right"/>
    </w:pPr>
  </w:style>
  <w:style w:type="paragraph" w:customStyle="1" w:styleId="SCSAHeading2">
    <w:name w:val="SCSA Heading 2"/>
    <w:basedOn w:val="Normal"/>
    <w:qFormat/>
    <w:rsid w:val="00AC1C10"/>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Table">
    <w:name w:val="SCSA Table"/>
    <w:basedOn w:val="TableNormal"/>
    <w:uiPriority w:val="99"/>
    <w:rsid w:val="00AC1C1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AC1C1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AC1C1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C1C1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AC1C1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AC1C1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AC1C10"/>
    <w:pPr>
      <w:outlineLvl w:val="9"/>
    </w:pPr>
  </w:style>
  <w:style w:type="table" w:customStyle="1" w:styleId="SCSASyllabusGradeDescriptionsTable">
    <w:name w:val="SCSA Syllabus Grade Descriptions Table"/>
    <w:basedOn w:val="TableNormal"/>
    <w:uiPriority w:val="99"/>
    <w:rsid w:val="00AC1C1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clearstyle">
    <w:name w:val="SCSA Table clear style"/>
    <w:basedOn w:val="TableNormal"/>
    <w:uiPriority w:val="99"/>
    <w:rsid w:val="00AC1C1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07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4443">
      <w:bodyDiv w:val="1"/>
      <w:marLeft w:val="0"/>
      <w:marRight w:val="0"/>
      <w:marTop w:val="0"/>
      <w:marBottom w:val="0"/>
      <w:divBdr>
        <w:top w:val="none" w:sz="0" w:space="0" w:color="auto"/>
        <w:left w:val="none" w:sz="0" w:space="0" w:color="auto"/>
        <w:bottom w:val="none" w:sz="0" w:space="0" w:color="auto"/>
        <w:right w:val="none" w:sz="0" w:space="0" w:color="auto"/>
      </w:divBdr>
    </w:div>
    <w:div w:id="580912009">
      <w:bodyDiv w:val="1"/>
      <w:marLeft w:val="0"/>
      <w:marRight w:val="0"/>
      <w:marTop w:val="0"/>
      <w:marBottom w:val="0"/>
      <w:divBdr>
        <w:top w:val="none" w:sz="0" w:space="0" w:color="auto"/>
        <w:left w:val="none" w:sz="0" w:space="0" w:color="auto"/>
        <w:bottom w:val="none" w:sz="0" w:space="0" w:color="auto"/>
        <w:right w:val="none" w:sz="0" w:space="0" w:color="auto"/>
      </w:divBdr>
    </w:div>
    <w:div w:id="691880168">
      <w:bodyDiv w:val="1"/>
      <w:marLeft w:val="0"/>
      <w:marRight w:val="0"/>
      <w:marTop w:val="0"/>
      <w:marBottom w:val="0"/>
      <w:divBdr>
        <w:top w:val="none" w:sz="0" w:space="0" w:color="auto"/>
        <w:left w:val="none" w:sz="0" w:space="0" w:color="auto"/>
        <w:bottom w:val="none" w:sz="0" w:space="0" w:color="auto"/>
        <w:right w:val="none" w:sz="0" w:space="0" w:color="auto"/>
      </w:divBdr>
    </w:div>
    <w:div w:id="829173349">
      <w:bodyDiv w:val="1"/>
      <w:marLeft w:val="0"/>
      <w:marRight w:val="0"/>
      <w:marTop w:val="0"/>
      <w:marBottom w:val="0"/>
      <w:divBdr>
        <w:top w:val="none" w:sz="0" w:space="0" w:color="auto"/>
        <w:left w:val="none" w:sz="0" w:space="0" w:color="auto"/>
        <w:bottom w:val="none" w:sz="0" w:space="0" w:color="auto"/>
        <w:right w:val="none" w:sz="0" w:space="0" w:color="auto"/>
      </w:divBdr>
    </w:div>
    <w:div w:id="1531988475">
      <w:bodyDiv w:val="1"/>
      <w:marLeft w:val="0"/>
      <w:marRight w:val="0"/>
      <w:marTop w:val="0"/>
      <w:marBottom w:val="0"/>
      <w:divBdr>
        <w:top w:val="none" w:sz="0" w:space="0" w:color="auto"/>
        <w:left w:val="none" w:sz="0" w:space="0" w:color="auto"/>
        <w:bottom w:val="none" w:sz="0" w:space="0" w:color="auto"/>
        <w:right w:val="none" w:sz="0" w:space="0" w:color="auto"/>
      </w:divBdr>
    </w:div>
    <w:div w:id="2024553218">
      <w:bodyDiv w:val="1"/>
      <w:marLeft w:val="0"/>
      <w:marRight w:val="0"/>
      <w:marTop w:val="0"/>
      <w:marBottom w:val="0"/>
      <w:divBdr>
        <w:top w:val="none" w:sz="0" w:space="0" w:color="auto"/>
        <w:left w:val="none" w:sz="0" w:space="0" w:color="auto"/>
        <w:bottom w:val="none" w:sz="0" w:space="0" w:color="auto"/>
        <w:right w:val="none" w:sz="0" w:space="0" w:color="auto"/>
      </w:divBdr>
      <w:divsChild>
        <w:div w:id="646008530">
          <w:marLeft w:val="0"/>
          <w:marRight w:val="0"/>
          <w:marTop w:val="0"/>
          <w:marBottom w:val="0"/>
          <w:divBdr>
            <w:top w:val="none" w:sz="0" w:space="0" w:color="auto"/>
            <w:left w:val="none" w:sz="0" w:space="0" w:color="auto"/>
            <w:bottom w:val="none" w:sz="0" w:space="0" w:color="auto"/>
            <w:right w:val="none" w:sz="0" w:space="0" w:color="auto"/>
          </w:divBdr>
        </w:div>
        <w:div w:id="160040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australiacouncil.gov.au/investment-and-development/protocols-and-resources/protocols-for-using-first-nations-cultural-and-intellectual-property-in-the-arts/"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arragunnawali.org.au/about/subject-guide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narragunnawali.org.au/about/terminology-guide"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arragunnawali.org.au/about/terminology-guide"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scsa.wa.edu.au"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A3B5-2AE5-4B1F-8AD3-8DF2A641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6319</Words>
  <Characters>40000</Characters>
  <Application>Microsoft Office Word</Application>
  <DocSecurity>0</DocSecurity>
  <Lines>816</Lines>
  <Paragraphs>445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Belinda Calvert</cp:lastModifiedBy>
  <cp:revision>27</cp:revision>
  <cp:lastPrinted>2024-07-31T02:59:00Z</cp:lastPrinted>
  <dcterms:created xsi:type="dcterms:W3CDTF">2025-08-04T05:02:00Z</dcterms:created>
  <dcterms:modified xsi:type="dcterms:W3CDTF">2026-01-20T05:06:00Z</dcterms:modified>
</cp:coreProperties>
</file>