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A7A8A" w14:textId="77777777" w:rsidR="00D66E95" w:rsidRPr="00E277C2" w:rsidRDefault="00D66E95" w:rsidP="00D66E95">
      <w:pPr>
        <w:spacing w:line="257" w:lineRule="auto"/>
        <w:rPr>
          <w:b/>
        </w:rPr>
      </w:pPr>
      <w:r w:rsidRPr="00871FC2">
        <w:rPr>
          <w:b/>
        </w:rPr>
        <w:t>School administrators, Heads of Learning Area –</w:t>
      </w:r>
      <w:r>
        <w:rPr>
          <w:b/>
        </w:rPr>
        <w:t xml:space="preserve"> Science</w:t>
      </w:r>
      <w:r w:rsidRPr="00871FC2">
        <w:rPr>
          <w:b/>
        </w:rPr>
        <w:t xml:space="preserve"> </w:t>
      </w:r>
      <w:r>
        <w:rPr>
          <w:b/>
        </w:rPr>
        <w:t xml:space="preserve">and Technologies </w:t>
      </w:r>
      <w:r w:rsidRPr="00871FC2">
        <w:rPr>
          <w:b/>
        </w:rPr>
        <w:t xml:space="preserve">and </w:t>
      </w:r>
      <w:r>
        <w:rPr>
          <w:b/>
        </w:rPr>
        <w:t>T</w:t>
      </w:r>
      <w:r w:rsidRPr="00871FC2">
        <w:rPr>
          <w:b/>
        </w:rPr>
        <w:t xml:space="preserve">eachers of </w:t>
      </w:r>
      <w:r>
        <w:rPr>
          <w:b/>
        </w:rPr>
        <w:t>Marine and Maritime Studies ATAR</w:t>
      </w:r>
      <w:r w:rsidRPr="00871FC2">
        <w:rPr>
          <w:b/>
        </w:rPr>
        <w:t xml:space="preserve"> </w:t>
      </w:r>
      <w:r>
        <w:rPr>
          <w:b/>
        </w:rPr>
        <w:t xml:space="preserve">Year 11 </w:t>
      </w:r>
      <w:r w:rsidRPr="00871FC2">
        <w:rPr>
          <w:b/>
        </w:rPr>
        <w:t>are requested to note for 202</w:t>
      </w:r>
      <w:r>
        <w:rPr>
          <w:b/>
        </w:rPr>
        <w:t>7</w:t>
      </w:r>
      <w:r w:rsidRPr="00871FC2">
        <w:rPr>
          <w:b/>
        </w:rPr>
        <w:t xml:space="preserve"> the following minor syllabus changes. The syllabus is labelled as ‘For teaching from 202</w:t>
      </w:r>
      <w:r>
        <w:rPr>
          <w:b/>
        </w:rPr>
        <w:t>7</w:t>
      </w:r>
      <w:r w:rsidRPr="00871FC2">
        <w:rPr>
          <w:b/>
        </w:rPr>
        <w:t>’.</w:t>
      </w:r>
    </w:p>
    <w:p w14:paraId="361CD40B" w14:textId="2287C12E" w:rsidR="00A02BC1" w:rsidRPr="00A02BC1" w:rsidRDefault="00C65CB0" w:rsidP="002B3D14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Marine and Maritime Studies</w:t>
      </w:r>
      <w:r w:rsidR="005736EE">
        <w:rPr>
          <w:rFonts w:cstheme="minorHAnsi"/>
          <w:b/>
          <w:bCs/>
        </w:rPr>
        <w:t xml:space="preserve"> | ATAR Year 1</w:t>
      </w:r>
      <w:r w:rsidR="00D32851">
        <w:rPr>
          <w:rFonts w:cstheme="minorHAnsi"/>
          <w:b/>
          <w:bCs/>
        </w:rPr>
        <w:t>1</w:t>
      </w:r>
      <w:r w:rsidR="005736EE">
        <w:rPr>
          <w:rFonts w:cstheme="minorHAnsi"/>
          <w:b/>
          <w:bCs/>
        </w:rPr>
        <w:t xml:space="preserve"> | Summary of minor s</w:t>
      </w:r>
      <w:r w:rsidR="00A02BC1" w:rsidRPr="00A02BC1">
        <w:rPr>
          <w:rFonts w:cstheme="minorHAnsi"/>
          <w:b/>
          <w:bCs/>
        </w:rPr>
        <w:t>yllabus changes</w:t>
      </w:r>
      <w:r w:rsidR="005736EE">
        <w:rPr>
          <w:rFonts w:cstheme="minorHAnsi"/>
          <w:b/>
          <w:bCs/>
        </w:rPr>
        <w:t xml:space="preserve"> for 202</w:t>
      </w:r>
      <w:r w:rsidR="00D32851">
        <w:rPr>
          <w:rFonts w:cstheme="minorHAnsi"/>
          <w:b/>
          <w:bCs/>
        </w:rPr>
        <w:t>7</w:t>
      </w:r>
    </w:p>
    <w:p w14:paraId="4AEDBD42" w14:textId="0CBC1112" w:rsidR="00A02BC1" w:rsidRPr="00A02BC1" w:rsidRDefault="00A02BC1" w:rsidP="0022123B">
      <w:pPr>
        <w:rPr>
          <w:rFonts w:cstheme="minorHAnsi"/>
        </w:rPr>
      </w:pPr>
      <w:r w:rsidRPr="009E3BA6">
        <w:rPr>
          <w:rFonts w:cstheme="minorHAnsi"/>
        </w:rPr>
        <w:t xml:space="preserve">The content identified by </w:t>
      </w:r>
      <w:r w:rsidRPr="009E3BA6">
        <w:rPr>
          <w:rFonts w:cstheme="minorHAnsi"/>
          <w:strike/>
        </w:rPr>
        <w:t>strikethrough</w:t>
      </w:r>
      <w:r w:rsidRPr="009E3BA6">
        <w:rPr>
          <w:rFonts w:cstheme="minorHAnsi"/>
        </w:rPr>
        <w:t xml:space="preserve"> has been deleted from the syllabus and the content identified in </w:t>
      </w:r>
      <w:r w:rsidRPr="009E3BA6">
        <w:rPr>
          <w:rFonts w:cstheme="minorHAnsi"/>
          <w:i/>
        </w:rPr>
        <w:t>italic</w:t>
      </w:r>
      <w:r w:rsidRPr="009E3BA6">
        <w:rPr>
          <w:rFonts w:cstheme="minorHAnsi"/>
        </w:rPr>
        <w:t>s has been revised in the syllabus for teaching from 202</w:t>
      </w:r>
      <w:r w:rsidR="00D32851">
        <w:rPr>
          <w:rFonts w:cstheme="minorHAnsi"/>
        </w:rPr>
        <w:t>7</w:t>
      </w:r>
      <w:r w:rsidR="00BC3DBF">
        <w:rPr>
          <w:rFonts w:cstheme="minorHAnsi"/>
        </w:rPr>
        <w:t>.</w:t>
      </w:r>
    </w:p>
    <w:p w14:paraId="643F27AF" w14:textId="7ABDBEF5" w:rsidR="00A02BC1" w:rsidRPr="009E3BA6" w:rsidRDefault="00A02BC1" w:rsidP="00A02BC1">
      <w:pPr>
        <w:spacing w:before="120"/>
        <w:rPr>
          <w:rFonts w:cstheme="minorHAnsi"/>
          <w:b/>
        </w:rPr>
      </w:pPr>
      <w:r w:rsidRPr="009E3BA6">
        <w:rPr>
          <w:rFonts w:cstheme="minorHAnsi"/>
          <w:b/>
        </w:rPr>
        <w:t xml:space="preserve">Unit </w:t>
      </w:r>
      <w:r w:rsidR="00840FD9">
        <w:rPr>
          <w:rFonts w:cstheme="minorHAnsi"/>
          <w:b/>
        </w:rPr>
        <w:t>1</w:t>
      </w:r>
    </w:p>
    <w:p w14:paraId="65E24DD9" w14:textId="31314403" w:rsidR="00A02BC1" w:rsidRPr="009E3BA6" w:rsidRDefault="00497E29" w:rsidP="00A02BC1">
      <w:pPr>
        <w:spacing w:before="120"/>
        <w:rPr>
          <w:rFonts w:cstheme="minorHAnsi"/>
          <w:b/>
        </w:rPr>
      </w:pPr>
      <w:r>
        <w:rPr>
          <w:rFonts w:cstheme="minorHAnsi"/>
          <w:b/>
        </w:rPr>
        <w:t>Nautical concepts and skills</w:t>
      </w:r>
    </w:p>
    <w:p w14:paraId="35D15F8A" w14:textId="37C791C3" w:rsidR="00A02BC1" w:rsidRPr="009E3BA6" w:rsidRDefault="003E1653" w:rsidP="00A02BC1">
      <w:pPr>
        <w:spacing w:after="0"/>
        <w:rPr>
          <w:rFonts w:cstheme="minorHAnsi"/>
          <w:b/>
        </w:rPr>
      </w:pPr>
      <w:r>
        <w:rPr>
          <w:rFonts w:cstheme="minorHAnsi"/>
          <w:b/>
        </w:rPr>
        <w:t>Power boating</w:t>
      </w:r>
    </w:p>
    <w:p w14:paraId="77B32AF0" w14:textId="77777777" w:rsidR="001322A1" w:rsidRPr="001322A1" w:rsidRDefault="001322A1" w:rsidP="001322A1">
      <w:pPr>
        <w:keepNext/>
        <w:spacing w:after="0" w:line="266" w:lineRule="auto"/>
        <w:rPr>
          <w:rFonts w:ascii="Calibri" w:eastAsia="MS Mincho" w:hAnsi="Calibri" w:cs="Raavi"/>
        </w:rPr>
      </w:pPr>
      <w:r w:rsidRPr="001322A1">
        <w:rPr>
          <w:rFonts w:ascii="Calibri" w:eastAsia="MS Mincho" w:hAnsi="Calibri" w:cs="Raavi"/>
        </w:rPr>
        <w:t>Safety equipment</w:t>
      </w:r>
    </w:p>
    <w:p w14:paraId="2F833A71" w14:textId="77777777" w:rsidR="001322A1" w:rsidRPr="001322A1" w:rsidRDefault="001322A1" w:rsidP="001322A1">
      <w:pPr>
        <w:numPr>
          <w:ilvl w:val="0"/>
          <w:numId w:val="14"/>
        </w:numPr>
        <w:spacing w:after="100" w:line="266" w:lineRule="auto"/>
        <w:contextualSpacing/>
        <w:rPr>
          <w:rFonts w:ascii="Calibri" w:eastAsia="MS Mincho" w:hAnsi="Calibri" w:cs="Raavi"/>
          <w:i/>
          <w:iCs/>
          <w:kern w:val="2"/>
          <w:lang w:eastAsia="ja-JP"/>
          <w14:ligatures w14:val="standardContextual"/>
        </w:rPr>
      </w:pPr>
      <w:r w:rsidRPr="001322A1">
        <w:rPr>
          <w:rFonts w:ascii="Calibri" w:eastAsia="MS Mincho" w:hAnsi="Calibri" w:cs="Raavi"/>
          <w:kern w:val="2"/>
          <w:lang w:eastAsia="ja-JP"/>
          <w14:ligatures w14:val="standardContextual"/>
        </w:rPr>
        <w:t xml:space="preserve">required </w:t>
      </w:r>
      <w:r w:rsidRPr="001322A1">
        <w:rPr>
          <w:rFonts w:ascii="Calibri" w:eastAsia="MS Mincho" w:hAnsi="Calibri" w:cs="Raavi"/>
          <w:i/>
          <w:iCs/>
          <w:kern w:val="2"/>
          <w:lang w:eastAsia="ja-JP"/>
          <w14:ligatures w14:val="standardContextual"/>
        </w:rPr>
        <w:t>and recommended</w:t>
      </w:r>
      <w:r w:rsidRPr="001322A1">
        <w:rPr>
          <w:rFonts w:ascii="Calibri" w:eastAsia="MS Mincho" w:hAnsi="Calibri" w:cs="Raavi"/>
          <w:kern w:val="2"/>
          <w:lang w:eastAsia="ja-JP"/>
          <w14:ligatures w14:val="standardContextual"/>
        </w:rPr>
        <w:t xml:space="preserve"> safety equipment (including unprotected waters, protected waters, and registrable vessels and non-registrable vessels): lifejacket, visual distress signals (flares, electronic visual distress signal [EVDS], parachute flares), GPS-enabled Emergency Positioning Indicator Radio Beacon (EPIRB)/GPS-enabled Personal Locator Beacon (PLB), and marine radio (VHF, 27 MHz</w:t>
      </w:r>
      <w:r w:rsidRPr="001322A1">
        <w:rPr>
          <w:rFonts w:ascii="Calibri" w:eastAsia="MS Mincho" w:hAnsi="Calibri" w:cs="Raavi"/>
          <w:i/>
          <w:iCs/>
          <w:kern w:val="2"/>
          <w:lang w:eastAsia="ja-JP"/>
          <w14:ligatures w14:val="standardContextual"/>
        </w:rPr>
        <w:t>), bailer or bilge pump, fire extinguishers, anchors</w:t>
      </w:r>
    </w:p>
    <w:p w14:paraId="5865C143" w14:textId="77777777" w:rsidR="001322A1" w:rsidRDefault="001322A1" w:rsidP="001322A1">
      <w:pPr>
        <w:numPr>
          <w:ilvl w:val="0"/>
          <w:numId w:val="14"/>
        </w:numPr>
        <w:spacing w:after="100" w:line="266" w:lineRule="auto"/>
        <w:contextualSpacing/>
        <w:rPr>
          <w:rFonts w:ascii="Calibri" w:eastAsia="MS Mincho" w:hAnsi="Calibri" w:cs="Raavi"/>
          <w:kern w:val="2"/>
          <w:lang w:eastAsia="ja-JP"/>
          <w14:ligatures w14:val="standardContextual"/>
        </w:rPr>
      </w:pPr>
      <w:r w:rsidRPr="001322A1">
        <w:rPr>
          <w:rFonts w:ascii="Calibri" w:eastAsia="MS Mincho" w:hAnsi="Calibri" w:cs="Raavi"/>
          <w:kern w:val="2"/>
          <w:lang w:eastAsia="ja-JP"/>
          <w14:ligatures w14:val="standardContextual"/>
        </w:rPr>
        <w:t>safety equipment expiry dates, care and maintenance, stowage and accessibility, safety equipment transition period (</w:t>
      </w:r>
      <w:proofErr w:type="gramStart"/>
      <w:r w:rsidRPr="001322A1">
        <w:rPr>
          <w:rFonts w:ascii="Calibri" w:eastAsia="MS Mincho" w:hAnsi="Calibri" w:cs="Raavi"/>
          <w:kern w:val="2"/>
          <w:lang w:eastAsia="ja-JP"/>
          <w14:ligatures w14:val="standardContextual"/>
        </w:rPr>
        <w:t>period of time</w:t>
      </w:r>
      <w:proofErr w:type="gramEnd"/>
      <w:r w:rsidRPr="001322A1">
        <w:rPr>
          <w:rFonts w:ascii="Calibri" w:eastAsia="MS Mincho" w:hAnsi="Calibri" w:cs="Raavi"/>
          <w:kern w:val="2"/>
          <w:lang w:eastAsia="ja-JP"/>
          <w14:ligatures w14:val="standardContextual"/>
        </w:rPr>
        <w:t xml:space="preserve"> to phase out old safety equipment)</w:t>
      </w:r>
    </w:p>
    <w:p w14:paraId="1498EE3E" w14:textId="2B40C089" w:rsidR="001322A1" w:rsidRPr="00B71D72" w:rsidRDefault="00C31459" w:rsidP="001322A1">
      <w:pPr>
        <w:numPr>
          <w:ilvl w:val="0"/>
          <w:numId w:val="14"/>
        </w:numPr>
        <w:spacing w:after="100" w:line="266" w:lineRule="auto"/>
        <w:contextualSpacing/>
        <w:rPr>
          <w:rFonts w:ascii="Calibri" w:eastAsia="MS Mincho" w:hAnsi="Calibri" w:cs="Raavi"/>
          <w:strike/>
          <w:kern w:val="2"/>
          <w:lang w:eastAsia="ja-JP"/>
          <w14:ligatures w14:val="standardContextual"/>
        </w:rPr>
      </w:pPr>
      <w:r w:rsidRPr="00B71D72">
        <w:rPr>
          <w:rFonts w:ascii="Calibri" w:eastAsia="MS Mincho" w:hAnsi="Calibri" w:cs="Raavi"/>
          <w:strike/>
          <w:kern w:val="2"/>
          <w:lang w:eastAsia="ja-JP"/>
          <w14:ligatures w14:val="standardContextual"/>
        </w:rPr>
        <w:t>recommended safety equipment (including unprotected waters</w:t>
      </w:r>
      <w:r w:rsidR="0084248D" w:rsidRPr="00B71D72">
        <w:rPr>
          <w:rFonts w:ascii="Calibri" w:eastAsia="MS Mincho" w:hAnsi="Calibri" w:cs="Raavi"/>
          <w:strike/>
          <w:kern w:val="2"/>
          <w:lang w:eastAsia="ja-JP"/>
          <w14:ligatures w14:val="standardContextual"/>
        </w:rPr>
        <w:t xml:space="preserve">, protected waters, and registrable vessels and </w:t>
      </w:r>
      <w:r w:rsidR="006F56EE" w:rsidRPr="00B71D72">
        <w:rPr>
          <w:rFonts w:ascii="Calibri" w:eastAsia="MS Mincho" w:hAnsi="Calibri" w:cs="Raavi"/>
          <w:strike/>
          <w:kern w:val="2"/>
          <w:lang w:eastAsia="ja-JP"/>
          <w14:ligatures w14:val="standardContextual"/>
        </w:rPr>
        <w:t xml:space="preserve">non-registrable vessels): bailer or bilge pump, fire </w:t>
      </w:r>
      <w:r w:rsidR="00B71D72" w:rsidRPr="00B71D72">
        <w:rPr>
          <w:rFonts w:ascii="Calibri" w:eastAsia="MS Mincho" w:hAnsi="Calibri" w:cs="Raavi"/>
          <w:strike/>
          <w:kern w:val="2"/>
          <w:lang w:eastAsia="ja-JP"/>
          <w14:ligatures w14:val="standardContextual"/>
        </w:rPr>
        <w:t>extinguishers, anchors</w:t>
      </w:r>
    </w:p>
    <w:p w14:paraId="52B41ABB" w14:textId="77777777" w:rsidR="001322A1" w:rsidRPr="001322A1" w:rsidRDefault="001322A1" w:rsidP="001322A1">
      <w:pPr>
        <w:numPr>
          <w:ilvl w:val="0"/>
          <w:numId w:val="14"/>
        </w:numPr>
        <w:spacing w:after="100" w:line="266" w:lineRule="auto"/>
        <w:contextualSpacing/>
        <w:rPr>
          <w:rFonts w:ascii="Calibri" w:eastAsia="MS Mincho" w:hAnsi="Calibri" w:cs="Raavi"/>
          <w:kern w:val="2"/>
          <w:lang w:eastAsia="ja-JP"/>
          <w14:ligatures w14:val="standardContextual"/>
        </w:rPr>
      </w:pPr>
      <w:r w:rsidRPr="001322A1">
        <w:rPr>
          <w:rFonts w:ascii="Calibri" w:eastAsia="MS Mincho" w:hAnsi="Calibri" w:cs="Raavi"/>
          <w:kern w:val="2"/>
          <w:lang w:eastAsia="ja-JP"/>
          <w14:ligatures w14:val="standardContextual"/>
        </w:rPr>
        <w:t>additional safety equipment: tool kit, first aid kit, fire blanket, life buoy, torch, life raft, replacement spark plugs, chart, knife, mask and snorkel, clothing, extra lines (ropes), sunscreen, water and extra fuel</w:t>
      </w:r>
    </w:p>
    <w:p w14:paraId="62724748" w14:textId="77777777" w:rsidR="001322A1" w:rsidRPr="001322A1" w:rsidRDefault="001322A1" w:rsidP="001322A1">
      <w:pPr>
        <w:numPr>
          <w:ilvl w:val="0"/>
          <w:numId w:val="14"/>
        </w:numPr>
        <w:spacing w:after="100" w:line="266" w:lineRule="auto"/>
        <w:contextualSpacing/>
        <w:rPr>
          <w:rFonts w:ascii="Calibri" w:eastAsia="MS Mincho" w:hAnsi="Calibri" w:cs="Raavi"/>
          <w:kern w:val="2"/>
          <w:lang w:eastAsia="ja-JP"/>
          <w14:ligatures w14:val="standardContextual"/>
        </w:rPr>
      </w:pPr>
      <w:r w:rsidRPr="001322A1">
        <w:rPr>
          <w:rFonts w:ascii="Calibri" w:eastAsia="MS Mincho" w:hAnsi="Calibri" w:cs="Raavi"/>
          <w:kern w:val="2"/>
          <w:lang w:eastAsia="ja-JP"/>
          <w14:ligatures w14:val="standardContextual"/>
        </w:rPr>
        <w:t xml:space="preserve">distress signals: radio (mayday, pan-pan, </w:t>
      </w:r>
      <w:proofErr w:type="spellStart"/>
      <w:r w:rsidRPr="001322A1">
        <w:rPr>
          <w:rFonts w:ascii="Calibri" w:eastAsia="MS Mincho" w:hAnsi="Calibri" w:cs="Raavi"/>
          <w:kern w:val="2"/>
          <w:lang w:eastAsia="ja-JP"/>
          <w14:ligatures w14:val="standardContextual"/>
        </w:rPr>
        <w:t>securite</w:t>
      </w:r>
      <w:proofErr w:type="spellEnd"/>
      <w:r w:rsidRPr="001322A1">
        <w:rPr>
          <w:rFonts w:ascii="Calibri" w:eastAsia="MS Mincho" w:hAnsi="Calibri" w:cs="Raavi"/>
          <w:kern w:val="2"/>
          <w:lang w:eastAsia="ja-JP"/>
          <w14:ligatures w14:val="standardContextual"/>
        </w:rPr>
        <w:t>), emergency positioning indicator radio beacon (EPIRB), flares and phone</w:t>
      </w:r>
    </w:p>
    <w:sectPr w:rsidR="001322A1" w:rsidRPr="001322A1" w:rsidSect="00C70734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644" w:right="1418" w:bottom="1276" w:left="1418" w:header="680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EDBE1F" w14:textId="77777777" w:rsidR="004871F2" w:rsidRDefault="004871F2" w:rsidP="00C172F1">
      <w:pPr>
        <w:spacing w:after="0" w:line="240" w:lineRule="auto"/>
      </w:pPr>
      <w:r>
        <w:separator/>
      </w:r>
    </w:p>
  </w:endnote>
  <w:endnote w:type="continuationSeparator" w:id="0">
    <w:p w14:paraId="6F90FEFE" w14:textId="77777777" w:rsidR="004871F2" w:rsidRDefault="004871F2" w:rsidP="00C172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541EF" w14:textId="11731C15" w:rsidR="00D83888" w:rsidRPr="00BB580F" w:rsidRDefault="00BB580F" w:rsidP="00BB580F">
    <w:r w:rsidRPr="00BB580F">
      <w:rPr>
        <w:sz w:val="18"/>
        <w:szCs w:val="18"/>
      </w:rPr>
      <w:t>2026/</w:t>
    </w:r>
    <w:r w:rsidR="0051149D">
      <w:rPr>
        <w:sz w:val="18"/>
        <w:szCs w:val="18"/>
      </w:rPr>
      <w:t>44657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DFDD44" w14:textId="77777777" w:rsidR="004871F2" w:rsidRDefault="004871F2" w:rsidP="00C172F1">
      <w:pPr>
        <w:spacing w:after="0" w:line="240" w:lineRule="auto"/>
      </w:pPr>
      <w:r>
        <w:separator/>
      </w:r>
    </w:p>
  </w:footnote>
  <w:footnote w:type="continuationSeparator" w:id="0">
    <w:p w14:paraId="4015C4C7" w14:textId="77777777" w:rsidR="004871F2" w:rsidRDefault="004871F2" w:rsidP="00C172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44985" w14:textId="094BD633" w:rsidR="00D66E95" w:rsidRDefault="00D66E9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D6514BB" wp14:editId="3CF7E0F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68935"/>
              <wp:effectExtent l="0" t="0" r="14605" b="12065"/>
              <wp:wrapNone/>
              <wp:docPr id="358142405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191E2B" w14:textId="53A75F3E" w:rsidR="00D66E95" w:rsidRPr="00D66E95" w:rsidRDefault="00D66E95" w:rsidP="00D66E9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66E9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6514B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0.85pt;height:29.0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" filled="f" stroked="f">
              <v:textbox style="mso-fit-shape-to-text:t" inset="0,15pt,0,0">
                <w:txbxContent>
                  <w:p w14:paraId="79191E2B" w14:textId="53A75F3E" w:rsidR="00D66E95" w:rsidRPr="00D66E95" w:rsidRDefault="00D66E95" w:rsidP="00D66E9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D66E95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2D6A6" w14:textId="573C5C3D" w:rsidR="00D66E95" w:rsidRDefault="00D66E9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1AB789C" wp14:editId="4648800F">
              <wp:simplePos x="904875" y="42862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68935"/>
              <wp:effectExtent l="0" t="0" r="14605" b="12065"/>
              <wp:wrapNone/>
              <wp:docPr id="1634349229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776523" w14:textId="016FE5A8" w:rsidR="00D66E95" w:rsidRPr="00D66E95" w:rsidRDefault="00D66E95" w:rsidP="00D66E9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66E9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AB789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0.85pt;height:29.0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" filled="f" stroked="f">
              <v:textbox style="mso-fit-shape-to-text:t" inset="0,15pt,0,0">
                <w:txbxContent>
                  <w:p w14:paraId="6A776523" w14:textId="016FE5A8" w:rsidR="00D66E95" w:rsidRPr="00D66E95" w:rsidRDefault="00D66E95" w:rsidP="00D66E9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D66E95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F748B" w14:textId="595EC5D9" w:rsidR="00D66E95" w:rsidRDefault="00D66E9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3D8FEA9" wp14:editId="20F7817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68935"/>
              <wp:effectExtent l="0" t="0" r="14605" b="12065"/>
              <wp:wrapNone/>
              <wp:docPr id="1068024048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0AF284" w14:textId="46066FEB" w:rsidR="00D66E95" w:rsidRPr="00D66E95" w:rsidRDefault="00D66E95" w:rsidP="00D66E9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66E9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D8FEA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40.85pt;height:29.0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" filled="f" stroked="f">
              <v:textbox style="mso-fit-shape-to-text:t" inset="0,15pt,0,0">
                <w:txbxContent>
                  <w:p w14:paraId="330AF284" w14:textId="46066FEB" w:rsidR="00D66E95" w:rsidRPr="00D66E95" w:rsidRDefault="00D66E95" w:rsidP="00D66E9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D66E95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04BAD05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F5A0C6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515228D"/>
    <w:multiLevelType w:val="hybridMultilevel"/>
    <w:tmpl w:val="D738108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EBE749A">
      <w:numFmt w:val="bullet"/>
      <w:lvlText w:val="-"/>
      <w:lvlJc w:val="left"/>
      <w:pPr>
        <w:ind w:left="2520" w:hanging="360"/>
      </w:pPr>
      <w:rPr>
        <w:rFonts w:ascii="Calibri" w:eastAsiaTheme="minorEastAsia" w:hAnsi="Calibri" w:cs="Calibri" w:hint="default"/>
        <w:i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21541F"/>
    <w:multiLevelType w:val="multilevel"/>
    <w:tmpl w:val="C0F29924"/>
    <w:numStyleLink w:val="SCSABulletList"/>
  </w:abstractNum>
  <w:abstractNum w:abstractNumId="4" w15:restartNumberingAfterBreak="0">
    <w:nsid w:val="16253DFF"/>
    <w:multiLevelType w:val="multilevel"/>
    <w:tmpl w:val="762853C8"/>
    <w:numStyleLink w:val="SCSABulletList1"/>
  </w:abstractNum>
  <w:abstractNum w:abstractNumId="5" w15:restartNumberingAfterBreak="0">
    <w:nsid w:val="1AB83B8B"/>
    <w:multiLevelType w:val="multilevel"/>
    <w:tmpl w:val="762853C8"/>
    <w:styleLink w:val="SCSA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714" w:hanging="354"/>
      </w:pPr>
      <w:rPr>
        <w:rFonts w:ascii="Wingdings" w:hAnsi="Wingdings" w:hint="default"/>
      </w:rPr>
    </w:lvl>
    <w:lvl w:ilvl="2">
      <w:start w:val="1"/>
      <w:numFmt w:val="bullet"/>
      <w:lvlText w:val="o"/>
      <w:lvlJc w:val="left"/>
      <w:pPr>
        <w:ind w:left="1072" w:hanging="358"/>
      </w:pPr>
      <w:rPr>
        <w:rFonts w:ascii="Courier New" w:hAnsi="Courier New" w:hint="default"/>
      </w:rPr>
    </w:lvl>
    <w:lvl w:ilvl="3">
      <w:start w:val="1"/>
      <w:numFmt w:val="bullet"/>
      <w:lvlText w:val=""/>
      <w:lvlJc w:val="left"/>
      <w:pPr>
        <w:ind w:left="1429" w:hanging="35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786" w:hanging="357"/>
      </w:pPr>
      <w:rPr>
        <w:rFonts w:ascii="Symbol" w:hAnsi="Symbol" w:hint="default"/>
      </w:rPr>
    </w:lvl>
    <w:lvl w:ilvl="5">
      <w:start w:val="1"/>
      <w:numFmt w:val="bullet"/>
      <w:lvlText w:val=""/>
      <w:lvlJc w:val="left"/>
      <w:pPr>
        <w:ind w:left="2143" w:hanging="357"/>
      </w:pPr>
      <w:rPr>
        <w:rFonts w:ascii="Wingdings" w:hAnsi="Wingdings" w:hint="default"/>
      </w:rPr>
    </w:lvl>
    <w:lvl w:ilvl="6">
      <w:start w:val="1"/>
      <w:numFmt w:val="bullet"/>
      <w:lvlText w:val="o"/>
      <w:lvlJc w:val="left"/>
      <w:pPr>
        <w:ind w:left="2500" w:hanging="357"/>
      </w:pPr>
      <w:rPr>
        <w:rFonts w:ascii="Courier New" w:hAnsi="Courier New" w:hint="default"/>
      </w:rPr>
    </w:lvl>
    <w:lvl w:ilvl="7">
      <w:start w:val="1"/>
      <w:numFmt w:val="bullet"/>
      <w:lvlText w:val=""/>
      <w:lvlJc w:val="left"/>
      <w:pPr>
        <w:ind w:left="2858" w:hanging="358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3215" w:hanging="357"/>
      </w:pPr>
      <w:rPr>
        <w:rFonts w:ascii="Symbol" w:hAnsi="Symbol" w:hint="default"/>
      </w:rPr>
    </w:lvl>
  </w:abstractNum>
  <w:abstractNum w:abstractNumId="6" w15:restartNumberingAfterBreak="0">
    <w:nsid w:val="20337D18"/>
    <w:multiLevelType w:val="multilevel"/>
    <w:tmpl w:val="C0F29924"/>
    <w:styleLink w:val="SCSABullet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717" w:hanging="360"/>
      </w:pPr>
      <w:rPr>
        <w:rFonts w:ascii="Wingdings" w:hAnsi="Wingdings" w:hint="default"/>
      </w:rPr>
    </w:lvl>
    <w:lvl w:ilvl="2">
      <w:start w:val="1"/>
      <w:numFmt w:val="bullet"/>
      <w:lvlText w:val="o"/>
      <w:lvlJc w:val="left"/>
      <w:pPr>
        <w:ind w:left="1077" w:hanging="357"/>
      </w:pPr>
      <w:rPr>
        <w:rFonts w:ascii="Courier New" w:hAnsi="Courier New" w:hint="default"/>
      </w:rPr>
    </w:lvl>
    <w:lvl w:ilvl="3">
      <w:start w:val="1"/>
      <w:numFmt w:val="bullet"/>
      <w:lvlText w:val=""/>
      <w:lvlJc w:val="left"/>
      <w:pPr>
        <w:ind w:left="1435" w:hanging="358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792" w:hanging="357"/>
      </w:pPr>
      <w:rPr>
        <w:rFonts w:ascii="Symbol" w:hAnsi="Symbol" w:hint="default"/>
      </w:rPr>
    </w:lvl>
    <w:lvl w:ilvl="5">
      <w:start w:val="1"/>
      <w:numFmt w:val="bullet"/>
      <w:lvlText w:val=""/>
      <w:lvlJc w:val="left"/>
      <w:pPr>
        <w:ind w:left="2149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4C83616"/>
    <w:multiLevelType w:val="hybridMultilevel"/>
    <w:tmpl w:val="8E4EDB76"/>
    <w:lvl w:ilvl="0" w:tplc="7AC8B280">
      <w:numFmt w:val="bullet"/>
      <w:lvlText w:val="-"/>
      <w:lvlJc w:val="left"/>
      <w:pPr>
        <w:ind w:left="1803" w:hanging="360"/>
      </w:pPr>
      <w:rPr>
        <w:rFonts w:ascii="Symbol" w:eastAsiaTheme="minorEastAsia" w:hAnsi="Symbol" w:hint="default"/>
        <w:i/>
      </w:rPr>
    </w:lvl>
    <w:lvl w:ilvl="1" w:tplc="7AC8B280">
      <w:numFmt w:val="bullet"/>
      <w:lvlText w:val="-"/>
      <w:lvlJc w:val="left"/>
      <w:pPr>
        <w:ind w:left="1440" w:hanging="360"/>
      </w:pPr>
      <w:rPr>
        <w:rFonts w:ascii="Symbol" w:eastAsiaTheme="minorEastAsia" w:hAnsi="Symbol" w:hint="default"/>
        <w:i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3E34A0"/>
    <w:multiLevelType w:val="hybridMultilevel"/>
    <w:tmpl w:val="3EC20EB8"/>
    <w:lvl w:ilvl="0" w:tplc="0C090001">
      <w:start w:val="1"/>
      <w:numFmt w:val="bullet"/>
      <w:pStyle w:val="Heading1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4416FEF"/>
    <w:multiLevelType w:val="multilevel"/>
    <w:tmpl w:val="EB2CB468"/>
    <w:styleLink w:val="ListBullets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907"/>
        </w:tabs>
        <w:ind w:left="907" w:hanging="39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418"/>
        </w:tabs>
        <w:ind w:left="1417" w:hanging="39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928"/>
        </w:tabs>
        <w:ind w:left="1927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438"/>
        </w:tabs>
        <w:ind w:left="2437" w:hanging="39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910"/>
        </w:tabs>
        <w:ind w:left="2947" w:hanging="39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420"/>
        </w:tabs>
        <w:ind w:left="3457" w:hanging="39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930"/>
        </w:tabs>
        <w:ind w:left="3967" w:hanging="39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4440"/>
        </w:tabs>
        <w:ind w:left="4477" w:hanging="397"/>
      </w:pPr>
      <w:rPr>
        <w:rFonts w:ascii="Wingdings" w:hAnsi="Wingdings" w:hint="default"/>
      </w:rPr>
    </w:lvl>
  </w:abstractNum>
  <w:abstractNum w:abstractNumId="10" w15:restartNumberingAfterBreak="0">
    <w:nsid w:val="37672294"/>
    <w:multiLevelType w:val="multilevel"/>
    <w:tmpl w:val="CA8A9336"/>
    <w:styleLink w:val="EngBulletsList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714" w:hanging="357"/>
      </w:pPr>
      <w:rPr>
        <w:rFonts w:ascii="Wingdings" w:hAnsi="Wingdings" w:hint="default"/>
      </w:rPr>
    </w:lvl>
    <w:lvl w:ilvl="2">
      <w:start w:val="1"/>
      <w:numFmt w:val="bullet"/>
      <w:lvlText w:val="○"/>
      <w:lvlJc w:val="left"/>
      <w:pPr>
        <w:ind w:left="1071" w:hanging="357"/>
      </w:pPr>
      <w:rPr>
        <w:rFonts w:ascii="Courier New" w:hAnsi="Courier New" w:hint="default"/>
      </w:rPr>
    </w:lvl>
    <w:lvl w:ilvl="3">
      <w:start w:val="1"/>
      <w:numFmt w:val="bullet"/>
      <w:lvlText w:val="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785" w:hanging="357"/>
      </w:pPr>
      <w:rPr>
        <w:rFonts w:ascii="Symbol" w:hAnsi="Symbol" w:hint="default"/>
      </w:rPr>
    </w:lvl>
    <w:lvl w:ilvl="5">
      <w:start w:val="1"/>
      <w:numFmt w:val="none"/>
      <w:lvlText w:val=""/>
      <w:lvlJc w:val="left"/>
      <w:pPr>
        <w:ind w:left="2142" w:hanging="357"/>
      </w:pPr>
      <w:rPr>
        <w:rFonts w:hint="default"/>
      </w:rPr>
    </w:lvl>
    <w:lvl w:ilvl="6">
      <w:start w:val="1"/>
      <w:numFmt w:val="none"/>
      <w:lvlText w:val=""/>
      <w:lvlJc w:val="left"/>
      <w:pPr>
        <w:ind w:left="2499" w:hanging="357"/>
      </w:pPr>
      <w:rPr>
        <w:rFonts w:hint="default"/>
      </w:rPr>
    </w:lvl>
    <w:lvl w:ilvl="7">
      <w:start w:val="1"/>
      <w:numFmt w:val="none"/>
      <w:lvlText w:val=""/>
      <w:lvlJc w:val="left"/>
      <w:pPr>
        <w:ind w:left="2856" w:hanging="357"/>
      </w:pPr>
      <w:rPr>
        <w:rFonts w:hint="default"/>
      </w:rPr>
    </w:lvl>
    <w:lvl w:ilvl="8">
      <w:start w:val="1"/>
      <w:numFmt w:val="none"/>
      <w:lvlText w:val=""/>
      <w:lvlJc w:val="left"/>
      <w:pPr>
        <w:ind w:left="3213" w:hanging="357"/>
      </w:pPr>
      <w:rPr>
        <w:rFonts w:hint="default"/>
      </w:rPr>
    </w:lvl>
  </w:abstractNum>
  <w:abstractNum w:abstractNumId="11" w15:restartNumberingAfterBreak="0">
    <w:nsid w:val="42C005C2"/>
    <w:multiLevelType w:val="hybridMultilevel"/>
    <w:tmpl w:val="2EAE579E"/>
    <w:lvl w:ilvl="0" w:tplc="C7E091E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numFmt w:val="bullet"/>
      <w:lvlText w:val="-"/>
      <w:lvlJc w:val="left"/>
      <w:pPr>
        <w:ind w:left="2520" w:hanging="360"/>
      </w:pPr>
      <w:rPr>
        <w:rFonts w:ascii="Calibri" w:eastAsiaTheme="minorEastAsia" w:hAnsi="Calibri" w:cs="Calibri" w:hint="default"/>
        <w:i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80F2C4B"/>
    <w:multiLevelType w:val="multilevel"/>
    <w:tmpl w:val="C0F29924"/>
    <w:numStyleLink w:val="SCSABulletList"/>
  </w:abstractNum>
  <w:abstractNum w:abstractNumId="13" w15:restartNumberingAfterBreak="0">
    <w:nsid w:val="4D404FA8"/>
    <w:multiLevelType w:val="multilevel"/>
    <w:tmpl w:val="4B2AEF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6CBF2513"/>
    <w:multiLevelType w:val="hybridMultilevel"/>
    <w:tmpl w:val="FD8A498C"/>
    <w:lvl w:ilvl="0" w:tplc="FA541E3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89543720">
    <w:abstractNumId w:val="14"/>
  </w:num>
  <w:num w:numId="2" w16cid:durableId="730886385">
    <w:abstractNumId w:val="9"/>
  </w:num>
  <w:num w:numId="3" w16cid:durableId="137041739">
    <w:abstractNumId w:val="8"/>
  </w:num>
  <w:num w:numId="4" w16cid:durableId="1724984853">
    <w:abstractNumId w:val="2"/>
  </w:num>
  <w:num w:numId="5" w16cid:durableId="1510633869">
    <w:abstractNumId w:val="1"/>
  </w:num>
  <w:num w:numId="6" w16cid:durableId="664747358">
    <w:abstractNumId w:val="0"/>
  </w:num>
  <w:num w:numId="7" w16cid:durableId="1595943122">
    <w:abstractNumId w:val="10"/>
  </w:num>
  <w:num w:numId="8" w16cid:durableId="2048216384">
    <w:abstractNumId w:val="13"/>
  </w:num>
  <w:num w:numId="9" w16cid:durableId="628320279">
    <w:abstractNumId w:val="11"/>
  </w:num>
  <w:num w:numId="10" w16cid:durableId="796753231">
    <w:abstractNumId w:val="7"/>
  </w:num>
  <w:num w:numId="11" w16cid:durableId="1517453160">
    <w:abstractNumId w:val="6"/>
  </w:num>
  <w:num w:numId="12" w16cid:durableId="623928248">
    <w:abstractNumId w:val="12"/>
  </w:num>
  <w:num w:numId="13" w16cid:durableId="1269585255">
    <w:abstractNumId w:val="3"/>
  </w:num>
  <w:num w:numId="14" w16cid:durableId="1991664840">
    <w:abstractNumId w:val="4"/>
  </w:num>
  <w:num w:numId="15" w16cid:durableId="715785001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1BF"/>
    <w:rsid w:val="00000035"/>
    <w:rsid w:val="00010803"/>
    <w:rsid w:val="00013E91"/>
    <w:rsid w:val="00014A4C"/>
    <w:rsid w:val="0001621A"/>
    <w:rsid w:val="000602F2"/>
    <w:rsid w:val="000650EF"/>
    <w:rsid w:val="00074F5A"/>
    <w:rsid w:val="000B1665"/>
    <w:rsid w:val="000B30CF"/>
    <w:rsid w:val="000B45C2"/>
    <w:rsid w:val="000B4D2A"/>
    <w:rsid w:val="000F3F5C"/>
    <w:rsid w:val="000F4384"/>
    <w:rsid w:val="000F5C48"/>
    <w:rsid w:val="000F6D00"/>
    <w:rsid w:val="001055F2"/>
    <w:rsid w:val="001108C5"/>
    <w:rsid w:val="00111937"/>
    <w:rsid w:val="00120B9B"/>
    <w:rsid w:val="00124831"/>
    <w:rsid w:val="0013071D"/>
    <w:rsid w:val="001322A1"/>
    <w:rsid w:val="001640FC"/>
    <w:rsid w:val="00171E9C"/>
    <w:rsid w:val="00174D13"/>
    <w:rsid w:val="00185C52"/>
    <w:rsid w:val="00190AFF"/>
    <w:rsid w:val="001A4C14"/>
    <w:rsid w:val="001A723C"/>
    <w:rsid w:val="001C3451"/>
    <w:rsid w:val="001C5A16"/>
    <w:rsid w:val="001D1674"/>
    <w:rsid w:val="001D642A"/>
    <w:rsid w:val="001E665C"/>
    <w:rsid w:val="001F2EBA"/>
    <w:rsid w:val="001F7298"/>
    <w:rsid w:val="001F79E0"/>
    <w:rsid w:val="0020074A"/>
    <w:rsid w:val="00206FDD"/>
    <w:rsid w:val="0020753A"/>
    <w:rsid w:val="002100BD"/>
    <w:rsid w:val="0022123B"/>
    <w:rsid w:val="002214D0"/>
    <w:rsid w:val="002252AF"/>
    <w:rsid w:val="00237B28"/>
    <w:rsid w:val="0024461E"/>
    <w:rsid w:val="00276775"/>
    <w:rsid w:val="00281A31"/>
    <w:rsid w:val="002A452F"/>
    <w:rsid w:val="002B3D14"/>
    <w:rsid w:val="002D756C"/>
    <w:rsid w:val="003110E5"/>
    <w:rsid w:val="00351823"/>
    <w:rsid w:val="00355F5A"/>
    <w:rsid w:val="00360C97"/>
    <w:rsid w:val="003641AF"/>
    <w:rsid w:val="00374D8A"/>
    <w:rsid w:val="00376354"/>
    <w:rsid w:val="00383BAF"/>
    <w:rsid w:val="003913BD"/>
    <w:rsid w:val="00397469"/>
    <w:rsid w:val="003A1EF7"/>
    <w:rsid w:val="003C7D40"/>
    <w:rsid w:val="003E1653"/>
    <w:rsid w:val="003F5E65"/>
    <w:rsid w:val="004061B3"/>
    <w:rsid w:val="004306D0"/>
    <w:rsid w:val="00432337"/>
    <w:rsid w:val="00435F37"/>
    <w:rsid w:val="00453F97"/>
    <w:rsid w:val="00460A32"/>
    <w:rsid w:val="004871F2"/>
    <w:rsid w:val="00495A9C"/>
    <w:rsid w:val="00497E29"/>
    <w:rsid w:val="004A25BB"/>
    <w:rsid w:val="004A4C9F"/>
    <w:rsid w:val="004B6AE2"/>
    <w:rsid w:val="004E48B4"/>
    <w:rsid w:val="004F5872"/>
    <w:rsid w:val="0051149D"/>
    <w:rsid w:val="005213E2"/>
    <w:rsid w:val="0052538C"/>
    <w:rsid w:val="00535834"/>
    <w:rsid w:val="00546860"/>
    <w:rsid w:val="005736EE"/>
    <w:rsid w:val="00574DF9"/>
    <w:rsid w:val="00586367"/>
    <w:rsid w:val="005908CE"/>
    <w:rsid w:val="005A1F47"/>
    <w:rsid w:val="005C7147"/>
    <w:rsid w:val="005D3820"/>
    <w:rsid w:val="005E69F3"/>
    <w:rsid w:val="005F24FA"/>
    <w:rsid w:val="00601C2E"/>
    <w:rsid w:val="00622442"/>
    <w:rsid w:val="00630D14"/>
    <w:rsid w:val="006337FD"/>
    <w:rsid w:val="006733EF"/>
    <w:rsid w:val="00673839"/>
    <w:rsid w:val="006808A8"/>
    <w:rsid w:val="00686093"/>
    <w:rsid w:val="006951BF"/>
    <w:rsid w:val="006975C4"/>
    <w:rsid w:val="006D37FB"/>
    <w:rsid w:val="006E5C58"/>
    <w:rsid w:val="006E66A1"/>
    <w:rsid w:val="006F4690"/>
    <w:rsid w:val="006F56EE"/>
    <w:rsid w:val="00704B36"/>
    <w:rsid w:val="00712BA5"/>
    <w:rsid w:val="007131BF"/>
    <w:rsid w:val="007152BC"/>
    <w:rsid w:val="00732BA5"/>
    <w:rsid w:val="00746B89"/>
    <w:rsid w:val="00746D19"/>
    <w:rsid w:val="00747DA2"/>
    <w:rsid w:val="00754595"/>
    <w:rsid w:val="0076480E"/>
    <w:rsid w:val="007651B7"/>
    <w:rsid w:val="0076694B"/>
    <w:rsid w:val="00794508"/>
    <w:rsid w:val="007A54E9"/>
    <w:rsid w:val="007B0BB8"/>
    <w:rsid w:val="007C231E"/>
    <w:rsid w:val="007D0169"/>
    <w:rsid w:val="007D26F0"/>
    <w:rsid w:val="007D603F"/>
    <w:rsid w:val="007D675A"/>
    <w:rsid w:val="007D73E1"/>
    <w:rsid w:val="00800A94"/>
    <w:rsid w:val="00802436"/>
    <w:rsid w:val="00807731"/>
    <w:rsid w:val="00807877"/>
    <w:rsid w:val="00807996"/>
    <w:rsid w:val="00823DFD"/>
    <w:rsid w:val="00840FD9"/>
    <w:rsid w:val="0084248D"/>
    <w:rsid w:val="00852430"/>
    <w:rsid w:val="00853D86"/>
    <w:rsid w:val="0086198C"/>
    <w:rsid w:val="008625DF"/>
    <w:rsid w:val="00864DBE"/>
    <w:rsid w:val="0086576D"/>
    <w:rsid w:val="00874F37"/>
    <w:rsid w:val="00885E4B"/>
    <w:rsid w:val="00891DBD"/>
    <w:rsid w:val="00894031"/>
    <w:rsid w:val="008A7E3A"/>
    <w:rsid w:val="008B6C4D"/>
    <w:rsid w:val="008C14A1"/>
    <w:rsid w:val="008D4EA5"/>
    <w:rsid w:val="008E570F"/>
    <w:rsid w:val="008F08C0"/>
    <w:rsid w:val="008F2562"/>
    <w:rsid w:val="0090660E"/>
    <w:rsid w:val="0091118D"/>
    <w:rsid w:val="00924226"/>
    <w:rsid w:val="00924B1C"/>
    <w:rsid w:val="00935AE6"/>
    <w:rsid w:val="009365C7"/>
    <w:rsid w:val="009465C7"/>
    <w:rsid w:val="00946B43"/>
    <w:rsid w:val="0095498B"/>
    <w:rsid w:val="0096774A"/>
    <w:rsid w:val="009A491D"/>
    <w:rsid w:val="009B47C4"/>
    <w:rsid w:val="009E3BA6"/>
    <w:rsid w:val="009F0E97"/>
    <w:rsid w:val="009F11A7"/>
    <w:rsid w:val="009F571E"/>
    <w:rsid w:val="00A02BC1"/>
    <w:rsid w:val="00A11864"/>
    <w:rsid w:val="00A13203"/>
    <w:rsid w:val="00A15503"/>
    <w:rsid w:val="00A314F4"/>
    <w:rsid w:val="00A320EB"/>
    <w:rsid w:val="00A32E0B"/>
    <w:rsid w:val="00A4204D"/>
    <w:rsid w:val="00A43F90"/>
    <w:rsid w:val="00A44EA9"/>
    <w:rsid w:val="00A55D32"/>
    <w:rsid w:val="00A6597A"/>
    <w:rsid w:val="00A71C04"/>
    <w:rsid w:val="00A723E9"/>
    <w:rsid w:val="00A77758"/>
    <w:rsid w:val="00A86DC2"/>
    <w:rsid w:val="00A943A7"/>
    <w:rsid w:val="00A95B98"/>
    <w:rsid w:val="00AA7B63"/>
    <w:rsid w:val="00AB2F6D"/>
    <w:rsid w:val="00AC269F"/>
    <w:rsid w:val="00AC410E"/>
    <w:rsid w:val="00AD661D"/>
    <w:rsid w:val="00AD7D8D"/>
    <w:rsid w:val="00AE24E8"/>
    <w:rsid w:val="00AF2B56"/>
    <w:rsid w:val="00AF5A52"/>
    <w:rsid w:val="00AF76FF"/>
    <w:rsid w:val="00B11B5A"/>
    <w:rsid w:val="00B17BC5"/>
    <w:rsid w:val="00B63D81"/>
    <w:rsid w:val="00B71D72"/>
    <w:rsid w:val="00B952EB"/>
    <w:rsid w:val="00B95F75"/>
    <w:rsid w:val="00BA4D7F"/>
    <w:rsid w:val="00BB05A7"/>
    <w:rsid w:val="00BB580F"/>
    <w:rsid w:val="00BC36D5"/>
    <w:rsid w:val="00BC3DBF"/>
    <w:rsid w:val="00BC5A20"/>
    <w:rsid w:val="00BD2792"/>
    <w:rsid w:val="00BD7CCE"/>
    <w:rsid w:val="00BF75C7"/>
    <w:rsid w:val="00C02DBC"/>
    <w:rsid w:val="00C1724E"/>
    <w:rsid w:val="00C172F1"/>
    <w:rsid w:val="00C17A21"/>
    <w:rsid w:val="00C31459"/>
    <w:rsid w:val="00C32ACE"/>
    <w:rsid w:val="00C32CAA"/>
    <w:rsid w:val="00C334A8"/>
    <w:rsid w:val="00C5524B"/>
    <w:rsid w:val="00C56CCE"/>
    <w:rsid w:val="00C64978"/>
    <w:rsid w:val="00C65CB0"/>
    <w:rsid w:val="00C70734"/>
    <w:rsid w:val="00C7384F"/>
    <w:rsid w:val="00C76CB7"/>
    <w:rsid w:val="00C90C85"/>
    <w:rsid w:val="00C9451B"/>
    <w:rsid w:val="00C97203"/>
    <w:rsid w:val="00CA0985"/>
    <w:rsid w:val="00CA2E68"/>
    <w:rsid w:val="00CD20D3"/>
    <w:rsid w:val="00CE0DC6"/>
    <w:rsid w:val="00CF3EA7"/>
    <w:rsid w:val="00CF5443"/>
    <w:rsid w:val="00D10027"/>
    <w:rsid w:val="00D12368"/>
    <w:rsid w:val="00D12D3E"/>
    <w:rsid w:val="00D13B34"/>
    <w:rsid w:val="00D16D4D"/>
    <w:rsid w:val="00D31807"/>
    <w:rsid w:val="00D32851"/>
    <w:rsid w:val="00D33EFB"/>
    <w:rsid w:val="00D4169A"/>
    <w:rsid w:val="00D427D8"/>
    <w:rsid w:val="00D5170F"/>
    <w:rsid w:val="00D55038"/>
    <w:rsid w:val="00D66E95"/>
    <w:rsid w:val="00D83888"/>
    <w:rsid w:val="00D846D7"/>
    <w:rsid w:val="00D86A31"/>
    <w:rsid w:val="00D92E3B"/>
    <w:rsid w:val="00DC0DC4"/>
    <w:rsid w:val="00DD2343"/>
    <w:rsid w:val="00DE55E0"/>
    <w:rsid w:val="00DF7686"/>
    <w:rsid w:val="00E07415"/>
    <w:rsid w:val="00E10C94"/>
    <w:rsid w:val="00E12814"/>
    <w:rsid w:val="00E277C2"/>
    <w:rsid w:val="00E541CA"/>
    <w:rsid w:val="00E57AC0"/>
    <w:rsid w:val="00E649F9"/>
    <w:rsid w:val="00E8571A"/>
    <w:rsid w:val="00E922D7"/>
    <w:rsid w:val="00EA2878"/>
    <w:rsid w:val="00ED2D97"/>
    <w:rsid w:val="00F15278"/>
    <w:rsid w:val="00F430F7"/>
    <w:rsid w:val="00F44383"/>
    <w:rsid w:val="00F471F7"/>
    <w:rsid w:val="00F5242D"/>
    <w:rsid w:val="00F5382A"/>
    <w:rsid w:val="00F53CB5"/>
    <w:rsid w:val="00F54A17"/>
    <w:rsid w:val="00F83976"/>
    <w:rsid w:val="00FB3A10"/>
    <w:rsid w:val="00FD2429"/>
    <w:rsid w:val="00FD4A1E"/>
    <w:rsid w:val="00FE5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C433DDA"/>
  <w15:chartTrackingRefBased/>
  <w15:docId w15:val="{D59E24F4-FB99-4CCC-96B9-4F1AE50AC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80F"/>
  </w:style>
  <w:style w:type="paragraph" w:styleId="Heading1">
    <w:name w:val="heading 1"/>
    <w:basedOn w:val="Normal"/>
    <w:next w:val="Normal"/>
    <w:link w:val="Heading1Char"/>
    <w:uiPriority w:val="9"/>
    <w:qFormat/>
    <w:rsid w:val="00924226"/>
    <w:pPr>
      <w:keepNext/>
      <w:keepLines/>
      <w:numPr>
        <w:numId w:val="3"/>
      </w:numPr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410B68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C5A16"/>
    <w:pPr>
      <w:spacing w:before="240" w:after="60" w:line="264" w:lineRule="auto"/>
      <w:outlineLvl w:val="2"/>
    </w:pPr>
    <w:rPr>
      <w:rFonts w:ascii="Calibri" w:eastAsiaTheme="minorEastAsia" w:hAnsi="Calibri" w:cs="Times New Roman"/>
      <w:b/>
      <w:bCs/>
      <w:color w:val="595959" w:themeColor="text1" w:themeTint="A6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131BF"/>
    <w:rPr>
      <w:color w:val="580F8B" w:themeColor="hyperlink"/>
      <w:u w:val="single"/>
    </w:rPr>
  </w:style>
  <w:style w:type="table" w:styleId="TableGrid">
    <w:name w:val="Table Grid"/>
    <w:basedOn w:val="TableNormal"/>
    <w:uiPriority w:val="39"/>
    <w:rsid w:val="007131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365C7"/>
    <w:pPr>
      <w:ind w:left="720"/>
      <w:contextualSpacing/>
    </w:pPr>
  </w:style>
  <w:style w:type="paragraph" w:customStyle="1" w:styleId="Default">
    <w:name w:val="Default"/>
    <w:rsid w:val="00E857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LightList-Accent4">
    <w:name w:val="Light List Accent 4"/>
    <w:aliases w:val="Syllabus tables"/>
    <w:basedOn w:val="TableNormal"/>
    <w:uiPriority w:val="61"/>
    <w:rsid w:val="00AE24E8"/>
    <w:pPr>
      <w:spacing w:after="0" w:line="240" w:lineRule="auto"/>
    </w:pPr>
    <w:rPr>
      <w:rFonts w:ascii="Arial" w:eastAsiaTheme="minorEastAsia" w:hAnsi="Arial"/>
      <w:sz w:val="18"/>
    </w:rPr>
    <w:tblPr>
      <w:tblStyleRowBandSize w:val="1"/>
      <w:tblStyleColBandSize w:val="1"/>
      <w:tblBorders>
        <w:top w:val="single" w:sz="8" w:space="0" w:color="BC9FD1" w:themeColor="accent4"/>
        <w:left w:val="single" w:sz="8" w:space="0" w:color="BC9FD1" w:themeColor="accent4"/>
        <w:bottom w:val="single" w:sz="8" w:space="0" w:color="BC9FD1" w:themeColor="accent4"/>
        <w:right w:val="single" w:sz="8" w:space="0" w:color="BC9FD1" w:themeColor="accent4"/>
      </w:tblBorders>
    </w:tblPr>
    <w:tblStylePr w:type="firstRow">
      <w:pPr>
        <w:wordWrap/>
        <w:spacing w:beforeLines="0" w:before="40" w:beforeAutospacing="0" w:afterLines="0" w:after="40" w:afterAutospacing="0" w:line="240" w:lineRule="auto"/>
        <w:jc w:val="left"/>
      </w:pPr>
      <w:rPr>
        <w:rFonts w:ascii="Arial" w:hAnsi="Arial"/>
        <w:b/>
        <w:bCs/>
        <w:color w:val="FFFFFF" w:themeColor="background1"/>
        <w:sz w:val="20"/>
      </w:rPr>
      <w:tblPr/>
      <w:tcPr>
        <w:shd w:val="clear" w:color="auto" w:fill="BC9FD1" w:themeFill="accent4"/>
        <w:vAlign w:val="center"/>
      </w:tcPr>
    </w:tblStylePr>
    <w:tblStylePr w:type="lastRow">
      <w:pPr>
        <w:wordWrap/>
        <w:spacing w:beforeLines="0" w:before="40" w:beforeAutospacing="0" w:afterLines="0" w:after="40" w:afterAutospacing="0" w:line="240" w:lineRule="auto"/>
        <w:jc w:val="left"/>
      </w:pPr>
      <w:rPr>
        <w:rFonts w:ascii="Arial" w:hAnsi="Arial"/>
        <w:b/>
        <w:bCs/>
        <w:sz w:val="20"/>
      </w:rPr>
      <w:tblPr/>
      <w:tcPr>
        <w:tcBorders>
          <w:top w:val="double" w:sz="6" w:space="0" w:color="BC9FD1" w:themeColor="accent4"/>
          <w:left w:val="single" w:sz="8" w:space="0" w:color="BC9FD1" w:themeColor="accent4"/>
          <w:bottom w:val="single" w:sz="8" w:space="0" w:color="BC9FD1" w:themeColor="accent4"/>
          <w:right w:val="single" w:sz="8" w:space="0" w:color="BC9FD1" w:themeColor="accent4"/>
        </w:tcBorders>
      </w:tcPr>
    </w:tblStylePr>
    <w:tblStylePr w:type="firstCol">
      <w:pPr>
        <w:wordWrap/>
        <w:spacing w:beforeLines="0" w:before="40" w:beforeAutospacing="0" w:afterLines="0" w:after="40" w:afterAutospacing="0" w:line="240" w:lineRule="auto"/>
        <w:jc w:val="center"/>
      </w:pPr>
      <w:rPr>
        <w:rFonts w:ascii="Arial" w:hAnsi="Arial"/>
        <w:b/>
        <w:bCs/>
        <w:sz w:val="18"/>
      </w:rPr>
      <w:tblPr/>
      <w:tcPr>
        <w:vAlign w:val="center"/>
      </w:tcPr>
    </w:tblStylePr>
    <w:tblStylePr w:type="lastCol">
      <w:pPr>
        <w:wordWrap/>
        <w:spacing w:beforeLines="0" w:before="40" w:beforeAutospacing="0" w:afterLines="0" w:after="40" w:afterAutospacing="0" w:line="240" w:lineRule="auto"/>
        <w:jc w:val="center"/>
      </w:pPr>
      <w:rPr>
        <w:rFonts w:ascii="Arial" w:hAnsi="Arial"/>
        <w:b/>
        <w:bCs/>
        <w:sz w:val="20"/>
      </w:rPr>
      <w:tblPr/>
      <w:tcPr>
        <w:vAlign w:val="center"/>
      </w:tcPr>
    </w:tblStylePr>
    <w:tblStylePr w:type="band1Vert">
      <w:pPr>
        <w:wordWrap/>
        <w:spacing w:beforeLines="0" w:before="40" w:beforeAutospacing="0" w:afterLines="0" w:after="40" w:afterAutospacing="0" w:line="240" w:lineRule="auto"/>
        <w:jc w:val="left"/>
      </w:pPr>
      <w:tblPr/>
      <w:tcPr>
        <w:tcBorders>
          <w:top w:val="single" w:sz="8" w:space="0" w:color="BC9FD1" w:themeColor="accent4"/>
          <w:left w:val="single" w:sz="8" w:space="0" w:color="BC9FD1" w:themeColor="accent4"/>
          <w:bottom w:val="single" w:sz="8" w:space="0" w:color="BC9FD1" w:themeColor="accent4"/>
          <w:right w:val="single" w:sz="8" w:space="0" w:color="BC9FD1" w:themeColor="accent4"/>
        </w:tcBorders>
      </w:tcPr>
    </w:tblStylePr>
    <w:tblStylePr w:type="band2Vert">
      <w:pPr>
        <w:wordWrap/>
        <w:spacing w:beforeLines="0" w:before="40" w:beforeAutospacing="0" w:afterLines="0" w:after="40" w:afterAutospacing="0" w:line="240" w:lineRule="auto"/>
        <w:jc w:val="left"/>
      </w:pPr>
    </w:tblStylePr>
    <w:tblStylePr w:type="band1Horz">
      <w:pPr>
        <w:wordWrap/>
        <w:spacing w:beforeLines="0" w:before="40" w:beforeAutospacing="0" w:afterLines="0" w:after="40" w:afterAutospacing="0" w:line="240" w:lineRule="auto"/>
        <w:jc w:val="left"/>
      </w:pPr>
      <w:tblPr/>
      <w:tcPr>
        <w:tcBorders>
          <w:top w:val="single" w:sz="8" w:space="0" w:color="BC9FD1" w:themeColor="accent4"/>
          <w:left w:val="single" w:sz="8" w:space="0" w:color="BC9FD1" w:themeColor="accent4"/>
          <w:bottom w:val="single" w:sz="8" w:space="0" w:color="BC9FD1" w:themeColor="accent4"/>
          <w:right w:val="single" w:sz="8" w:space="0" w:color="BC9FD1" w:themeColor="accent4"/>
        </w:tcBorders>
      </w:tcPr>
    </w:tblStylePr>
    <w:tblStylePr w:type="band2Horz">
      <w:pPr>
        <w:wordWrap/>
        <w:spacing w:beforeLines="0" w:before="40" w:beforeAutospacing="0" w:afterLines="0" w:after="40" w:afterAutospacing="0" w:line="240" w:lineRule="auto"/>
        <w:jc w:val="left"/>
      </w:pPr>
    </w:tblStylePr>
  </w:style>
  <w:style w:type="table" w:customStyle="1" w:styleId="TableGrid1">
    <w:name w:val="Table Grid1"/>
    <w:basedOn w:val="TableNormal"/>
    <w:next w:val="TableGrid"/>
    <w:uiPriority w:val="59"/>
    <w:rsid w:val="00DE5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A314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2214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355F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1C5A16"/>
    <w:rPr>
      <w:rFonts w:ascii="Calibri" w:eastAsiaTheme="minorEastAsia" w:hAnsi="Calibri" w:cs="Times New Roman"/>
      <w:b/>
      <w:bCs/>
      <w:color w:val="595959" w:themeColor="text1" w:themeTint="A6"/>
      <w:sz w:val="26"/>
      <w:szCs w:val="26"/>
    </w:rPr>
  </w:style>
  <w:style w:type="table" w:customStyle="1" w:styleId="TableGrid5">
    <w:name w:val="Table Grid5"/>
    <w:basedOn w:val="TableNormal"/>
    <w:next w:val="TableGrid"/>
    <w:uiPriority w:val="59"/>
    <w:rsid w:val="001C5A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yllabustables1">
    <w:name w:val="Syllabus tables1"/>
    <w:basedOn w:val="TableNormal"/>
    <w:next w:val="LightList-Accent4"/>
    <w:uiPriority w:val="61"/>
    <w:rsid w:val="001C5A16"/>
    <w:pPr>
      <w:spacing w:after="0" w:line="240" w:lineRule="auto"/>
    </w:pPr>
    <w:rPr>
      <w:rFonts w:ascii="Arial" w:eastAsiaTheme="minorEastAsia" w:hAnsi="Arial"/>
      <w:sz w:val="18"/>
    </w:rPr>
    <w:tblPr>
      <w:tblStyleRowBandSize w:val="1"/>
      <w:tblStyleColBandSize w:val="1"/>
      <w:tblBorders>
        <w:top w:val="single" w:sz="8" w:space="0" w:color="BC9FD1" w:themeColor="accent4"/>
        <w:left w:val="single" w:sz="8" w:space="0" w:color="BC9FD1" w:themeColor="accent4"/>
        <w:bottom w:val="single" w:sz="8" w:space="0" w:color="BC9FD1" w:themeColor="accent4"/>
        <w:right w:val="single" w:sz="8" w:space="0" w:color="BC9FD1" w:themeColor="accent4"/>
      </w:tblBorders>
    </w:tblPr>
    <w:tblStylePr w:type="firstRow">
      <w:pPr>
        <w:wordWrap/>
        <w:spacing w:beforeLines="0" w:before="40" w:beforeAutospacing="0" w:afterLines="0" w:after="40" w:afterAutospacing="0" w:line="240" w:lineRule="auto"/>
        <w:jc w:val="left"/>
      </w:pPr>
      <w:rPr>
        <w:rFonts w:ascii="Arial" w:hAnsi="Arial"/>
        <w:b/>
        <w:bCs/>
        <w:color w:val="FFFFFF" w:themeColor="background1"/>
        <w:sz w:val="20"/>
      </w:rPr>
      <w:tblPr/>
      <w:tcPr>
        <w:shd w:val="clear" w:color="auto" w:fill="BC9FD1" w:themeFill="accent4"/>
        <w:vAlign w:val="center"/>
      </w:tcPr>
    </w:tblStylePr>
    <w:tblStylePr w:type="lastRow">
      <w:pPr>
        <w:wordWrap/>
        <w:spacing w:beforeLines="0" w:before="40" w:beforeAutospacing="0" w:afterLines="0" w:after="40" w:afterAutospacing="0" w:line="240" w:lineRule="auto"/>
        <w:jc w:val="left"/>
      </w:pPr>
      <w:rPr>
        <w:rFonts w:ascii="Arial" w:hAnsi="Arial"/>
        <w:b/>
        <w:bCs/>
        <w:sz w:val="20"/>
      </w:rPr>
      <w:tblPr/>
      <w:tcPr>
        <w:tcBorders>
          <w:top w:val="double" w:sz="6" w:space="0" w:color="BC9FD1" w:themeColor="accent4"/>
          <w:left w:val="single" w:sz="8" w:space="0" w:color="BC9FD1" w:themeColor="accent4"/>
          <w:bottom w:val="single" w:sz="8" w:space="0" w:color="BC9FD1" w:themeColor="accent4"/>
          <w:right w:val="single" w:sz="8" w:space="0" w:color="BC9FD1" w:themeColor="accent4"/>
        </w:tcBorders>
      </w:tcPr>
    </w:tblStylePr>
    <w:tblStylePr w:type="firstCol">
      <w:pPr>
        <w:wordWrap/>
        <w:spacing w:beforeLines="0" w:before="40" w:beforeAutospacing="0" w:afterLines="0" w:after="40" w:afterAutospacing="0" w:line="240" w:lineRule="auto"/>
        <w:jc w:val="center"/>
      </w:pPr>
      <w:rPr>
        <w:rFonts w:ascii="Arial" w:hAnsi="Arial"/>
        <w:b/>
        <w:bCs/>
        <w:sz w:val="18"/>
      </w:rPr>
      <w:tblPr/>
      <w:tcPr>
        <w:vAlign w:val="center"/>
      </w:tcPr>
    </w:tblStylePr>
    <w:tblStylePr w:type="lastCol">
      <w:pPr>
        <w:wordWrap/>
        <w:spacing w:beforeLines="0" w:before="40" w:beforeAutospacing="0" w:afterLines="0" w:after="40" w:afterAutospacing="0" w:line="240" w:lineRule="auto"/>
        <w:jc w:val="center"/>
      </w:pPr>
      <w:rPr>
        <w:rFonts w:ascii="Arial" w:hAnsi="Arial"/>
        <w:b/>
        <w:bCs/>
        <w:sz w:val="20"/>
      </w:rPr>
      <w:tblPr/>
      <w:tcPr>
        <w:vAlign w:val="center"/>
      </w:tcPr>
    </w:tblStylePr>
    <w:tblStylePr w:type="band1Vert">
      <w:pPr>
        <w:wordWrap/>
        <w:spacing w:beforeLines="0" w:before="40" w:beforeAutospacing="0" w:afterLines="0" w:after="40" w:afterAutospacing="0" w:line="240" w:lineRule="auto"/>
        <w:jc w:val="left"/>
      </w:pPr>
      <w:tblPr/>
      <w:tcPr>
        <w:tcBorders>
          <w:top w:val="single" w:sz="8" w:space="0" w:color="BC9FD1" w:themeColor="accent4"/>
          <w:left w:val="single" w:sz="8" w:space="0" w:color="BC9FD1" w:themeColor="accent4"/>
          <w:bottom w:val="single" w:sz="8" w:space="0" w:color="BC9FD1" w:themeColor="accent4"/>
          <w:right w:val="single" w:sz="8" w:space="0" w:color="BC9FD1" w:themeColor="accent4"/>
        </w:tcBorders>
      </w:tcPr>
    </w:tblStylePr>
    <w:tblStylePr w:type="band2Vert">
      <w:pPr>
        <w:wordWrap/>
        <w:spacing w:beforeLines="0" w:before="40" w:beforeAutospacing="0" w:afterLines="0" w:after="40" w:afterAutospacing="0" w:line="240" w:lineRule="auto"/>
        <w:jc w:val="left"/>
      </w:pPr>
    </w:tblStylePr>
    <w:tblStylePr w:type="band1Horz">
      <w:pPr>
        <w:wordWrap/>
        <w:spacing w:beforeLines="0" w:before="40" w:beforeAutospacing="0" w:afterLines="0" w:after="40" w:afterAutospacing="0" w:line="240" w:lineRule="auto"/>
        <w:jc w:val="left"/>
      </w:pPr>
      <w:tblPr/>
      <w:tcPr>
        <w:tcBorders>
          <w:top w:val="single" w:sz="8" w:space="0" w:color="BC9FD1" w:themeColor="accent4"/>
          <w:left w:val="single" w:sz="8" w:space="0" w:color="BC9FD1" w:themeColor="accent4"/>
          <w:bottom w:val="single" w:sz="8" w:space="0" w:color="BC9FD1" w:themeColor="accent4"/>
          <w:right w:val="single" w:sz="8" w:space="0" w:color="BC9FD1" w:themeColor="accent4"/>
        </w:tcBorders>
      </w:tcPr>
    </w:tblStylePr>
    <w:tblStylePr w:type="band2Horz">
      <w:pPr>
        <w:wordWrap/>
        <w:spacing w:beforeLines="0" w:before="40" w:beforeAutospacing="0" w:afterLines="0" w:after="40" w:afterAutospacing="0" w:line="240" w:lineRule="auto"/>
        <w:jc w:val="left"/>
      </w:pPr>
    </w:tblStylePr>
  </w:style>
  <w:style w:type="table" w:customStyle="1" w:styleId="TableGrid6">
    <w:name w:val="Table Grid6"/>
    <w:basedOn w:val="TableNormal"/>
    <w:next w:val="TableGrid"/>
    <w:uiPriority w:val="59"/>
    <w:rsid w:val="008B6C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924B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2100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Bullets">
    <w:name w:val="ListBullets"/>
    <w:uiPriority w:val="99"/>
    <w:rsid w:val="003913BD"/>
    <w:pPr>
      <w:numPr>
        <w:numId w:val="2"/>
      </w:numPr>
    </w:pPr>
  </w:style>
  <w:style w:type="table" w:customStyle="1" w:styleId="TableGrid9">
    <w:name w:val="Table Grid9"/>
    <w:basedOn w:val="TableNormal"/>
    <w:next w:val="TableGrid"/>
    <w:uiPriority w:val="39"/>
    <w:rsid w:val="003C7D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rsid w:val="00E07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24226"/>
    <w:rPr>
      <w:rFonts w:asciiTheme="majorHAnsi" w:eastAsiaTheme="majorEastAsia" w:hAnsiTheme="majorHAnsi" w:cstheme="majorBidi"/>
      <w:color w:val="410B68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C172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72F1"/>
  </w:style>
  <w:style w:type="paragraph" w:styleId="Footer">
    <w:name w:val="footer"/>
    <w:basedOn w:val="Normal"/>
    <w:link w:val="FooterChar"/>
    <w:uiPriority w:val="99"/>
    <w:unhideWhenUsed/>
    <w:rsid w:val="00C172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72F1"/>
  </w:style>
  <w:style w:type="paragraph" w:styleId="BalloonText">
    <w:name w:val="Balloon Text"/>
    <w:basedOn w:val="Normal"/>
    <w:link w:val="BalloonTextChar"/>
    <w:uiPriority w:val="99"/>
    <w:semiHidden/>
    <w:unhideWhenUsed/>
    <w:rsid w:val="001A4C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4C14"/>
    <w:rPr>
      <w:rFonts w:ascii="Segoe UI" w:hAnsi="Segoe UI" w:cs="Segoe UI"/>
      <w:sz w:val="18"/>
      <w:szCs w:val="18"/>
    </w:rPr>
  </w:style>
  <w:style w:type="numbering" w:customStyle="1" w:styleId="EngBulletsList">
    <w:name w:val="EngBulletsList"/>
    <w:uiPriority w:val="99"/>
    <w:rsid w:val="00F471F7"/>
    <w:pPr>
      <w:numPr>
        <w:numId w:val="7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A320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320EB"/>
    <w:pPr>
      <w:spacing w:line="240" w:lineRule="auto"/>
    </w:pPr>
    <w:rPr>
      <w:rFonts w:ascii="Calibri" w:eastAsiaTheme="minorEastAsia" w:hAnsi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320EB"/>
    <w:rPr>
      <w:rFonts w:ascii="Calibri" w:eastAsiaTheme="minorEastAsia" w:hAnsi="Calibri"/>
      <w:sz w:val="20"/>
      <w:szCs w:val="20"/>
    </w:rPr>
  </w:style>
  <w:style w:type="numbering" w:customStyle="1" w:styleId="SCSABulletList">
    <w:name w:val="SCSA Bullet List"/>
    <w:uiPriority w:val="99"/>
    <w:rsid w:val="005A1F47"/>
    <w:pPr>
      <w:numPr>
        <w:numId w:val="11"/>
      </w:numPr>
    </w:pPr>
  </w:style>
  <w:style w:type="paragraph" w:styleId="Revision">
    <w:name w:val="Revision"/>
    <w:hidden/>
    <w:uiPriority w:val="99"/>
    <w:semiHidden/>
    <w:rsid w:val="00BC3DBF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0734"/>
    <w:rPr>
      <w:rFonts w:asciiTheme="minorHAnsi" w:eastAsiaTheme="minorHAnsi" w:hAnsiTheme="minorHAns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0734"/>
    <w:rPr>
      <w:rFonts w:ascii="Calibri" w:eastAsiaTheme="minorEastAsia" w:hAnsi="Calibri"/>
      <w:b/>
      <w:bCs/>
      <w:sz w:val="20"/>
      <w:szCs w:val="20"/>
    </w:rPr>
  </w:style>
  <w:style w:type="numbering" w:customStyle="1" w:styleId="SCSABulletList1">
    <w:name w:val="SCSA Bullet List1"/>
    <w:uiPriority w:val="99"/>
    <w:rsid w:val="001322A1"/>
    <w:pPr>
      <w:numPr>
        <w:numId w:val="1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SCSA General Colours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580F8B"/>
      </a:accent1>
      <a:accent2>
        <a:srgbClr val="793FA2"/>
      </a:accent2>
      <a:accent3>
        <a:srgbClr val="9B6FB9"/>
      </a:accent3>
      <a:accent4>
        <a:srgbClr val="BC9FD1"/>
      </a:accent4>
      <a:accent5>
        <a:srgbClr val="DECFE8"/>
      </a:accent5>
      <a:accent6>
        <a:srgbClr val="595959"/>
      </a:accent6>
      <a:hlink>
        <a:srgbClr val="580F8B"/>
      </a:hlink>
      <a:folHlink>
        <a:srgbClr val="595959"/>
      </a:folHlink>
    </a:clrScheme>
    <a:fontScheme name="SCSA General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235</Words>
  <Characters>1477</Characters>
  <Application>Microsoft Office Word</Application>
  <DocSecurity>0</DocSecurity>
  <Lines>24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Jenna Khor</cp:lastModifiedBy>
  <cp:revision>19</cp:revision>
  <cp:lastPrinted>2026-07-27T03:05:00Z</cp:lastPrinted>
  <dcterms:created xsi:type="dcterms:W3CDTF">2026-06-10T23:16:00Z</dcterms:created>
  <dcterms:modified xsi:type="dcterms:W3CDTF">2026-07-27T03:06:00Z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17ba55bd40fab149d46a98a20eb39debd064c1b636ab9c79c78dfc95822281fd</vt:lpwstr>
  </property>
  <property fmtid="{D5CDD505-2E9C-101B-9397-08002B2CF9AE}" pid="3" name="ClassificationContentMarkingHeaderShapeIds">
    <vt:lpwstr>3fa8c0f0,1558d1c5,616a30ad</vt:lpwstr>
  </property>
  <property fmtid="{D5CDD505-2E9C-101B-9397-08002B2CF9AE}" pid="4" name="ClassificationContentMarkingHeaderFontProps">
    <vt:lpwstr>#000000,10,Aptos</vt:lpwstr>
  </property>
  <property fmtid="{D5CDD505-2E9C-101B-9397-08002B2CF9AE}" pid="5" name="ClassificationContentMarkingHeaderText">
    <vt:lpwstr>OFFICIAL</vt:lpwstr>
  </property>
  <property fmtid="{D5CDD505-2E9C-101B-9397-08002B2CF9AE}" pid="6" name="MSIP_Label_f50cdc32-1c36-4520-a994-995f06e4245f_Enabled">
    <vt:lpwstr>true</vt:lpwstr>
  </property>
  <property fmtid="{D5CDD505-2E9C-101B-9397-08002B2CF9AE}" pid="7" name="MSIP_Label_f50cdc32-1c36-4520-a994-995f06e4245f_SetDate">
    <vt:lpwstr>2026-07-07T03:34:14Z</vt:lpwstr>
  </property>
  <property fmtid="{D5CDD505-2E9C-101B-9397-08002B2CF9AE}" pid="8" name="MSIP_Label_f50cdc32-1c36-4520-a994-995f06e4245f_Method">
    <vt:lpwstr>Standard</vt:lpwstr>
  </property>
  <property fmtid="{D5CDD505-2E9C-101B-9397-08002B2CF9AE}" pid="9" name="MSIP_Label_f50cdc32-1c36-4520-a994-995f06e4245f_Name">
    <vt:lpwstr>OFFICIAL</vt:lpwstr>
  </property>
  <property fmtid="{D5CDD505-2E9C-101B-9397-08002B2CF9AE}" pid="10" name="MSIP_Label_f50cdc32-1c36-4520-a994-995f06e4245f_SiteId">
    <vt:lpwstr>5998b5ec-0203-4308-a043-253474cdc1a2</vt:lpwstr>
  </property>
  <property fmtid="{D5CDD505-2E9C-101B-9397-08002B2CF9AE}" pid="11" name="MSIP_Label_f50cdc32-1c36-4520-a994-995f06e4245f_ActionId">
    <vt:lpwstr>ddb49d66-129e-4c71-92da-10fa60d857b0</vt:lpwstr>
  </property>
  <property fmtid="{D5CDD505-2E9C-101B-9397-08002B2CF9AE}" pid="12" name="MSIP_Label_f50cdc32-1c36-4520-a994-995f06e4245f_ContentBits">
    <vt:lpwstr>1</vt:lpwstr>
  </property>
  <property fmtid="{D5CDD505-2E9C-101B-9397-08002B2CF9AE}" pid="13" name="MSIP_Label_f50cdc32-1c36-4520-a994-995f06e4245f_Tag">
    <vt:lpwstr>10, 3, 0, 1</vt:lpwstr>
  </property>
</Properties>
</file>