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C1D">
        <w:rPr>
          <w:rFonts w:ascii="Franklin Gothic Medium" w:eastAsia="Times New Roman" w:hAnsi="Franklin Gothic Medium" w:cs="Times New Roman"/>
          <w:smallCaps/>
          <w:color w:val="3C3B42"/>
          <w:spacing w:val="5"/>
          <w:kern w:val="28"/>
          <w:sz w:val="60"/>
          <w:szCs w:val="52"/>
          <w:lang w:val="en-AU" w:eastAsia="en-US"/>
        </w:rPr>
        <w:t>Literature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1E28DD"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220C25" w:rsidRPr="00220C25" w:rsidRDefault="00220C25" w:rsidP="00C35AF3">
      <w:pPr>
        <w:spacing w:before="80" w:after="80" w:line="240" w:lineRule="auto"/>
        <w:rPr>
          <w:b/>
          <w:sz w:val="20"/>
          <w:szCs w:val="20"/>
        </w:rPr>
      </w:pPr>
      <w:r w:rsidRPr="00220C25">
        <w:rPr>
          <w:b/>
          <w:sz w:val="20"/>
          <w:szCs w:val="20"/>
        </w:rPr>
        <w:t xml:space="preserve">Language and generic conventions </w:t>
      </w:r>
    </w:p>
    <w:p w:rsidR="00220C25" w:rsidRPr="00220C25" w:rsidRDefault="00220C25" w:rsidP="00C35AF3">
      <w:pPr>
        <w:spacing w:before="80" w:after="80" w:line="240" w:lineRule="auto"/>
        <w:ind w:right="97"/>
        <w:rPr>
          <w:rFonts w:cs="Arial"/>
          <w:sz w:val="20"/>
          <w:szCs w:val="20"/>
        </w:rPr>
      </w:pPr>
      <w:r w:rsidRPr="00220C25">
        <w:rPr>
          <w:rFonts w:cs="Arial"/>
          <w:sz w:val="20"/>
          <w:szCs w:val="20"/>
        </w:rPr>
        <w:t>Students demonstrate an understanding that:</w:t>
      </w:r>
    </w:p>
    <w:p w:rsidR="00220C25" w:rsidRPr="00220C25" w:rsidRDefault="00220C25" w:rsidP="00C35AF3">
      <w:pPr>
        <w:pStyle w:val="ListParagraph"/>
        <w:numPr>
          <w:ilvl w:val="0"/>
          <w:numId w:val="1"/>
        </w:numPr>
        <w:spacing w:before="60" w:after="0" w:line="240" w:lineRule="auto"/>
        <w:ind w:left="425" w:hanging="425"/>
        <w:jc w:val="both"/>
        <w:rPr>
          <w:rFonts w:eastAsia="Times New Roman" w:cs="Arial"/>
          <w:bCs/>
          <w:sz w:val="20"/>
          <w:szCs w:val="20"/>
          <w:lang w:eastAsia="en-AU"/>
        </w:rPr>
      </w:pPr>
      <w:r w:rsidRPr="00220C25">
        <w:rPr>
          <w:rFonts w:eastAsia="Times New Roman" w:cs="Arial"/>
          <w:bCs/>
          <w:sz w:val="20"/>
          <w:szCs w:val="20"/>
          <w:lang w:eastAsia="en-AU"/>
        </w:rPr>
        <w:t>the production and reception of texts is informed by an understanding of the conventions usually associated with a genre</w:t>
      </w:r>
    </w:p>
    <w:p w:rsidR="00220C25" w:rsidRPr="00220C25" w:rsidRDefault="00220C25" w:rsidP="00C35AF3">
      <w:pPr>
        <w:pStyle w:val="ListParagraph"/>
        <w:numPr>
          <w:ilvl w:val="0"/>
          <w:numId w:val="1"/>
        </w:numPr>
        <w:spacing w:before="60" w:after="0" w:line="240" w:lineRule="auto"/>
        <w:ind w:left="425" w:hanging="425"/>
        <w:jc w:val="both"/>
        <w:rPr>
          <w:rFonts w:eastAsia="Times New Roman" w:cs="Arial"/>
          <w:bCs/>
          <w:sz w:val="20"/>
          <w:szCs w:val="20"/>
          <w:lang w:eastAsia="en-AU"/>
        </w:rPr>
      </w:pPr>
      <w:r w:rsidRPr="00220C25">
        <w:rPr>
          <w:rFonts w:eastAsia="Times New Roman" w:cs="Arial"/>
          <w:bCs/>
          <w:sz w:val="20"/>
          <w:szCs w:val="20"/>
          <w:lang w:eastAsia="en-AU"/>
        </w:rPr>
        <w:t>language is a medium used to offer representations of the world and to position readers</w:t>
      </w:r>
    </w:p>
    <w:p w:rsidR="00220C25" w:rsidRPr="00220C25" w:rsidRDefault="00220C25" w:rsidP="00C35AF3">
      <w:pPr>
        <w:pStyle w:val="ListParagraph"/>
        <w:numPr>
          <w:ilvl w:val="0"/>
          <w:numId w:val="1"/>
        </w:numPr>
        <w:spacing w:before="60" w:after="0" w:line="240" w:lineRule="auto"/>
        <w:ind w:left="425" w:hanging="425"/>
        <w:jc w:val="both"/>
        <w:rPr>
          <w:rFonts w:eastAsia="Times New Roman" w:cs="Arial"/>
          <w:bCs/>
          <w:sz w:val="20"/>
          <w:szCs w:val="20"/>
          <w:lang w:eastAsia="en-AU"/>
        </w:rPr>
      </w:pPr>
      <w:r w:rsidRPr="00220C25">
        <w:rPr>
          <w:rFonts w:eastAsia="Times New Roman" w:cs="Arial"/>
          <w:bCs/>
          <w:sz w:val="20"/>
          <w:szCs w:val="20"/>
          <w:lang w:eastAsia="en-AU"/>
        </w:rPr>
        <w:t>writers select grammatical and stylistic elements of language that invite responses</w:t>
      </w:r>
    </w:p>
    <w:p w:rsidR="00220C25" w:rsidRPr="00220C25" w:rsidRDefault="00220C25" w:rsidP="00C35AF3">
      <w:pPr>
        <w:pStyle w:val="ListParagraph"/>
        <w:numPr>
          <w:ilvl w:val="0"/>
          <w:numId w:val="1"/>
        </w:numPr>
        <w:spacing w:before="60" w:after="0" w:line="240" w:lineRule="auto"/>
        <w:ind w:left="425" w:hanging="425"/>
        <w:jc w:val="both"/>
        <w:rPr>
          <w:rFonts w:eastAsia="Times New Roman" w:cs="Arial"/>
          <w:bCs/>
          <w:sz w:val="20"/>
          <w:szCs w:val="20"/>
          <w:lang w:eastAsia="en-AU"/>
        </w:rPr>
      </w:pPr>
      <w:r w:rsidRPr="00220C25">
        <w:rPr>
          <w:rFonts w:eastAsia="Times New Roman" w:cs="Arial"/>
          <w:bCs/>
          <w:sz w:val="20"/>
          <w:szCs w:val="20"/>
          <w:lang w:eastAsia="en-AU"/>
        </w:rPr>
        <w:t>the different ways in which language can be used involves choices about audience, purpose and genre</w:t>
      </w:r>
    </w:p>
    <w:p w:rsidR="00220C25" w:rsidRPr="00220C25" w:rsidRDefault="00220C25" w:rsidP="00C35AF3">
      <w:pPr>
        <w:pStyle w:val="ListParagraph"/>
        <w:numPr>
          <w:ilvl w:val="0"/>
          <w:numId w:val="1"/>
        </w:numPr>
        <w:spacing w:before="60" w:after="0" w:line="240" w:lineRule="auto"/>
        <w:ind w:left="425" w:hanging="425"/>
        <w:jc w:val="both"/>
        <w:rPr>
          <w:rFonts w:eastAsia="Times New Roman" w:cs="Arial"/>
          <w:bCs/>
          <w:sz w:val="20"/>
          <w:szCs w:val="20"/>
          <w:lang w:eastAsia="en-AU"/>
        </w:rPr>
      </w:pPr>
      <w:r w:rsidRPr="00220C25">
        <w:rPr>
          <w:rFonts w:eastAsia="Times New Roman" w:cs="Arial"/>
          <w:bCs/>
          <w:sz w:val="20"/>
          <w:szCs w:val="20"/>
          <w:lang w:eastAsia="en-AU"/>
        </w:rPr>
        <w:t>language is open to interpretation and different people may respond to it in different ways</w:t>
      </w:r>
    </w:p>
    <w:p w:rsidR="00220C25" w:rsidRPr="00220C25" w:rsidRDefault="00220C25" w:rsidP="00C35AF3">
      <w:pPr>
        <w:spacing w:before="80" w:after="80" w:line="240" w:lineRule="auto"/>
        <w:rPr>
          <w:b/>
          <w:sz w:val="20"/>
          <w:szCs w:val="20"/>
        </w:rPr>
      </w:pPr>
      <w:r w:rsidRPr="00220C25">
        <w:rPr>
          <w:b/>
          <w:sz w:val="20"/>
          <w:szCs w:val="20"/>
        </w:rPr>
        <w:t>Contextual understandings—the relationships between writer, reader, text and context</w:t>
      </w:r>
    </w:p>
    <w:p w:rsidR="00220C25" w:rsidRPr="00220C25" w:rsidRDefault="00220C25" w:rsidP="00C35AF3">
      <w:pPr>
        <w:spacing w:before="80" w:after="80" w:line="240" w:lineRule="auto"/>
        <w:rPr>
          <w:sz w:val="20"/>
          <w:szCs w:val="20"/>
        </w:rPr>
      </w:pPr>
      <w:r w:rsidRPr="00220C25">
        <w:rPr>
          <w:sz w:val="20"/>
          <w:szCs w:val="20"/>
        </w:rPr>
        <w:t>Students demonstrate an understanding that:</w:t>
      </w:r>
    </w:p>
    <w:p w:rsidR="00220C25" w:rsidRPr="00220C25" w:rsidRDefault="00220C25" w:rsidP="00C35AF3">
      <w:pPr>
        <w:pStyle w:val="ListParagraph"/>
        <w:numPr>
          <w:ilvl w:val="0"/>
          <w:numId w:val="1"/>
        </w:numPr>
        <w:spacing w:before="60" w:after="0" w:line="240" w:lineRule="auto"/>
        <w:ind w:left="425" w:hanging="425"/>
        <w:jc w:val="both"/>
        <w:rPr>
          <w:rFonts w:eastAsia="Times New Roman" w:cs="Arial"/>
          <w:bCs/>
          <w:sz w:val="20"/>
          <w:szCs w:val="20"/>
          <w:lang w:eastAsia="en-AU"/>
        </w:rPr>
      </w:pPr>
      <w:r w:rsidRPr="00220C25">
        <w:rPr>
          <w:rFonts w:eastAsia="Times New Roman" w:cs="Arial"/>
          <w:bCs/>
          <w:sz w:val="20"/>
          <w:szCs w:val="20"/>
          <w:lang w:eastAsia="en-AU"/>
        </w:rPr>
        <w:t>the ideas represented in a text are just one possible way of thinking about the world and may reflect a particular set of values and attitudes</w:t>
      </w:r>
    </w:p>
    <w:p w:rsidR="00220C25" w:rsidRPr="00220C25" w:rsidRDefault="00220C25" w:rsidP="00C35AF3">
      <w:pPr>
        <w:pStyle w:val="ListParagraph"/>
        <w:numPr>
          <w:ilvl w:val="0"/>
          <w:numId w:val="1"/>
        </w:numPr>
        <w:spacing w:before="60" w:after="0" w:line="240" w:lineRule="auto"/>
        <w:ind w:left="425" w:hanging="425"/>
        <w:jc w:val="both"/>
        <w:rPr>
          <w:rFonts w:eastAsia="Times New Roman" w:cs="Arial"/>
          <w:bCs/>
          <w:sz w:val="20"/>
          <w:szCs w:val="20"/>
          <w:lang w:eastAsia="en-AU"/>
        </w:rPr>
      </w:pPr>
      <w:proofErr w:type="gramStart"/>
      <w:r w:rsidRPr="00220C25">
        <w:rPr>
          <w:rFonts w:eastAsia="Times New Roman" w:cs="Arial"/>
          <w:bCs/>
          <w:sz w:val="20"/>
          <w:szCs w:val="20"/>
          <w:lang w:eastAsia="en-AU"/>
        </w:rPr>
        <w:t>in</w:t>
      </w:r>
      <w:proofErr w:type="gramEnd"/>
      <w:r w:rsidRPr="00220C25">
        <w:rPr>
          <w:rFonts w:eastAsia="Times New Roman" w:cs="Arial"/>
          <w:bCs/>
          <w:sz w:val="20"/>
          <w:szCs w:val="20"/>
          <w:lang w:eastAsia="en-AU"/>
        </w:rPr>
        <w:t xml:space="preserve"> responding to a literary text, readers might consider the context of the writer, the society and culture in which the text was produced, their own experience of reading and their own way of thinking about the world.</w:t>
      </w:r>
    </w:p>
    <w:p w:rsidR="00220C25" w:rsidRPr="00220C25" w:rsidRDefault="00220C25" w:rsidP="00C35AF3">
      <w:pPr>
        <w:spacing w:before="80" w:after="80" w:line="240" w:lineRule="auto"/>
        <w:rPr>
          <w:b/>
          <w:sz w:val="20"/>
          <w:szCs w:val="20"/>
        </w:rPr>
      </w:pPr>
      <w:r w:rsidRPr="00220C25">
        <w:rPr>
          <w:b/>
          <w:sz w:val="20"/>
          <w:szCs w:val="20"/>
        </w:rPr>
        <w:t xml:space="preserve">Producing texts </w:t>
      </w:r>
    </w:p>
    <w:p w:rsidR="00220C25" w:rsidRPr="00220C25" w:rsidRDefault="00220C25" w:rsidP="00C35AF3">
      <w:pPr>
        <w:spacing w:before="80" w:after="80" w:line="240" w:lineRule="auto"/>
        <w:rPr>
          <w:sz w:val="20"/>
          <w:szCs w:val="20"/>
        </w:rPr>
      </w:pPr>
      <w:r w:rsidRPr="00220C25">
        <w:rPr>
          <w:sz w:val="20"/>
          <w:szCs w:val="20"/>
        </w:rPr>
        <w:t>Students are able to:</w:t>
      </w:r>
    </w:p>
    <w:p w:rsidR="00220C25" w:rsidRPr="00220C25" w:rsidRDefault="00220C25" w:rsidP="00C35AF3">
      <w:pPr>
        <w:pStyle w:val="ListParagraph"/>
        <w:numPr>
          <w:ilvl w:val="0"/>
          <w:numId w:val="1"/>
        </w:numPr>
        <w:spacing w:before="60" w:after="0" w:line="240" w:lineRule="auto"/>
        <w:ind w:left="425" w:hanging="425"/>
        <w:jc w:val="both"/>
        <w:rPr>
          <w:rFonts w:eastAsia="Times New Roman" w:cs="Arial"/>
          <w:bCs/>
          <w:sz w:val="20"/>
          <w:szCs w:val="20"/>
          <w:lang w:eastAsia="en-AU"/>
        </w:rPr>
      </w:pPr>
      <w:r w:rsidRPr="00220C25">
        <w:rPr>
          <w:rFonts w:eastAsia="Times New Roman" w:cs="Arial"/>
          <w:bCs/>
          <w:sz w:val="20"/>
          <w:szCs w:val="20"/>
          <w:lang w:eastAsia="en-AU"/>
        </w:rPr>
        <w:t xml:space="preserve">develop a vocabulary, including appropriate literary terms, to articulate understandings of literary texts </w:t>
      </w:r>
    </w:p>
    <w:p w:rsidR="00220C25" w:rsidRPr="00220C25" w:rsidRDefault="00220C25" w:rsidP="00C35AF3">
      <w:pPr>
        <w:pStyle w:val="ListParagraph"/>
        <w:numPr>
          <w:ilvl w:val="0"/>
          <w:numId w:val="1"/>
        </w:numPr>
        <w:spacing w:before="60" w:after="0" w:line="240" w:lineRule="auto"/>
        <w:ind w:left="425" w:hanging="425"/>
        <w:jc w:val="both"/>
        <w:rPr>
          <w:rFonts w:eastAsia="Times New Roman" w:cs="Arial"/>
          <w:bCs/>
          <w:sz w:val="20"/>
          <w:szCs w:val="20"/>
          <w:lang w:eastAsia="en-AU"/>
        </w:rPr>
      </w:pPr>
      <w:proofErr w:type="gramStart"/>
      <w:r w:rsidRPr="00220C25">
        <w:rPr>
          <w:rFonts w:eastAsia="Times New Roman" w:cs="Arial"/>
          <w:bCs/>
          <w:sz w:val="20"/>
          <w:szCs w:val="20"/>
          <w:lang w:eastAsia="en-AU"/>
        </w:rPr>
        <w:t>produce</w:t>
      </w:r>
      <w:proofErr w:type="gramEnd"/>
      <w:r w:rsidRPr="00220C25">
        <w:rPr>
          <w:rFonts w:eastAsia="Times New Roman" w:cs="Arial"/>
          <w:bCs/>
          <w:sz w:val="20"/>
          <w:szCs w:val="20"/>
          <w:lang w:eastAsia="en-AU"/>
        </w:rPr>
        <w:t xml:space="preserve"> analytical, discursive, reflective and creative texts taking into account considerations of audience, purpose and context.</w:t>
      </w:r>
    </w:p>
    <w:p w:rsidR="00813711" w:rsidRPr="00E073EF" w:rsidRDefault="00813711" w:rsidP="00C35AF3">
      <w:pPr>
        <w:spacing w:before="80" w:after="80" w:line="240"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C35AF3" w:rsidRDefault="00C35AF3" w:rsidP="00527C82">
      <w:pPr>
        <w:spacing w:after="80" w:line="264" w:lineRule="auto"/>
        <w:jc w:val="both"/>
        <w:rPr>
          <w:b/>
          <w:sz w:val="16"/>
        </w:rPr>
      </w:pPr>
    </w:p>
    <w:p w:rsidR="00C35AF3" w:rsidRDefault="00C35AF3"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220C25" w:rsidP="00B619E8">
      <w:pPr>
        <w:pStyle w:val="Heading1"/>
      </w:pPr>
      <w:bookmarkStart w:id="0" w:name="_GoBack"/>
      <w:r>
        <w:lastRenderedPageBreak/>
        <w:t>Literature</w:t>
      </w:r>
    </w:p>
    <w:bookmarkEnd w:id="0"/>
    <w:p w:rsidR="008824FF" w:rsidRPr="00B619E8" w:rsidRDefault="009E071D" w:rsidP="0029651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220C25">
        <w:rPr>
          <w:color w:val="000000" w:themeColor="text1"/>
        </w:rPr>
        <w:t>20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0D2089"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1E28DD" w:rsidRPr="001E28DD" w:rsidRDefault="001E28DD" w:rsidP="00C35AF3">
      <w:pPr>
        <w:pStyle w:val="ListParagraph"/>
        <w:numPr>
          <w:ilvl w:val="0"/>
          <w:numId w:val="2"/>
        </w:numPr>
        <w:ind w:left="567" w:hanging="567"/>
        <w:rPr>
          <w:sz w:val="22"/>
        </w:rPr>
      </w:pPr>
      <w:r w:rsidRPr="001E28DD">
        <w:rPr>
          <w:sz w:val="22"/>
        </w:rPr>
        <w:t>Read the text, ‘Days of the Bleak’ on page</w:t>
      </w:r>
      <w:r w:rsidR="000D2089">
        <w:rPr>
          <w:sz w:val="22"/>
        </w:rPr>
        <w:t xml:space="preserve"> 3</w:t>
      </w:r>
      <w:r w:rsidRPr="001E28DD">
        <w:rPr>
          <w:sz w:val="22"/>
        </w:rPr>
        <w:t>.</w:t>
      </w:r>
    </w:p>
    <w:p w:rsidR="0076246C" w:rsidRDefault="0076246C" w:rsidP="00C35AF3">
      <w:pPr>
        <w:spacing w:before="0" w:line="264" w:lineRule="auto"/>
        <w:ind w:left="567"/>
      </w:pPr>
      <w:r w:rsidRPr="00ED6AAC">
        <w:t xml:space="preserve">Create a reading </w:t>
      </w:r>
      <w:r>
        <w:t>or interpretation of this text in which you consider these points</w:t>
      </w:r>
      <w:r w:rsidRPr="00ED6AAC">
        <w:t>:</w:t>
      </w:r>
    </w:p>
    <w:p w:rsidR="0076246C" w:rsidRPr="00FC73D9" w:rsidRDefault="0076246C" w:rsidP="00C35AF3">
      <w:pPr>
        <w:pStyle w:val="ListParagraph"/>
        <w:numPr>
          <w:ilvl w:val="0"/>
          <w:numId w:val="7"/>
        </w:numPr>
        <w:spacing w:before="0"/>
        <w:ind w:left="851" w:hanging="284"/>
        <w:rPr>
          <w:sz w:val="22"/>
        </w:rPr>
      </w:pPr>
      <w:r w:rsidRPr="00FC73D9">
        <w:rPr>
          <w:sz w:val="22"/>
        </w:rPr>
        <w:t>What is this poem about? What do you think are the important ideas developed in this poem?</w:t>
      </w:r>
    </w:p>
    <w:p w:rsidR="0076246C" w:rsidRPr="00FC73D9" w:rsidRDefault="0076246C" w:rsidP="00C35AF3">
      <w:pPr>
        <w:pStyle w:val="ListParagraph"/>
        <w:numPr>
          <w:ilvl w:val="0"/>
          <w:numId w:val="7"/>
        </w:numPr>
        <w:spacing w:before="0"/>
        <w:ind w:left="851" w:hanging="284"/>
        <w:rPr>
          <w:sz w:val="22"/>
        </w:rPr>
      </w:pPr>
      <w:r w:rsidRPr="00FC73D9">
        <w:rPr>
          <w:sz w:val="22"/>
        </w:rPr>
        <w:t>Why is the structure of this poem significant?</w:t>
      </w:r>
    </w:p>
    <w:p w:rsidR="0076246C" w:rsidRPr="00FC73D9" w:rsidRDefault="0076246C" w:rsidP="00C35AF3">
      <w:pPr>
        <w:pStyle w:val="ListParagraph"/>
        <w:numPr>
          <w:ilvl w:val="0"/>
          <w:numId w:val="7"/>
        </w:numPr>
        <w:spacing w:before="0"/>
        <w:ind w:left="851" w:hanging="284"/>
        <w:rPr>
          <w:sz w:val="22"/>
        </w:rPr>
      </w:pPr>
      <w:r w:rsidRPr="00FC73D9">
        <w:rPr>
          <w:sz w:val="22"/>
        </w:rPr>
        <w:t xml:space="preserve">What issues are raised? </w:t>
      </w:r>
    </w:p>
    <w:p w:rsidR="0076246C" w:rsidRPr="00FC73D9" w:rsidRDefault="0076246C" w:rsidP="00C35AF3">
      <w:pPr>
        <w:pStyle w:val="ListParagraph"/>
        <w:numPr>
          <w:ilvl w:val="0"/>
          <w:numId w:val="7"/>
        </w:numPr>
        <w:spacing w:before="0"/>
        <w:ind w:left="851" w:hanging="284"/>
        <w:rPr>
          <w:sz w:val="22"/>
        </w:rPr>
      </w:pPr>
      <w:r w:rsidRPr="00FC73D9">
        <w:rPr>
          <w:sz w:val="22"/>
        </w:rPr>
        <w:t xml:space="preserve">Why do you agree or disagree with the ways of thinking about the world expressed in the poem? </w:t>
      </w:r>
    </w:p>
    <w:p w:rsidR="0076246C" w:rsidRPr="00FC73D9" w:rsidRDefault="0076246C" w:rsidP="00C35AF3">
      <w:pPr>
        <w:pStyle w:val="ListParagraph"/>
        <w:numPr>
          <w:ilvl w:val="0"/>
          <w:numId w:val="7"/>
        </w:numPr>
        <w:spacing w:before="0"/>
        <w:ind w:left="851" w:hanging="284"/>
        <w:rPr>
          <w:sz w:val="22"/>
        </w:rPr>
      </w:pPr>
      <w:r w:rsidRPr="00FC73D9">
        <w:rPr>
          <w:sz w:val="22"/>
        </w:rPr>
        <w:t xml:space="preserve">Discuss the choices of language made in this poem and how those choices allow us to make meaning. </w:t>
      </w:r>
    </w:p>
    <w:p w:rsidR="00C44462" w:rsidRPr="007600D6" w:rsidRDefault="00D17013" w:rsidP="00C35AF3">
      <w:pPr>
        <w:pStyle w:val="ListParagraph"/>
        <w:tabs>
          <w:tab w:val="left" w:pos="567"/>
          <w:tab w:val="right" w:pos="9356"/>
        </w:tabs>
        <w:ind w:left="567"/>
        <w:rPr>
          <w:sz w:val="22"/>
        </w:rPr>
      </w:pPr>
      <w:r>
        <w:rPr>
          <w:sz w:val="22"/>
        </w:rPr>
        <w:tab/>
      </w:r>
      <w:r w:rsidR="00E05ED9">
        <w:rPr>
          <w:b/>
          <w:sz w:val="22"/>
        </w:rPr>
        <w:t>(20</w:t>
      </w:r>
      <w:r w:rsidR="005A1968" w:rsidRPr="00D84848">
        <w:rPr>
          <w:b/>
          <w:sz w:val="22"/>
        </w:rPr>
        <w:t xml:space="preserve"> marks)</w:t>
      </w:r>
    </w:p>
    <w:p w:rsidR="002F6330" w:rsidRDefault="002F6330" w:rsidP="001E28DD">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Pr="00042CFC"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Pr="00042CFC" w:rsidRDefault="005E3129" w:rsidP="005E3129">
      <w:pPr>
        <w:tabs>
          <w:tab w:val="left" w:pos="567"/>
        </w:tabs>
        <w:spacing w:line="360" w:lineRule="auto"/>
        <w:ind w:left="567" w:hanging="567"/>
      </w:pPr>
      <w:r>
        <w:lastRenderedPageBreak/>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Pr="00042CFC"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Pr="00042CFC"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Pr="00042CFC"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Pr="00042CFC"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5E3129" w:rsidRDefault="005E3129" w:rsidP="005E3129">
      <w:pPr>
        <w:tabs>
          <w:tab w:val="left" w:pos="567"/>
        </w:tabs>
        <w:spacing w:line="360" w:lineRule="auto"/>
        <w:ind w:left="567" w:hanging="567"/>
      </w:pPr>
      <w:r>
        <w:tab/>
        <w:t>________________________________________________________________________________</w:t>
      </w:r>
    </w:p>
    <w:p w:rsidR="0076246C" w:rsidRDefault="005E3129" w:rsidP="005E3129">
      <w:pPr>
        <w:tabs>
          <w:tab w:val="left" w:pos="567"/>
        </w:tabs>
        <w:spacing w:line="360" w:lineRule="auto"/>
        <w:ind w:left="567" w:hanging="567"/>
      </w:pPr>
      <w:r>
        <w:tab/>
        <w:t>________________________________________________________________________________</w:t>
      </w:r>
      <w:r w:rsidR="0076246C">
        <w:br w:type="page"/>
      </w:r>
    </w:p>
    <w:p w:rsidR="00FD1658" w:rsidRPr="002C5D23" w:rsidRDefault="0076246C" w:rsidP="00665A51">
      <w:pPr>
        <w:spacing w:before="0" w:after="200"/>
      </w:pPr>
      <w:r>
        <w:rPr>
          <w:noProof/>
          <w:lang w:val="en-AU" w:eastAsia="en-AU"/>
        </w:rPr>
        <w:drawing>
          <wp:anchor distT="0" distB="0" distL="114300" distR="114300" simplePos="0" relativeHeight="251661312" behindDoc="0" locked="0" layoutInCell="1" allowOverlap="1" wp14:anchorId="07C0337B" wp14:editId="7383B213">
            <wp:simplePos x="0" y="0"/>
            <wp:positionH relativeFrom="column">
              <wp:posOffset>464820</wp:posOffset>
            </wp:positionH>
            <wp:positionV relativeFrom="paragraph">
              <wp:posOffset>308610</wp:posOffset>
            </wp:positionV>
            <wp:extent cx="4917440" cy="72034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7440" cy="7203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D1658" w:rsidRPr="002C5D23" w:rsidSect="001C7418">
      <w:headerReference w:type="even" r:id="rId15"/>
      <w:headerReference w:type="default" r:id="rId16"/>
      <w:footerReference w:type="even" r:id="rId17"/>
      <w:headerReference w:type="first" r:id="rId18"/>
      <w:footerReference w:type="first" r:id="rId19"/>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2" w:rsidRDefault="00C44462" w:rsidP="00E851D5">
      <w:r>
        <w:separator/>
      </w:r>
    </w:p>
  </w:endnote>
  <w:endnote w:type="continuationSeparator" w:id="0">
    <w:p w:rsidR="00C44462" w:rsidRDefault="00C4446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507F00" w:rsidRDefault="00C4446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2E434B">
      <w:rPr>
        <w:rFonts w:ascii="Franklin Gothic Book" w:hAnsi="Franklin Gothic Book"/>
        <w:noProof/>
        <w:color w:val="342568"/>
        <w:sz w:val="16"/>
        <w:szCs w:val="16"/>
      </w:rPr>
      <w:t>9357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FD1658" w:rsidRDefault="005E3129"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Literature</w:t>
    </w:r>
    <w:r w:rsidRPr="00D41604">
      <w:rPr>
        <w:rFonts w:ascii="Franklin Gothic Book" w:hAnsi="Franklin Gothic Book"/>
        <w:b/>
        <w:noProof/>
        <w:color w:val="342568"/>
        <w:sz w:val="18"/>
        <w:szCs w:val="18"/>
      </w:rPr>
      <w:t xml:space="preserve"> </w:t>
    </w:r>
    <w:r w:rsidR="00C44462" w:rsidRPr="00FD1658">
      <w:rPr>
        <w:rFonts w:ascii="Franklin Gothic Book" w:hAnsi="Franklin Gothic Book"/>
        <w:b/>
        <w:noProof/>
        <w:color w:val="342568"/>
        <w:sz w:val="18"/>
        <w:szCs w:val="18"/>
      </w:rPr>
      <w:t>| General</w:t>
    </w:r>
    <w:r w:rsidR="00C44462" w:rsidRPr="00FD1658">
      <w:rPr>
        <w:rFonts w:ascii="Franklin Gothic Book" w:hAnsi="Franklin Gothic Book"/>
        <w:b/>
        <w:color w:val="342568"/>
        <w:sz w:val="18"/>
        <w:szCs w:val="18"/>
      </w:rPr>
      <w:t xml:space="preserve"> </w:t>
    </w:r>
    <w:r w:rsidR="00FD1658" w:rsidRPr="00FD1658">
      <w:rPr>
        <w:rFonts w:ascii="Franklin Gothic Book" w:hAnsi="Franklin Gothic Book"/>
        <w:b/>
        <w:noProof/>
        <w:color w:val="342568"/>
        <w:sz w:val="18"/>
        <w:szCs w:val="18"/>
      </w:rPr>
      <w:t xml:space="preserve">| Externally set task </w:t>
    </w:r>
    <w:r>
      <w:rPr>
        <w:rFonts w:ascii="Franklin Gothic Book" w:hAnsi="Franklin Gothic Book"/>
        <w:b/>
        <w:noProof/>
        <w:color w:val="342568"/>
        <w:sz w:val="18"/>
        <w:szCs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2E434B"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Literature</w:t>
    </w:r>
    <w:r w:rsidRPr="00D41604">
      <w:rPr>
        <w:rFonts w:ascii="Franklin Gothic Book" w:hAnsi="Franklin Gothic Book"/>
        <w:b/>
        <w:noProof/>
        <w:color w:val="342568"/>
        <w:sz w:val="18"/>
        <w:szCs w:val="18"/>
      </w:rPr>
      <w:t xml:space="preserve"> </w:t>
    </w:r>
    <w:r w:rsidR="00C44462" w:rsidRPr="00D41604">
      <w:rPr>
        <w:rFonts w:ascii="Franklin Gothic Book" w:hAnsi="Franklin Gothic Book"/>
        <w:b/>
        <w:noProof/>
        <w:color w:val="342568"/>
        <w:sz w:val="18"/>
        <w:szCs w:val="18"/>
      </w:rPr>
      <w:t>|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xml:space="preserve">| Externally set task | Sample </w:t>
    </w:r>
    <w:r w:rsidR="001E28DD">
      <w:rPr>
        <w:rFonts w:ascii="Franklin Gothic Book" w:hAnsi="Franklin Gothic Book"/>
        <w:b/>
        <w:noProof/>
        <w:color w:val="342568"/>
        <w:sz w:val="18"/>
        <w:szCs w:val="18"/>
      </w:rPr>
      <w:t>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2E434B"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Literature</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1E28DD">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2" w:rsidRDefault="00C44462" w:rsidP="00E851D5">
      <w:r>
        <w:separator/>
      </w:r>
    </w:p>
  </w:footnote>
  <w:footnote w:type="continuationSeparator" w:id="0">
    <w:p w:rsidR="00C44462" w:rsidRDefault="00C4446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rsidP="001C7418">
    <w:pPr>
      <w:pStyle w:val="Header"/>
    </w:pPr>
    <w:r>
      <w:rPr>
        <w:rFonts w:ascii="Arial" w:eastAsia="Times New Roman" w:hAnsi="Arial" w:cs="Arial"/>
        <w:bCs/>
        <w:noProof/>
        <w:kern w:val="28"/>
        <w:sz w:val="20"/>
        <w:szCs w:val="20"/>
        <w:lang w:val="en-AU" w:eastAsia="en-AU"/>
      </w:rPr>
      <w:drawing>
        <wp:inline distT="0" distB="0" distL="0" distR="0" wp14:anchorId="4462CC38" wp14:editId="1D4169FF">
          <wp:extent cx="5941060" cy="530343"/>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44462" w:rsidRPr="001C7418" w:rsidRDefault="00C44462"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D208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44462" w:rsidRDefault="00C44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29" w:rsidRPr="001B3981" w:rsidRDefault="005E3129" w:rsidP="005E3129">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D208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44462" w:rsidRDefault="00C444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D208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4462" w:rsidRPr="001C7418" w:rsidRDefault="00C44462"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2297360E"/>
    <w:multiLevelType w:val="hybridMultilevel"/>
    <w:tmpl w:val="58E849B2"/>
    <w:lvl w:ilvl="0" w:tplc="F31E631A">
      <w:start w:val="1"/>
      <w:numFmt w:val="bullet"/>
      <w:lvlText w:val=""/>
      <w:lvlJc w:val="left"/>
      <w:pPr>
        <w:tabs>
          <w:tab w:val="num" w:pos="357"/>
        </w:tabs>
        <w:ind w:left="357" w:hanging="357"/>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72881183"/>
    <w:multiLevelType w:val="hybridMultilevel"/>
    <w:tmpl w:val="AC48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920092"/>
    <w:multiLevelType w:val="hybridMultilevel"/>
    <w:tmpl w:val="21F0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15945"/>
    <w:rsid w:val="00046864"/>
    <w:rsid w:val="00091447"/>
    <w:rsid w:val="000957C6"/>
    <w:rsid w:val="000B1362"/>
    <w:rsid w:val="000D2089"/>
    <w:rsid w:val="00162AFB"/>
    <w:rsid w:val="001734AE"/>
    <w:rsid w:val="001B3981"/>
    <w:rsid w:val="001C7418"/>
    <w:rsid w:val="001D47F9"/>
    <w:rsid w:val="001E28DD"/>
    <w:rsid w:val="00220C25"/>
    <w:rsid w:val="00242F9E"/>
    <w:rsid w:val="00244B87"/>
    <w:rsid w:val="002926BA"/>
    <w:rsid w:val="00294035"/>
    <w:rsid w:val="00296510"/>
    <w:rsid w:val="002C5D23"/>
    <w:rsid w:val="002E38D7"/>
    <w:rsid w:val="002E434B"/>
    <w:rsid w:val="002F6330"/>
    <w:rsid w:val="0031476D"/>
    <w:rsid w:val="00320CB2"/>
    <w:rsid w:val="00332C0F"/>
    <w:rsid w:val="00365E33"/>
    <w:rsid w:val="0038361A"/>
    <w:rsid w:val="00384340"/>
    <w:rsid w:val="003C30BA"/>
    <w:rsid w:val="003C3587"/>
    <w:rsid w:val="00414530"/>
    <w:rsid w:val="004A6C20"/>
    <w:rsid w:val="004A7C22"/>
    <w:rsid w:val="004D6804"/>
    <w:rsid w:val="004F07C5"/>
    <w:rsid w:val="00507F00"/>
    <w:rsid w:val="00527C82"/>
    <w:rsid w:val="00555C29"/>
    <w:rsid w:val="005628FB"/>
    <w:rsid w:val="005A1968"/>
    <w:rsid w:val="005E3129"/>
    <w:rsid w:val="005E6602"/>
    <w:rsid w:val="00604187"/>
    <w:rsid w:val="00623C1E"/>
    <w:rsid w:val="00665A51"/>
    <w:rsid w:val="006773DE"/>
    <w:rsid w:val="0069107A"/>
    <w:rsid w:val="006D0066"/>
    <w:rsid w:val="00700DCB"/>
    <w:rsid w:val="00725C63"/>
    <w:rsid w:val="00727C1D"/>
    <w:rsid w:val="00732A2C"/>
    <w:rsid w:val="007600D6"/>
    <w:rsid w:val="0076246C"/>
    <w:rsid w:val="0077345C"/>
    <w:rsid w:val="0079667B"/>
    <w:rsid w:val="00801AAC"/>
    <w:rsid w:val="00813711"/>
    <w:rsid w:val="008824FF"/>
    <w:rsid w:val="00890EAA"/>
    <w:rsid w:val="008A1A63"/>
    <w:rsid w:val="008C74B9"/>
    <w:rsid w:val="008D1E31"/>
    <w:rsid w:val="008E35BC"/>
    <w:rsid w:val="008F5555"/>
    <w:rsid w:val="00910DE1"/>
    <w:rsid w:val="009402DC"/>
    <w:rsid w:val="009D1C81"/>
    <w:rsid w:val="009D22E6"/>
    <w:rsid w:val="009E071D"/>
    <w:rsid w:val="009E4966"/>
    <w:rsid w:val="00A12B8C"/>
    <w:rsid w:val="00A17F56"/>
    <w:rsid w:val="00A726B2"/>
    <w:rsid w:val="00A900BE"/>
    <w:rsid w:val="00AB26F9"/>
    <w:rsid w:val="00AB5889"/>
    <w:rsid w:val="00B238A1"/>
    <w:rsid w:val="00B55273"/>
    <w:rsid w:val="00B619E8"/>
    <w:rsid w:val="00B802FE"/>
    <w:rsid w:val="00BC1616"/>
    <w:rsid w:val="00BD1FDE"/>
    <w:rsid w:val="00C100F0"/>
    <w:rsid w:val="00C35AF3"/>
    <w:rsid w:val="00C44462"/>
    <w:rsid w:val="00C5704F"/>
    <w:rsid w:val="00CB1DD9"/>
    <w:rsid w:val="00CC422F"/>
    <w:rsid w:val="00CD5771"/>
    <w:rsid w:val="00D051AD"/>
    <w:rsid w:val="00D114EF"/>
    <w:rsid w:val="00D1273B"/>
    <w:rsid w:val="00D17013"/>
    <w:rsid w:val="00D30F6E"/>
    <w:rsid w:val="00D3682B"/>
    <w:rsid w:val="00D41604"/>
    <w:rsid w:val="00D84848"/>
    <w:rsid w:val="00D96E05"/>
    <w:rsid w:val="00E05ED9"/>
    <w:rsid w:val="00E073EF"/>
    <w:rsid w:val="00E07D3B"/>
    <w:rsid w:val="00E24C0C"/>
    <w:rsid w:val="00E45E71"/>
    <w:rsid w:val="00E65199"/>
    <w:rsid w:val="00E851D5"/>
    <w:rsid w:val="00EB5D28"/>
    <w:rsid w:val="00EB6169"/>
    <w:rsid w:val="00EE75A6"/>
    <w:rsid w:val="00F1520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NoSpacing">
    <w:name w:val="No Spacing"/>
    <w:basedOn w:val="Normal"/>
    <w:uiPriority w:val="1"/>
    <w:qFormat/>
    <w:rsid w:val="00220C25"/>
    <w:pPr>
      <w:keepNext/>
      <w:spacing w:before="0" w:after="0" w:line="264" w:lineRule="auto"/>
    </w:pPr>
    <w:rPr>
      <w:rFonts w:eastAsiaTheme="minorEastAsia" w:cstheme="minorBidi"/>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NoSpacing">
    <w:name w:val="No Spacing"/>
    <w:basedOn w:val="Normal"/>
    <w:uiPriority w:val="1"/>
    <w:qFormat/>
    <w:rsid w:val="00220C25"/>
    <w:pPr>
      <w:keepNext/>
      <w:spacing w:before="0" w:after="0" w:line="264" w:lineRule="auto"/>
    </w:pPr>
    <w:rPr>
      <w:rFonts w:eastAsiaTheme="minorEastAsia" w:cstheme="minorBid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9A2F-30C0-448F-B8FC-BF2A5D15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11</cp:revision>
  <cp:lastPrinted>2014-03-25T06:27:00Z</cp:lastPrinted>
  <dcterms:created xsi:type="dcterms:W3CDTF">2014-03-18T01:12:00Z</dcterms:created>
  <dcterms:modified xsi:type="dcterms:W3CDTF">2014-03-26T06:16:00Z</dcterms:modified>
</cp:coreProperties>
</file>