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81" w:rsidRDefault="00524381" w:rsidP="00833A12">
      <w:pPr>
        <w:spacing w:after="0" w:line="257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712BA5" w:rsidTr="00712BA5">
        <w:tc>
          <w:tcPr>
            <w:tcW w:w="8217" w:type="dxa"/>
          </w:tcPr>
          <w:p w:rsidR="00712BA5" w:rsidRDefault="00712BA5" w:rsidP="003913BD">
            <w:r w:rsidRPr="001974A7">
              <w:rPr>
                <w:rFonts w:cstheme="minorHAnsi"/>
                <w:b/>
              </w:rPr>
              <w:t>Syllabus change</w:t>
            </w:r>
            <w:r w:rsidR="00F14C2B">
              <w:rPr>
                <w:rFonts w:cstheme="minorHAnsi"/>
                <w:b/>
              </w:rPr>
              <w:t>s</w:t>
            </w:r>
          </w:p>
        </w:tc>
      </w:tr>
      <w:tr w:rsidR="00712BA5" w:rsidTr="00712BA5">
        <w:tc>
          <w:tcPr>
            <w:tcW w:w="8217" w:type="dxa"/>
          </w:tcPr>
          <w:p w:rsidR="00524381" w:rsidRDefault="00524381" w:rsidP="00524381">
            <w:r>
              <w:t xml:space="preserve">The content identified by </w:t>
            </w:r>
            <w:r w:rsidRPr="00A04414">
              <w:rPr>
                <w:strike/>
              </w:rPr>
              <w:t>strikethrough</w:t>
            </w:r>
            <w:r>
              <w:t xml:space="preserve"> has been deleted from the syllabus and the content identified in </w:t>
            </w:r>
            <w:r w:rsidRPr="00A04414">
              <w:rPr>
                <w:i/>
              </w:rPr>
              <w:t>italics</w:t>
            </w:r>
            <w:r>
              <w:t xml:space="preserve"> has been revised in the syllabus for teaching from 2023.</w:t>
            </w:r>
          </w:p>
          <w:p w:rsidR="00712BA5" w:rsidRDefault="00712BA5" w:rsidP="00712BA5">
            <w:pPr>
              <w:spacing w:line="288" w:lineRule="atLeast"/>
              <w:ind w:left="360"/>
              <w:rPr>
                <w:rFonts w:eastAsia="Times New Roman" w:cstheme="minorHAnsi"/>
                <w:lang w:eastAsia="en-AU"/>
              </w:rPr>
            </w:pPr>
          </w:p>
          <w:p w:rsidR="00712BA5" w:rsidRDefault="00712BA5" w:rsidP="00712BA5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  <w:r>
              <w:rPr>
                <w:rFonts w:eastAsia="Times New Roman" w:cstheme="minorHAnsi"/>
                <w:b/>
                <w:lang w:eastAsia="en-AU"/>
              </w:rPr>
              <w:t>Unit 1</w:t>
            </w:r>
          </w:p>
          <w:p w:rsidR="00712BA5" w:rsidRDefault="00712BA5" w:rsidP="00524381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elements of the marketing mix</w:t>
            </w:r>
          </w:p>
          <w:p w:rsidR="00712BA5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promotion</w:t>
            </w:r>
          </w:p>
          <w:p w:rsidR="00712BA5" w:rsidRDefault="00712BA5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advertising</w:t>
            </w:r>
          </w:p>
          <w:p w:rsidR="00712BA5" w:rsidRDefault="00712BA5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publicity</w:t>
            </w:r>
          </w:p>
          <w:p w:rsidR="00712BA5" w:rsidRDefault="00712BA5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sales promotion</w:t>
            </w:r>
          </w:p>
          <w:p w:rsidR="00712BA5" w:rsidRPr="00FF7AD4" w:rsidRDefault="00712BA5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i/>
                <w:lang w:eastAsia="en-AU"/>
              </w:rPr>
            </w:pPr>
            <w:r w:rsidRPr="00FF7AD4">
              <w:rPr>
                <w:rFonts w:eastAsia="Times New Roman" w:cstheme="minorHAnsi"/>
                <w:i/>
                <w:lang w:eastAsia="en-AU"/>
              </w:rPr>
              <w:t>personal selling</w:t>
            </w:r>
          </w:p>
          <w:p w:rsidR="00712BA5" w:rsidRDefault="00712BA5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viral marketing</w:t>
            </w:r>
          </w:p>
          <w:p w:rsidR="00524381" w:rsidRPr="00524381" w:rsidRDefault="00524381" w:rsidP="00524381">
            <w:pPr>
              <w:pStyle w:val="ListParagraph"/>
              <w:numPr>
                <w:ilvl w:val="2"/>
                <w:numId w:val="16"/>
              </w:numPr>
              <w:spacing w:line="288" w:lineRule="atLeast"/>
              <w:ind w:left="1163" w:hanging="425"/>
              <w:rPr>
                <w:rFonts w:eastAsia="Times New Roman" w:cstheme="minorHAnsi"/>
                <w:strike/>
                <w:lang w:eastAsia="en-AU"/>
              </w:rPr>
            </w:pPr>
            <w:r w:rsidRPr="00524381">
              <w:rPr>
                <w:rFonts w:eastAsia="Times New Roman" w:cstheme="minorHAnsi"/>
                <w:strike/>
                <w:lang w:eastAsia="en-AU"/>
              </w:rPr>
              <w:t>telemarketing</w:t>
            </w:r>
          </w:p>
          <w:p w:rsidR="00712BA5" w:rsidRDefault="00712BA5" w:rsidP="00524381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the use of technologies to facilitate promotional activities, including:</w:t>
            </w:r>
          </w:p>
          <w:p w:rsidR="00F14C2B" w:rsidRPr="00524381" w:rsidRDefault="00F14C2B" w:rsidP="00F14C2B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strike/>
                <w:lang w:eastAsia="en-AU"/>
              </w:rPr>
            </w:pPr>
            <w:r w:rsidRPr="00524381">
              <w:rPr>
                <w:rFonts w:eastAsia="Times New Roman" w:cstheme="minorHAnsi"/>
                <w:strike/>
                <w:lang w:eastAsia="en-AU"/>
              </w:rPr>
              <w:t>internet</w:t>
            </w:r>
          </w:p>
          <w:p w:rsidR="00F14C2B" w:rsidRPr="00F14C2B" w:rsidRDefault="00F14C2B" w:rsidP="00F14C2B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strike/>
                <w:lang w:eastAsia="en-AU"/>
              </w:rPr>
            </w:pPr>
            <w:r w:rsidRPr="00524381">
              <w:rPr>
                <w:rFonts w:eastAsia="Times New Roman" w:cstheme="minorHAnsi"/>
                <w:strike/>
                <w:lang w:eastAsia="en-AU"/>
              </w:rPr>
              <w:t>mobile devices</w:t>
            </w:r>
          </w:p>
          <w:p w:rsidR="00712BA5" w:rsidRPr="00FF7AD4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i/>
                <w:lang w:eastAsia="en-AU"/>
              </w:rPr>
            </w:pPr>
            <w:r w:rsidRPr="00FF7AD4">
              <w:rPr>
                <w:rFonts w:eastAsia="Times New Roman" w:cstheme="minorHAnsi"/>
                <w:i/>
                <w:lang w:eastAsia="en-AU"/>
              </w:rPr>
              <w:t>online advertising</w:t>
            </w:r>
          </w:p>
          <w:p w:rsidR="00712BA5" w:rsidRPr="00FF7AD4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i/>
                <w:lang w:eastAsia="en-AU"/>
              </w:rPr>
            </w:pPr>
            <w:r w:rsidRPr="00FF7AD4">
              <w:rPr>
                <w:rFonts w:eastAsia="Times New Roman" w:cstheme="minorHAnsi"/>
                <w:i/>
                <w:lang w:eastAsia="en-AU"/>
              </w:rPr>
              <w:t xml:space="preserve">social media </w:t>
            </w:r>
          </w:p>
          <w:p w:rsidR="00F14C2B" w:rsidRDefault="00712BA5" w:rsidP="00213DB2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i/>
                <w:lang w:eastAsia="en-AU"/>
              </w:rPr>
            </w:pPr>
            <w:r w:rsidRPr="00F14C2B">
              <w:rPr>
                <w:rFonts w:eastAsia="Times New Roman" w:cstheme="minorHAnsi"/>
                <w:i/>
                <w:lang w:eastAsia="en-AU"/>
              </w:rPr>
              <w:t>mobile application</w:t>
            </w:r>
            <w:r w:rsidR="00F14C2B">
              <w:rPr>
                <w:rFonts w:eastAsia="Times New Roman" w:cstheme="minorHAnsi"/>
                <w:i/>
                <w:lang w:eastAsia="en-AU"/>
              </w:rPr>
              <w:t>s</w:t>
            </w:r>
            <w:r w:rsidRPr="00F14C2B">
              <w:rPr>
                <w:rFonts w:eastAsia="Times New Roman" w:cstheme="minorHAnsi"/>
                <w:i/>
                <w:lang w:eastAsia="en-AU"/>
              </w:rPr>
              <w:t xml:space="preserve"> </w:t>
            </w:r>
          </w:p>
          <w:p w:rsidR="00712BA5" w:rsidRPr="00F14C2B" w:rsidRDefault="00712BA5" w:rsidP="00213DB2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i/>
                <w:lang w:eastAsia="en-AU"/>
              </w:rPr>
            </w:pPr>
            <w:r w:rsidRPr="00F14C2B">
              <w:rPr>
                <w:rFonts w:eastAsia="Times New Roman" w:cstheme="minorHAnsi"/>
                <w:i/>
                <w:lang w:eastAsia="en-AU"/>
              </w:rPr>
              <w:t>e-newsletters</w:t>
            </w:r>
          </w:p>
          <w:p w:rsidR="00712BA5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rFonts w:eastAsia="Times New Roman" w:cstheme="minorHAnsi"/>
                <w:i/>
                <w:lang w:eastAsia="en-AU"/>
              </w:rPr>
            </w:pPr>
            <w:r w:rsidRPr="00FF7AD4">
              <w:rPr>
                <w:rFonts w:eastAsia="Times New Roman" w:cstheme="minorHAnsi"/>
                <w:i/>
                <w:lang w:eastAsia="en-AU"/>
              </w:rPr>
              <w:t xml:space="preserve">e-commerce </w:t>
            </w:r>
          </w:p>
          <w:p w:rsidR="00712BA5" w:rsidRDefault="00712BA5" w:rsidP="00712BA5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</w:p>
          <w:p w:rsidR="00712BA5" w:rsidRPr="00FF7AD4" w:rsidRDefault="00712BA5" w:rsidP="00712BA5">
            <w:pPr>
              <w:spacing w:line="288" w:lineRule="atLeast"/>
              <w:rPr>
                <w:rFonts w:eastAsia="Times New Roman" w:cstheme="minorHAnsi"/>
                <w:b/>
                <w:lang w:eastAsia="en-AU"/>
              </w:rPr>
            </w:pPr>
            <w:r w:rsidRPr="00FF7AD4">
              <w:rPr>
                <w:rFonts w:eastAsia="Times New Roman" w:cstheme="minorHAnsi"/>
                <w:b/>
                <w:lang w:eastAsia="en-AU"/>
              </w:rPr>
              <w:t>Unit 2</w:t>
            </w:r>
          </w:p>
          <w:p w:rsidR="00524381" w:rsidRPr="00524381" w:rsidRDefault="00524381" w:rsidP="00524381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/>
              <w:rPr>
                <w:strike/>
              </w:rPr>
            </w:pPr>
            <w:r w:rsidRPr="00524381">
              <w:rPr>
                <w:strike/>
              </w:rPr>
              <w:t>intent and purpose of the</w:t>
            </w:r>
            <w:r w:rsidRPr="00524381">
              <w:rPr>
                <w:i/>
                <w:strike/>
              </w:rPr>
              <w:t xml:space="preserve"> Occupational Safety and Health </w:t>
            </w:r>
            <w:r w:rsidRPr="00524381">
              <w:rPr>
                <w:strike/>
              </w:rPr>
              <w:t>(OSH)</w:t>
            </w:r>
            <w:r w:rsidRPr="00524381">
              <w:rPr>
                <w:i/>
                <w:strike/>
              </w:rPr>
              <w:t xml:space="preserve"> Act</w:t>
            </w:r>
            <w:r w:rsidRPr="00524381">
              <w:rPr>
                <w:strike/>
              </w:rPr>
              <w:t xml:space="preserve"> </w:t>
            </w:r>
            <w:r w:rsidRPr="00524381">
              <w:rPr>
                <w:i/>
                <w:strike/>
              </w:rPr>
              <w:t>1984</w:t>
            </w:r>
            <w:r w:rsidRPr="00524381">
              <w:rPr>
                <w:strike/>
              </w:rPr>
              <w:t xml:space="preserve"> (WA)</w:t>
            </w:r>
          </w:p>
          <w:p w:rsidR="00524381" w:rsidRPr="00524381" w:rsidRDefault="00524381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strike/>
              </w:rPr>
            </w:pPr>
            <w:r w:rsidRPr="00524381">
              <w:rPr>
                <w:strike/>
              </w:rPr>
              <w:t xml:space="preserve">responsibility of an employer within the </w:t>
            </w:r>
            <w:r w:rsidRPr="00524381">
              <w:rPr>
                <w:i/>
                <w:strike/>
              </w:rPr>
              <w:t>OSH Act</w:t>
            </w:r>
          </w:p>
          <w:p w:rsidR="00524381" w:rsidRPr="00524381" w:rsidRDefault="00524381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  <w:rPr>
                <w:strike/>
              </w:rPr>
            </w:pPr>
            <w:r w:rsidRPr="00524381">
              <w:rPr>
                <w:strike/>
              </w:rPr>
              <w:t xml:space="preserve">responsibility of an employee within the </w:t>
            </w:r>
            <w:r w:rsidRPr="00524381">
              <w:rPr>
                <w:i/>
                <w:strike/>
              </w:rPr>
              <w:t>OSH Act</w:t>
            </w:r>
            <w:r w:rsidRPr="00524381">
              <w:rPr>
                <w:rFonts w:eastAsia="Times New Roman" w:cstheme="minorHAnsi"/>
                <w:b/>
                <w:strike/>
                <w:lang w:eastAsia="en-AU"/>
              </w:rPr>
              <w:t xml:space="preserve"> </w:t>
            </w:r>
          </w:p>
          <w:p w:rsidR="00712BA5" w:rsidRPr="00FF7AD4" w:rsidRDefault="00712BA5" w:rsidP="00524381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/>
            </w:pPr>
            <w:r w:rsidRPr="00FF7AD4">
              <w:t>intent and purpose of the</w:t>
            </w:r>
            <w:r w:rsidRPr="00524381">
              <w:rPr>
                <w:i/>
              </w:rPr>
              <w:t xml:space="preserve"> Work </w:t>
            </w:r>
            <w:r w:rsidR="005243A8">
              <w:rPr>
                <w:i/>
              </w:rPr>
              <w:t xml:space="preserve">Health and </w:t>
            </w:r>
            <w:r w:rsidRPr="00524381">
              <w:rPr>
                <w:i/>
              </w:rPr>
              <w:t>Safety Act 2020</w:t>
            </w:r>
            <w:r w:rsidRPr="00FF7AD4">
              <w:t xml:space="preserve"> (WA)</w:t>
            </w:r>
          </w:p>
          <w:p w:rsidR="00712BA5" w:rsidRPr="00FF7AD4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</w:pPr>
            <w:r w:rsidRPr="00FF7AD4">
              <w:t xml:space="preserve">responsibility of an employer within the </w:t>
            </w:r>
            <w:r w:rsidRPr="00FF7AD4">
              <w:rPr>
                <w:i/>
              </w:rPr>
              <w:t xml:space="preserve">Work </w:t>
            </w:r>
            <w:r w:rsidR="005243A8">
              <w:rPr>
                <w:i/>
              </w:rPr>
              <w:t xml:space="preserve">Health and </w:t>
            </w:r>
            <w:r w:rsidRPr="00FF7AD4">
              <w:rPr>
                <w:i/>
              </w:rPr>
              <w:t>Safety Act</w:t>
            </w:r>
            <w:r w:rsidR="00F14C2B">
              <w:rPr>
                <w:i/>
              </w:rPr>
              <w:t xml:space="preserve"> 2020 (WA)</w:t>
            </w:r>
          </w:p>
          <w:p w:rsidR="00712BA5" w:rsidRPr="00FF7AD4" w:rsidRDefault="00712BA5" w:rsidP="00524381">
            <w:pPr>
              <w:pStyle w:val="ListParagraph"/>
              <w:numPr>
                <w:ilvl w:val="1"/>
                <w:numId w:val="15"/>
              </w:numPr>
              <w:spacing w:line="259" w:lineRule="auto"/>
              <w:ind w:left="799"/>
            </w:pPr>
            <w:r w:rsidRPr="00FF7AD4">
              <w:t xml:space="preserve">responsibility of an employee within the </w:t>
            </w:r>
            <w:r w:rsidRPr="00FF7AD4">
              <w:rPr>
                <w:i/>
              </w:rPr>
              <w:t xml:space="preserve">Work </w:t>
            </w:r>
            <w:r w:rsidR="005243A8">
              <w:rPr>
                <w:i/>
              </w:rPr>
              <w:t xml:space="preserve">Health and </w:t>
            </w:r>
            <w:bookmarkStart w:id="0" w:name="_GoBack"/>
            <w:bookmarkEnd w:id="0"/>
            <w:r w:rsidRPr="00FF7AD4">
              <w:rPr>
                <w:i/>
              </w:rPr>
              <w:t>Safety Act</w:t>
            </w:r>
            <w:r w:rsidRPr="00FF7AD4">
              <w:rPr>
                <w:rFonts w:eastAsia="Times New Roman" w:cstheme="minorHAnsi"/>
                <w:b/>
                <w:lang w:eastAsia="en-AU"/>
              </w:rPr>
              <w:t xml:space="preserve"> </w:t>
            </w:r>
            <w:r w:rsidR="00F14C2B" w:rsidRPr="00F14C2B">
              <w:rPr>
                <w:rFonts w:eastAsia="Times New Roman" w:cstheme="minorHAnsi"/>
                <w:i/>
                <w:lang w:eastAsia="en-AU"/>
              </w:rPr>
              <w:t>2020 (WA)</w:t>
            </w:r>
          </w:p>
          <w:p w:rsidR="00712BA5" w:rsidRPr="00FF7AD4" w:rsidRDefault="00712BA5" w:rsidP="00712BA5">
            <w:pPr>
              <w:pStyle w:val="ListItem"/>
              <w:spacing w:after="0"/>
            </w:pPr>
            <w:r w:rsidRPr="00FF7AD4">
              <w:t>types of intellectual property registrations, including:</w:t>
            </w:r>
          </w:p>
          <w:p w:rsidR="00A27C7B" w:rsidRPr="00FF7AD4" w:rsidRDefault="00A27C7B" w:rsidP="00A27C7B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i/>
                <w:szCs w:val="22"/>
              </w:rPr>
            </w:pPr>
            <w:r w:rsidRPr="00FF7AD4">
              <w:rPr>
                <w:rFonts w:ascii="Calibri" w:hAnsi="Calibri" w:cs="Arial"/>
                <w:i/>
                <w:szCs w:val="22"/>
              </w:rPr>
              <w:t>copyright</w:t>
            </w:r>
          </w:p>
          <w:p w:rsidR="00712BA5" w:rsidRPr="00FF7AD4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F7AD4">
              <w:rPr>
                <w:rFonts w:ascii="Calibri" w:hAnsi="Calibri" w:cs="Arial"/>
                <w:szCs w:val="22"/>
              </w:rPr>
              <w:t>patents</w:t>
            </w:r>
          </w:p>
          <w:p w:rsidR="00712BA5" w:rsidRPr="00FF7AD4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F7AD4">
              <w:rPr>
                <w:rFonts w:ascii="Calibri" w:hAnsi="Calibri" w:cs="Arial"/>
                <w:szCs w:val="22"/>
              </w:rPr>
              <w:t>trademarks</w:t>
            </w:r>
            <w:r w:rsidR="00F14C2B">
              <w:rPr>
                <w:rFonts w:ascii="Calibri" w:hAnsi="Calibri" w:cs="Arial"/>
                <w:szCs w:val="22"/>
              </w:rPr>
              <w:t xml:space="preserve"> </w:t>
            </w:r>
            <w:r w:rsidR="00F14C2B" w:rsidRPr="00F14C2B">
              <w:rPr>
                <w:rFonts w:ascii="Calibri" w:hAnsi="Calibri" w:cs="Arial"/>
                <w:strike/>
                <w:szCs w:val="22"/>
              </w:rPr>
              <w:t>(including domain names)</w:t>
            </w:r>
          </w:p>
          <w:p w:rsidR="00712BA5" w:rsidRPr="00FF7AD4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F7AD4">
              <w:rPr>
                <w:rFonts w:ascii="Calibri" w:hAnsi="Calibri" w:cs="Arial"/>
                <w:szCs w:val="22"/>
              </w:rPr>
              <w:t>designs</w:t>
            </w:r>
          </w:p>
          <w:p w:rsidR="00712BA5" w:rsidRPr="00FF7AD4" w:rsidRDefault="00712BA5" w:rsidP="00712BA5">
            <w:pPr>
              <w:pStyle w:val="ListItem"/>
              <w:spacing w:after="0"/>
              <w:rPr>
                <w:rFonts w:eastAsia="Times New Roman"/>
              </w:rPr>
            </w:pPr>
            <w:r w:rsidRPr="00FF7AD4">
              <w:rPr>
                <w:rFonts w:eastAsia="Times New Roman"/>
              </w:rPr>
              <w:t>characteristics of the following financial indicators</w:t>
            </w:r>
          </w:p>
          <w:p w:rsidR="00712BA5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zCs w:val="22"/>
              </w:rPr>
            </w:pPr>
            <w:r w:rsidRPr="00FF7AD4">
              <w:rPr>
                <w:rFonts w:ascii="Calibri" w:hAnsi="Calibri" w:cs="Arial"/>
                <w:szCs w:val="22"/>
              </w:rPr>
              <w:t>profitability</w:t>
            </w:r>
          </w:p>
          <w:p w:rsidR="00712BA5" w:rsidRPr="00FF7AD4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i/>
                <w:szCs w:val="22"/>
              </w:rPr>
            </w:pPr>
            <w:r w:rsidRPr="00FF7AD4">
              <w:rPr>
                <w:rFonts w:ascii="Calibri" w:hAnsi="Calibri" w:cs="Arial"/>
                <w:i/>
                <w:szCs w:val="22"/>
              </w:rPr>
              <w:t>liquidity</w:t>
            </w:r>
          </w:p>
          <w:p w:rsidR="00712BA5" w:rsidRPr="00FF7AD4" w:rsidRDefault="00712BA5" w:rsidP="00712BA5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i/>
                <w:szCs w:val="22"/>
              </w:rPr>
            </w:pPr>
            <w:r w:rsidRPr="00FF7AD4">
              <w:rPr>
                <w:rFonts w:ascii="Calibri" w:hAnsi="Calibri" w:cs="Arial"/>
                <w:i/>
                <w:szCs w:val="22"/>
              </w:rPr>
              <w:t>stability</w:t>
            </w:r>
          </w:p>
          <w:p w:rsidR="00F14C2B" w:rsidRPr="00524381" w:rsidRDefault="00F14C2B" w:rsidP="00F14C2B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trike/>
                <w:szCs w:val="22"/>
              </w:rPr>
            </w:pPr>
            <w:r w:rsidRPr="00524381">
              <w:rPr>
                <w:rFonts w:ascii="Calibri" w:hAnsi="Calibri" w:cs="Arial"/>
                <w:strike/>
                <w:szCs w:val="22"/>
              </w:rPr>
              <w:t>cost reduction</w:t>
            </w:r>
          </w:p>
          <w:p w:rsidR="00F14C2B" w:rsidRPr="00524381" w:rsidRDefault="00F14C2B" w:rsidP="00F14C2B">
            <w:pPr>
              <w:pStyle w:val="csbullet"/>
              <w:numPr>
                <w:ilvl w:val="1"/>
                <w:numId w:val="17"/>
              </w:numPr>
              <w:tabs>
                <w:tab w:val="clear" w:pos="-851"/>
                <w:tab w:val="clear" w:pos="680"/>
              </w:tabs>
              <w:spacing w:before="0" w:after="0" w:line="276" w:lineRule="auto"/>
              <w:ind w:left="653" w:right="-79" w:hanging="284"/>
              <w:rPr>
                <w:rFonts w:ascii="Calibri" w:hAnsi="Calibri" w:cs="Arial"/>
                <w:strike/>
                <w:szCs w:val="22"/>
              </w:rPr>
            </w:pPr>
            <w:r w:rsidRPr="00524381">
              <w:rPr>
                <w:rFonts w:ascii="Calibri" w:hAnsi="Calibri" w:cs="Arial"/>
                <w:strike/>
                <w:szCs w:val="22"/>
              </w:rPr>
              <w:t>sales</w:t>
            </w:r>
          </w:p>
          <w:p w:rsidR="00712BA5" w:rsidRDefault="00712BA5" w:rsidP="00712BA5"/>
          <w:p w:rsidR="00F14C2B" w:rsidRDefault="00F14C2B" w:rsidP="00712BA5">
            <w:pPr>
              <w:rPr>
                <w:b/>
              </w:rPr>
            </w:pPr>
          </w:p>
          <w:p w:rsidR="00F14C2B" w:rsidRDefault="00F14C2B" w:rsidP="00712BA5">
            <w:pPr>
              <w:rPr>
                <w:b/>
              </w:rPr>
            </w:pPr>
          </w:p>
          <w:p w:rsidR="00F14C2B" w:rsidRDefault="00F14C2B" w:rsidP="00712BA5">
            <w:pPr>
              <w:rPr>
                <w:b/>
              </w:rPr>
            </w:pPr>
          </w:p>
          <w:p w:rsidR="0070291A" w:rsidRPr="00F03C2F" w:rsidRDefault="0070291A" w:rsidP="00712BA5">
            <w:pPr>
              <w:rPr>
                <w:b/>
              </w:rPr>
            </w:pPr>
            <w:r w:rsidRPr="00F03C2F">
              <w:rPr>
                <w:b/>
              </w:rPr>
              <w:lastRenderedPageBreak/>
              <w:t>Assessment table Year 11</w:t>
            </w:r>
          </w:p>
          <w:p w:rsidR="00712BA5" w:rsidRDefault="00712BA5" w:rsidP="00712BA5">
            <w:r>
              <w:t xml:space="preserve">The </w:t>
            </w:r>
            <w:r w:rsidR="0070291A">
              <w:t xml:space="preserve">following </w:t>
            </w:r>
            <w:r>
              <w:t xml:space="preserve">weightings in the </w:t>
            </w:r>
            <w:r w:rsidR="0070291A">
              <w:t xml:space="preserve">Assessment table </w:t>
            </w:r>
            <w:r>
              <w:t>have been revise</w:t>
            </w:r>
            <w:r w:rsidR="00386E19">
              <w:t>d in the syllabus</w:t>
            </w:r>
            <w:r w:rsidR="0070291A">
              <w:t xml:space="preserve"> for teaching </w:t>
            </w:r>
            <w:r w:rsidR="00D004B7">
              <w:t>from</w:t>
            </w:r>
            <w:r w:rsidR="0070291A">
              <w:t xml:space="preserve"> 2023</w:t>
            </w:r>
            <w:r>
              <w:t>.</w:t>
            </w:r>
          </w:p>
          <w:p w:rsidR="00712BA5" w:rsidRDefault="00712BA5" w:rsidP="00712BA5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 w:hanging="373"/>
            </w:pPr>
            <w:r>
              <w:t xml:space="preserve">Business research – weighting </w:t>
            </w:r>
            <w:r w:rsidRPr="0070291A">
              <w:rPr>
                <w:strike/>
              </w:rPr>
              <w:t>40%</w:t>
            </w:r>
            <w:r w:rsidR="0070291A">
              <w:t xml:space="preserve"> </w:t>
            </w:r>
            <w:r w:rsidR="0070291A" w:rsidRPr="00F14C2B">
              <w:rPr>
                <w:i/>
              </w:rPr>
              <w:t>30%</w:t>
            </w:r>
          </w:p>
          <w:p w:rsidR="00712BA5" w:rsidRDefault="00712BA5" w:rsidP="00712BA5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 w:hanging="373"/>
            </w:pPr>
            <w:r>
              <w:t xml:space="preserve">Response – weighting </w:t>
            </w:r>
            <w:r w:rsidRPr="0070291A">
              <w:rPr>
                <w:strike/>
              </w:rPr>
              <w:t>30%</w:t>
            </w:r>
            <w:r w:rsidRPr="00F03C2F">
              <w:t xml:space="preserve"> </w:t>
            </w:r>
            <w:r w:rsidR="0070291A" w:rsidRPr="00F14C2B">
              <w:rPr>
                <w:i/>
              </w:rPr>
              <w:t>40%</w:t>
            </w:r>
          </w:p>
          <w:p w:rsidR="00712BA5" w:rsidRDefault="00712BA5" w:rsidP="0070291A">
            <w:pPr>
              <w:pStyle w:val="ListParagraph"/>
              <w:numPr>
                <w:ilvl w:val="0"/>
                <w:numId w:val="15"/>
              </w:numPr>
              <w:spacing w:line="259" w:lineRule="auto"/>
              <w:ind w:left="373" w:hanging="373"/>
            </w:pPr>
            <w:r>
              <w:t>Examination – weighting 30%</w:t>
            </w:r>
          </w:p>
        </w:tc>
      </w:tr>
    </w:tbl>
    <w:p w:rsidR="00712BA5" w:rsidRDefault="00712BA5" w:rsidP="003913BD"/>
    <w:sectPr w:rsidR="00712BA5" w:rsidSect="00F14C2B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34" w:rsidRDefault="00E91D34" w:rsidP="00833A12">
      <w:pPr>
        <w:spacing w:after="0" w:line="240" w:lineRule="auto"/>
      </w:pPr>
      <w:r>
        <w:separator/>
      </w:r>
    </w:p>
  </w:endnote>
  <w:endnote w:type="continuationSeparator" w:id="0">
    <w:p w:rsidR="00E91D34" w:rsidRDefault="00E91D34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12" w:rsidRPr="00EC48F1" w:rsidRDefault="00833A12">
    <w:pPr>
      <w:pStyle w:val="Footer"/>
      <w:rPr>
        <w:rFonts w:cstheme="minorHAnsi"/>
        <w:sz w:val="18"/>
      </w:rPr>
    </w:pPr>
    <w:r w:rsidRPr="00EC48F1">
      <w:rPr>
        <w:rFonts w:cstheme="minorHAnsi"/>
        <w:sz w:val="18"/>
      </w:rPr>
      <w:t>CM: 2022/36636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Pr="00EC48F1" w:rsidRDefault="00F14C2B" w:rsidP="00F14C2B">
    <w:pPr>
      <w:pStyle w:val="Footer"/>
      <w:rPr>
        <w:rFonts w:cstheme="minorHAnsi"/>
        <w:sz w:val="18"/>
      </w:rPr>
    </w:pPr>
    <w:r w:rsidRPr="00EC48F1">
      <w:rPr>
        <w:rFonts w:cstheme="minorHAnsi"/>
        <w:sz w:val="18"/>
      </w:rPr>
      <w:t>CM: 2022/36636</w:t>
    </w:r>
  </w:p>
  <w:p w:rsidR="00F14C2B" w:rsidRDefault="00F14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34" w:rsidRDefault="00E91D34" w:rsidP="00833A12">
      <w:pPr>
        <w:spacing w:after="0" w:line="240" w:lineRule="auto"/>
      </w:pPr>
      <w:r>
        <w:separator/>
      </w:r>
    </w:p>
  </w:footnote>
  <w:footnote w:type="continuationSeparator" w:id="0">
    <w:p w:rsidR="00E91D34" w:rsidRDefault="00E91D34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Pr="00F14C2B" w:rsidRDefault="00F14C2B" w:rsidP="00F14C2B">
    <w:pPr>
      <w:tabs>
        <w:tab w:val="left" w:pos="360"/>
      </w:tabs>
      <w:spacing w:after="0"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Humanities and Social Sciences and teachers of </w:t>
    </w:r>
    <w:r w:rsidRPr="00F03C2F">
      <w:rPr>
        <w:rFonts w:eastAsia="Times New Roman" w:cstheme="minorHAnsi"/>
        <w:b/>
        <w:lang w:eastAsia="en-AU"/>
      </w:rPr>
      <w:t>Business Management and Enterprise</w:t>
    </w:r>
    <w:r w:rsidRPr="00F03C2F">
      <w:rPr>
        <w:rFonts w:cstheme="minorHAnsi"/>
        <w:b/>
      </w:rPr>
      <w:t xml:space="preserve"> ATAR Year 11</w:t>
    </w:r>
    <w:r w:rsidRPr="00F03C2F">
      <w:rPr>
        <w:b/>
      </w:rPr>
      <w:t xml:space="preserve"> are requested to note for 2023 the following minor syllabus changes. The syllabus is labelled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F"/>
    <w:multiLevelType w:val="hybridMultilevel"/>
    <w:tmpl w:val="8B9E8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EC1"/>
    <w:multiLevelType w:val="hybridMultilevel"/>
    <w:tmpl w:val="4F6E95C0"/>
    <w:lvl w:ilvl="0" w:tplc="60841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427"/>
    <w:multiLevelType w:val="hybridMultilevel"/>
    <w:tmpl w:val="8886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4235E"/>
    <w:multiLevelType w:val="hybridMultilevel"/>
    <w:tmpl w:val="F40C18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2C4E6">
      <w:start w:val="1"/>
      <w:numFmt w:val="bullet"/>
      <w:lvlText w:val=""/>
      <w:lvlJc w:val="left"/>
      <w:pPr>
        <w:tabs>
          <w:tab w:val="num" w:pos="680"/>
        </w:tabs>
        <w:ind w:left="680" w:hanging="323"/>
      </w:pPr>
      <w:rPr>
        <w:rFonts w:ascii="Wingdings" w:hAnsi="Wingdings" w:hint="default"/>
        <w:color w:val="auto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65399E"/>
    <w:multiLevelType w:val="hybridMultilevel"/>
    <w:tmpl w:val="517677B8"/>
    <w:lvl w:ilvl="0" w:tplc="AF4C7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8E0CE6"/>
    <w:multiLevelType w:val="hybridMultilevel"/>
    <w:tmpl w:val="EE4C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3" w15:restartNumberingAfterBreak="0">
    <w:nsid w:val="53604D9C"/>
    <w:multiLevelType w:val="hybridMultilevel"/>
    <w:tmpl w:val="AB988A44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EE2728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C5A16"/>
    <w:rsid w:val="002100BD"/>
    <w:rsid w:val="002214D0"/>
    <w:rsid w:val="00281A31"/>
    <w:rsid w:val="00355F5A"/>
    <w:rsid w:val="00360C97"/>
    <w:rsid w:val="00376354"/>
    <w:rsid w:val="00386E19"/>
    <w:rsid w:val="003913BD"/>
    <w:rsid w:val="003C7D40"/>
    <w:rsid w:val="005236FF"/>
    <w:rsid w:val="00524381"/>
    <w:rsid w:val="005243A8"/>
    <w:rsid w:val="00591118"/>
    <w:rsid w:val="006951BF"/>
    <w:rsid w:val="006E64ED"/>
    <w:rsid w:val="0070291A"/>
    <w:rsid w:val="00712BA5"/>
    <w:rsid w:val="007131BF"/>
    <w:rsid w:val="00833A12"/>
    <w:rsid w:val="008B6C4D"/>
    <w:rsid w:val="008C14A1"/>
    <w:rsid w:val="00924B1C"/>
    <w:rsid w:val="009365C7"/>
    <w:rsid w:val="009753D0"/>
    <w:rsid w:val="0098319F"/>
    <w:rsid w:val="00A27C7B"/>
    <w:rsid w:val="00A314F4"/>
    <w:rsid w:val="00A32E0B"/>
    <w:rsid w:val="00A4204D"/>
    <w:rsid w:val="00A557F7"/>
    <w:rsid w:val="00AD7D8D"/>
    <w:rsid w:val="00AE24E8"/>
    <w:rsid w:val="00AF5A52"/>
    <w:rsid w:val="00BB05A7"/>
    <w:rsid w:val="00BF6B73"/>
    <w:rsid w:val="00C64978"/>
    <w:rsid w:val="00D004B7"/>
    <w:rsid w:val="00DE55E0"/>
    <w:rsid w:val="00E07415"/>
    <w:rsid w:val="00E10C94"/>
    <w:rsid w:val="00E3450E"/>
    <w:rsid w:val="00E8571A"/>
    <w:rsid w:val="00E91D34"/>
    <w:rsid w:val="00EC48F1"/>
    <w:rsid w:val="00F03C2F"/>
    <w:rsid w:val="00F1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EF0A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9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Nick Ognenis</cp:lastModifiedBy>
  <cp:revision>8</cp:revision>
  <cp:lastPrinted>2022-08-09T14:41:00Z</cp:lastPrinted>
  <dcterms:created xsi:type="dcterms:W3CDTF">2022-08-09T14:30:00Z</dcterms:created>
  <dcterms:modified xsi:type="dcterms:W3CDTF">2022-09-21T02:06:00Z</dcterms:modified>
</cp:coreProperties>
</file>