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02BC0" w14:textId="49F346AC" w:rsidR="00102431" w:rsidRPr="0032124C" w:rsidRDefault="00102431" w:rsidP="0032124C">
      <w:pPr>
        <w:pStyle w:val="SCSATitle1"/>
      </w:pPr>
      <w:r w:rsidRPr="0032124C">
        <w:t>Sample Course Outline</w:t>
      </w:r>
      <w:r w:rsidR="00562606" w:rsidRPr="0032124C">
        <w:rPr>
          <w:noProof/>
        </w:rPr>
        <w:drawing>
          <wp:anchor distT="0" distB="0" distL="114300" distR="114300" simplePos="0" relativeHeight="251659264" behindDoc="1" locked="1" layoutInCell="1" allowOverlap="1" wp14:anchorId="14EB07CF" wp14:editId="10738977">
            <wp:simplePos x="0" y="0"/>
            <wp:positionH relativeFrom="column">
              <wp:posOffset>-6089650</wp:posOffset>
            </wp:positionH>
            <wp:positionV relativeFrom="paragraph">
              <wp:posOffset>512445</wp:posOffset>
            </wp:positionV>
            <wp:extent cx="11631295" cy="9121775"/>
            <wp:effectExtent l="0" t="0" r="0" b="0"/>
            <wp:wrapNone/>
            <wp:docPr id="2" name="Picture 2" descr="School Curriculum and Standards Authority logo watermark. A pictorial mark of the SCSA logo's tree of knowledge, representing growth and expa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hool Curriculum and Standards Authority logo watermark. A pictorial mark of the SCSA logo's tree of knowledge, representing growth and expansion."/>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p>
    <w:p w14:paraId="05DB2F02" w14:textId="77777777" w:rsidR="00102431" w:rsidRPr="0032124C" w:rsidRDefault="00102431" w:rsidP="0032124C">
      <w:pPr>
        <w:pStyle w:val="SCSATitle2"/>
      </w:pPr>
      <w:r w:rsidRPr="0032124C">
        <w:t>Business Management and Enterprise</w:t>
      </w:r>
    </w:p>
    <w:p w14:paraId="7B007FC9" w14:textId="249232A6" w:rsidR="00102431" w:rsidRPr="0032124C" w:rsidRDefault="00147708" w:rsidP="0032124C">
      <w:pPr>
        <w:pStyle w:val="SCSATitle3"/>
      </w:pPr>
      <w:r w:rsidRPr="0032124C">
        <w:t>ATAR Year 12</w:t>
      </w:r>
    </w:p>
    <w:p w14:paraId="11595559" w14:textId="77777777" w:rsidR="00562606" w:rsidRDefault="00562606" w:rsidP="00562606">
      <w:pPr>
        <w:keepNext/>
        <w:rPr>
          <w:rFonts w:ascii="Calibri" w:hAnsi="Calibri" w:cs="Calibri"/>
          <w:b/>
        </w:rPr>
      </w:pPr>
      <w:r>
        <w:rPr>
          <w:rFonts w:ascii="Calibri" w:hAnsi="Calibri" w:cs="Calibri"/>
          <w:b/>
        </w:rPr>
        <w:br w:type="page"/>
      </w:r>
    </w:p>
    <w:p w14:paraId="586F94C4" w14:textId="56AEF77D" w:rsidR="00562606" w:rsidRPr="009A4413" w:rsidRDefault="00562606" w:rsidP="00562606">
      <w:pPr>
        <w:keepNext/>
        <w:rPr>
          <w:rFonts w:ascii="Calibri" w:hAnsi="Calibri" w:cs="Calibri"/>
          <w:b/>
        </w:rPr>
      </w:pPr>
      <w:r w:rsidRPr="009A4413">
        <w:rPr>
          <w:rFonts w:ascii="Calibri" w:hAnsi="Calibri" w:cs="Calibri"/>
          <w:b/>
        </w:rPr>
        <w:lastRenderedPageBreak/>
        <w:t>Acknowledgement of Country</w:t>
      </w:r>
    </w:p>
    <w:p w14:paraId="4BAB1B17" w14:textId="77777777" w:rsidR="00562606" w:rsidRPr="009A4413" w:rsidRDefault="00562606" w:rsidP="006552E2">
      <w:pPr>
        <w:spacing w:after="6720"/>
        <w:rPr>
          <w:rFonts w:ascii="Calibri" w:eastAsia="Calibri" w:hAnsi="Calibri" w:cs="Myanmar Text"/>
        </w:rPr>
      </w:pPr>
      <w:r w:rsidRPr="009A4413">
        <w:rPr>
          <w:rFonts w:ascii="Calibri" w:eastAsia="Calibri" w:hAnsi="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56175F1" w14:textId="77777777" w:rsidR="0032124C" w:rsidRPr="00451D64" w:rsidRDefault="0032124C" w:rsidP="0032124C">
      <w:pPr>
        <w:jc w:val="both"/>
        <w:rPr>
          <w:rFonts w:asciiTheme="minorHAnsi" w:hAnsiTheme="minorHAnsi" w:cstheme="minorHAnsi"/>
          <w:b/>
          <w:sz w:val="20"/>
          <w:szCs w:val="20"/>
        </w:rPr>
      </w:pPr>
      <w:r w:rsidRPr="00451D64">
        <w:rPr>
          <w:rFonts w:asciiTheme="minorHAnsi" w:hAnsiTheme="minorHAnsi" w:cstheme="minorHAnsi"/>
          <w:b/>
          <w:sz w:val="20"/>
          <w:szCs w:val="20"/>
        </w:rPr>
        <w:t>Copyright</w:t>
      </w:r>
    </w:p>
    <w:p w14:paraId="66F68BCB" w14:textId="77777777" w:rsidR="0032124C" w:rsidRPr="00451D64" w:rsidRDefault="0032124C" w:rsidP="0032124C">
      <w:pPr>
        <w:jc w:val="both"/>
        <w:rPr>
          <w:rFonts w:asciiTheme="minorHAnsi" w:hAnsiTheme="minorHAnsi" w:cstheme="minorHAnsi"/>
          <w:sz w:val="20"/>
          <w:szCs w:val="20"/>
        </w:rPr>
      </w:pPr>
      <w:r w:rsidRPr="00451D64">
        <w:rPr>
          <w:rFonts w:asciiTheme="minorHAnsi" w:hAnsiTheme="minorHAnsi" w:cstheme="minorHAnsi"/>
          <w:sz w:val="20"/>
          <w:szCs w:val="20"/>
        </w:rPr>
        <w:t>© School Curriculum and Standards Authority, 2023</w:t>
      </w:r>
    </w:p>
    <w:p w14:paraId="1B5DE482" w14:textId="77777777" w:rsidR="0032124C" w:rsidRPr="00451D64" w:rsidRDefault="0032124C" w:rsidP="0032124C">
      <w:pPr>
        <w:rPr>
          <w:rFonts w:asciiTheme="minorHAnsi" w:hAnsiTheme="minorHAnsi" w:cstheme="minorHAnsi"/>
          <w:sz w:val="20"/>
          <w:szCs w:val="20"/>
        </w:rPr>
      </w:pPr>
      <w:r w:rsidRPr="00451D64">
        <w:rPr>
          <w:rFonts w:asciiTheme="minorHAnsi" w:hAnsiTheme="minorHAnsi"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C140911" w14:textId="77777777" w:rsidR="0032124C" w:rsidRPr="00451D64" w:rsidRDefault="0032124C" w:rsidP="0022159F">
      <w:pPr>
        <w:ind w:right="-113"/>
        <w:rPr>
          <w:rFonts w:asciiTheme="minorHAnsi" w:hAnsiTheme="minorHAnsi" w:cstheme="minorHAnsi"/>
          <w:sz w:val="20"/>
          <w:szCs w:val="20"/>
        </w:rPr>
      </w:pPr>
      <w:r w:rsidRPr="00451D64">
        <w:rPr>
          <w:rFonts w:asciiTheme="minorHAnsi" w:hAnsiTheme="minorHAnsi" w:cstheme="minorHAnsi"/>
          <w:sz w:val="20"/>
          <w:szCs w:val="20"/>
        </w:rPr>
        <w:t>Copying or communication for any other purpose can be done only within the terms of the</w:t>
      </w:r>
      <w:r w:rsidRPr="00451D64">
        <w:rPr>
          <w:rFonts w:asciiTheme="minorHAnsi" w:hAnsiTheme="minorHAnsi" w:cstheme="minorHAnsi"/>
          <w:i/>
          <w:iCs/>
          <w:sz w:val="20"/>
          <w:szCs w:val="20"/>
        </w:rPr>
        <w:t xml:space="preserve"> Copyright Act 1968</w:t>
      </w:r>
      <w:r w:rsidRPr="00451D64">
        <w:rPr>
          <w:rFonts w:asciiTheme="minorHAnsi" w:hAnsiTheme="minorHAnsi" w:cstheme="minorHAnsi"/>
          <w:sz w:val="20"/>
          <w:szCs w:val="20"/>
        </w:rPr>
        <w:t xml:space="preserve"> or with prior written permission of the Authority. Copying or communication of any third-party copyright material can be done only within the terms of the </w:t>
      </w:r>
      <w:r w:rsidRPr="00451D64">
        <w:rPr>
          <w:rFonts w:asciiTheme="minorHAnsi" w:hAnsiTheme="minorHAnsi" w:cstheme="minorHAnsi"/>
          <w:i/>
          <w:iCs/>
          <w:sz w:val="20"/>
          <w:szCs w:val="20"/>
        </w:rPr>
        <w:t>Copyright Act 1968</w:t>
      </w:r>
      <w:r w:rsidRPr="00451D64">
        <w:rPr>
          <w:rFonts w:asciiTheme="minorHAnsi" w:hAnsiTheme="minorHAnsi" w:cstheme="minorHAnsi"/>
          <w:sz w:val="20"/>
          <w:szCs w:val="20"/>
        </w:rPr>
        <w:t xml:space="preserve"> or with permission of the copyright owners.</w:t>
      </w:r>
    </w:p>
    <w:p w14:paraId="27ACDA12" w14:textId="77777777" w:rsidR="0032124C" w:rsidRPr="00451D64" w:rsidRDefault="0032124C" w:rsidP="0032124C">
      <w:pPr>
        <w:rPr>
          <w:rFonts w:asciiTheme="minorHAnsi" w:hAnsiTheme="minorHAnsi" w:cstheme="minorHAnsi"/>
          <w:sz w:val="20"/>
          <w:szCs w:val="20"/>
        </w:rPr>
      </w:pPr>
      <w:r w:rsidRPr="00451D64">
        <w:rPr>
          <w:rFonts w:asciiTheme="minorHAnsi" w:hAnsiTheme="minorHAnsi" w:cstheme="minorHAnsi"/>
          <w:sz w:val="20"/>
          <w:szCs w:val="20"/>
        </w:rPr>
        <w:t xml:space="preserve">Any content in this document that has been derived from the Australian Curriculum may be used under the terms of the </w:t>
      </w:r>
      <w:hyperlink r:id="rId9" w:tgtFrame="_blank" w:history="1">
        <w:r w:rsidRPr="00451D64">
          <w:rPr>
            <w:rFonts w:asciiTheme="minorHAnsi" w:hAnsiTheme="minorHAnsi" w:cstheme="minorHAnsi"/>
            <w:color w:val="580F8B"/>
            <w:sz w:val="20"/>
            <w:szCs w:val="20"/>
            <w:u w:val="single"/>
          </w:rPr>
          <w:t>Creative Commons Attribution 4.0 International licence</w:t>
        </w:r>
      </w:hyperlink>
      <w:r w:rsidRPr="00451D64">
        <w:rPr>
          <w:rFonts w:asciiTheme="minorHAnsi" w:hAnsiTheme="minorHAnsi" w:cstheme="minorHAnsi"/>
          <w:sz w:val="20"/>
          <w:szCs w:val="20"/>
        </w:rPr>
        <w:t>.</w:t>
      </w:r>
    </w:p>
    <w:p w14:paraId="2D36B8FC" w14:textId="77777777" w:rsidR="0032124C" w:rsidRPr="00451D64" w:rsidRDefault="0032124C" w:rsidP="0032124C">
      <w:pPr>
        <w:jc w:val="both"/>
        <w:rPr>
          <w:rFonts w:asciiTheme="minorHAnsi" w:hAnsiTheme="minorHAnsi" w:cstheme="minorHAnsi"/>
          <w:b/>
          <w:sz w:val="20"/>
          <w:szCs w:val="20"/>
        </w:rPr>
      </w:pPr>
      <w:r w:rsidRPr="00451D64">
        <w:rPr>
          <w:rFonts w:asciiTheme="minorHAnsi" w:hAnsiTheme="minorHAnsi" w:cstheme="minorHAnsi"/>
          <w:b/>
          <w:sz w:val="20"/>
          <w:szCs w:val="20"/>
        </w:rPr>
        <w:t>Disclaimer</w:t>
      </w:r>
    </w:p>
    <w:p w14:paraId="27636A39" w14:textId="77777777" w:rsidR="0032124C" w:rsidRPr="00451D64" w:rsidRDefault="0032124C" w:rsidP="0032124C">
      <w:pPr>
        <w:rPr>
          <w:rFonts w:asciiTheme="minorHAnsi" w:hAnsiTheme="minorHAnsi" w:cstheme="minorHAnsi"/>
          <w:sz w:val="20"/>
          <w:szCs w:val="20"/>
        </w:rPr>
      </w:pPr>
      <w:r w:rsidRPr="00451D64">
        <w:rPr>
          <w:rFonts w:asciiTheme="minorHAnsi" w:hAnsiTheme="minorHAnsi" w:cstheme="minorHAns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642DDC71" w14:textId="77777777" w:rsidR="00102431" w:rsidRPr="00451D64" w:rsidRDefault="00102431" w:rsidP="00102431">
      <w:pPr>
        <w:spacing w:line="264" w:lineRule="auto"/>
        <w:jc w:val="both"/>
        <w:rPr>
          <w:rFonts w:asciiTheme="minorHAnsi" w:hAnsiTheme="minorHAnsi" w:cstheme="minorHAnsi"/>
          <w:sz w:val="20"/>
          <w:szCs w:val="20"/>
        </w:rPr>
        <w:sectPr w:rsidR="00102431" w:rsidRPr="00451D64" w:rsidSect="0032124C">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4E6EBE7B" w14:textId="77777777" w:rsidR="00102431" w:rsidRPr="0032124C" w:rsidRDefault="00102431" w:rsidP="0032124C">
      <w:pPr>
        <w:pStyle w:val="SCSAHeading1"/>
      </w:pPr>
      <w:r w:rsidRPr="0032124C">
        <w:lastRenderedPageBreak/>
        <w:t>Sample course outline</w:t>
      </w:r>
    </w:p>
    <w:p w14:paraId="098E4FF3" w14:textId="77777777" w:rsidR="00102431" w:rsidRPr="0032124C" w:rsidRDefault="00102431" w:rsidP="0032124C">
      <w:pPr>
        <w:pStyle w:val="SCSAHeading1"/>
      </w:pPr>
      <w:r w:rsidRPr="0032124C">
        <w:t>Business Management and Enterprise – ATAR Year 1</w:t>
      </w:r>
      <w:r w:rsidR="00A84FF1" w:rsidRPr="0032124C">
        <w:t>2</w:t>
      </w:r>
    </w:p>
    <w:p w14:paraId="339DD9E5" w14:textId="6361CF57" w:rsidR="00427587" w:rsidRPr="0032124C" w:rsidRDefault="00102431" w:rsidP="0032124C">
      <w:pPr>
        <w:pStyle w:val="SCSAHeading2"/>
      </w:pPr>
      <w:r w:rsidRPr="0032124C">
        <w:t>Semester 1 –</w:t>
      </w:r>
      <w:r w:rsidR="00C64855" w:rsidRPr="0032124C">
        <w:t xml:space="preserve"> </w:t>
      </w:r>
      <w:r w:rsidR="00427587" w:rsidRPr="0032124C">
        <w:t xml:space="preserve">Unit </w:t>
      </w:r>
      <w:r w:rsidR="00A84FF1" w:rsidRPr="0032124C">
        <w:t>3</w:t>
      </w:r>
    </w:p>
    <w:tbl>
      <w:tblPr>
        <w:tblStyle w:val="TableGrid"/>
        <w:tblW w:w="5000" w:type="pct"/>
        <w:tblInd w:w="-4"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1088"/>
        <w:gridCol w:w="7972"/>
      </w:tblGrid>
      <w:tr w:rsidR="0032124C" w:rsidRPr="0032124C" w14:paraId="50CA501B" w14:textId="77777777" w:rsidTr="00DF640B">
        <w:trPr>
          <w:tblHeader/>
        </w:trPr>
        <w:tc>
          <w:tcPr>
            <w:tcW w:w="1088" w:type="dxa"/>
            <w:shd w:val="clear" w:color="auto" w:fill="BD9FCF"/>
            <w:vAlign w:val="center"/>
            <w:hideMark/>
          </w:tcPr>
          <w:p w14:paraId="49BCFE02" w14:textId="77777777" w:rsidR="00CA07B8" w:rsidRPr="0032124C" w:rsidRDefault="00356766" w:rsidP="0032124C">
            <w:pPr>
              <w:spacing w:after="0"/>
              <w:jc w:val="center"/>
              <w:rPr>
                <w:rFonts w:ascii="Calibri" w:hAnsi="Calibri" w:cs="Calibri"/>
                <w:b/>
                <w:szCs w:val="20"/>
              </w:rPr>
            </w:pPr>
            <w:r w:rsidRPr="0032124C">
              <w:rPr>
                <w:rFonts w:ascii="Calibri" w:hAnsi="Calibri" w:cs="Calibri"/>
                <w:b/>
                <w:szCs w:val="20"/>
              </w:rPr>
              <w:t>Week</w:t>
            </w:r>
          </w:p>
        </w:tc>
        <w:tc>
          <w:tcPr>
            <w:tcW w:w="7972" w:type="dxa"/>
            <w:shd w:val="clear" w:color="auto" w:fill="BD9FCF"/>
            <w:hideMark/>
          </w:tcPr>
          <w:p w14:paraId="72696811" w14:textId="77777777" w:rsidR="00CA07B8" w:rsidRPr="0032124C" w:rsidRDefault="00356766" w:rsidP="0032124C">
            <w:pPr>
              <w:spacing w:after="0"/>
              <w:jc w:val="center"/>
              <w:rPr>
                <w:rFonts w:ascii="Calibri" w:hAnsi="Calibri" w:cs="Calibri"/>
                <w:b/>
                <w:szCs w:val="20"/>
              </w:rPr>
            </w:pPr>
            <w:r w:rsidRPr="0032124C">
              <w:rPr>
                <w:rFonts w:ascii="Calibri" w:hAnsi="Calibri" w:cs="Calibri"/>
                <w:b/>
                <w:szCs w:val="20"/>
              </w:rPr>
              <w:t>Key teaching points</w:t>
            </w:r>
          </w:p>
        </w:tc>
      </w:tr>
      <w:tr w:rsidR="00A84FF1" w:rsidRPr="0032124C" w14:paraId="7BEED033" w14:textId="77777777" w:rsidTr="00DF640B">
        <w:trPr>
          <w:trHeight w:val="20"/>
        </w:trPr>
        <w:tc>
          <w:tcPr>
            <w:tcW w:w="1088" w:type="dxa"/>
            <w:shd w:val="clear" w:color="auto" w:fill="E4D8EB"/>
            <w:vAlign w:val="center"/>
            <w:hideMark/>
          </w:tcPr>
          <w:p w14:paraId="7C70066E" w14:textId="089759B0" w:rsidR="00CA07B8" w:rsidRPr="0032124C" w:rsidRDefault="00655E3E" w:rsidP="0032124C">
            <w:pPr>
              <w:autoSpaceDE w:val="0"/>
              <w:autoSpaceDN w:val="0"/>
              <w:adjustRightInd w:val="0"/>
              <w:spacing w:after="0"/>
              <w:jc w:val="center"/>
              <w:rPr>
                <w:rFonts w:ascii="Calibri" w:hAnsi="Calibri" w:cs="Calibri"/>
                <w:szCs w:val="20"/>
              </w:rPr>
            </w:pPr>
            <w:r w:rsidRPr="0032124C">
              <w:rPr>
                <w:rFonts w:ascii="Calibri" w:hAnsi="Calibri" w:cs="Calibri"/>
                <w:szCs w:val="20"/>
              </w:rPr>
              <w:t>1</w:t>
            </w:r>
            <w:r w:rsidR="00965E8D" w:rsidRPr="0032124C">
              <w:rPr>
                <w:rFonts w:ascii="Calibri" w:hAnsi="Calibri" w:cs="Calibri"/>
                <w:szCs w:val="20"/>
              </w:rPr>
              <w:t>–</w:t>
            </w:r>
            <w:r w:rsidR="004C4EB1" w:rsidRPr="0032124C">
              <w:rPr>
                <w:rFonts w:ascii="Calibri" w:hAnsi="Calibri" w:cs="Calibri"/>
                <w:szCs w:val="20"/>
              </w:rPr>
              <w:t>3</w:t>
            </w:r>
          </w:p>
        </w:tc>
        <w:tc>
          <w:tcPr>
            <w:tcW w:w="7972" w:type="dxa"/>
            <w:hideMark/>
          </w:tcPr>
          <w:p w14:paraId="4DC142E7" w14:textId="3A8B536F" w:rsidR="00694163" w:rsidRPr="00694163" w:rsidRDefault="00694163" w:rsidP="0032124C">
            <w:pPr>
              <w:pStyle w:val="SCSATableHeadingnospace"/>
              <w:rPr>
                <w:rFonts w:ascii="Calibri" w:hAnsi="Calibri" w:cs="Calibri"/>
                <w:b w:val="0"/>
                <w:bCs w:val="0"/>
                <w:szCs w:val="20"/>
              </w:rPr>
            </w:pPr>
            <w:r>
              <w:rPr>
                <w:rFonts w:ascii="Calibri" w:hAnsi="Calibri" w:cs="Calibri"/>
                <w:b w:val="0"/>
                <w:bCs w:val="0"/>
                <w:szCs w:val="20"/>
              </w:rPr>
              <w:t>Overview of the syllabus, expectations and assessment outline</w:t>
            </w:r>
          </w:p>
          <w:p w14:paraId="348EA1DF" w14:textId="0B9AD3F0" w:rsidR="00655E3E" w:rsidRPr="0032124C" w:rsidRDefault="00655E3E" w:rsidP="0032124C">
            <w:pPr>
              <w:pStyle w:val="SCSATableHeadingnospace"/>
              <w:rPr>
                <w:rFonts w:ascii="Calibri" w:hAnsi="Calibri" w:cs="Calibri"/>
                <w:szCs w:val="20"/>
              </w:rPr>
            </w:pPr>
            <w:r w:rsidRPr="0032124C">
              <w:rPr>
                <w:rFonts w:ascii="Calibri" w:hAnsi="Calibri" w:cs="Calibri"/>
                <w:szCs w:val="20"/>
              </w:rPr>
              <w:t>Environments</w:t>
            </w:r>
            <w:r w:rsidR="00EF7B93" w:rsidRPr="0032124C">
              <w:rPr>
                <w:rFonts w:ascii="Calibri" w:hAnsi="Calibri" w:cs="Calibri"/>
                <w:szCs w:val="20"/>
              </w:rPr>
              <w:t xml:space="preserve">: </w:t>
            </w:r>
            <w:r w:rsidRPr="0032124C">
              <w:rPr>
                <w:rFonts w:ascii="Calibri" w:hAnsi="Calibri" w:cs="Calibri"/>
                <w:szCs w:val="20"/>
              </w:rPr>
              <w:t xml:space="preserve">Political and </w:t>
            </w:r>
            <w:r w:rsidRPr="0032124C">
              <w:t>legal</w:t>
            </w:r>
            <w:r w:rsidRPr="0032124C">
              <w:rPr>
                <w:rFonts w:ascii="Calibri" w:hAnsi="Calibri" w:cs="Calibri"/>
                <w:szCs w:val="20"/>
              </w:rPr>
              <w:t>, economic, socio-cultural and technological (PEST)</w:t>
            </w:r>
          </w:p>
          <w:p w14:paraId="5EE4A514" w14:textId="77777777" w:rsidR="00780FB8" w:rsidRPr="0032124C" w:rsidRDefault="00780FB8" w:rsidP="0032124C">
            <w:pPr>
              <w:pStyle w:val="ListBullet"/>
            </w:pPr>
            <w:r w:rsidRPr="0032124C">
              <w:t>factors driving global business development, including:</w:t>
            </w:r>
          </w:p>
          <w:p w14:paraId="049DCB88" w14:textId="77777777" w:rsidR="00780FB8" w:rsidRPr="0032124C" w:rsidRDefault="00780FB8" w:rsidP="0032124C">
            <w:pPr>
              <w:pStyle w:val="ListBullet2"/>
            </w:pPr>
            <w:r w:rsidRPr="0032124C">
              <w:t>financial growth opportunities and/or loss minimisation</w:t>
            </w:r>
          </w:p>
          <w:p w14:paraId="3495DD06" w14:textId="77777777" w:rsidR="00780FB8" w:rsidRPr="0032124C" w:rsidRDefault="00780FB8" w:rsidP="0032124C">
            <w:pPr>
              <w:pStyle w:val="ListBullet2"/>
              <w:rPr>
                <w:rFonts w:ascii="Calibri" w:hAnsi="Calibri" w:cs="Calibri"/>
              </w:rPr>
            </w:pPr>
            <w:r w:rsidRPr="0032124C">
              <w:rPr>
                <w:rFonts w:ascii="Calibri" w:hAnsi="Calibri" w:cs="Calibri"/>
              </w:rPr>
              <w:t>consumer purchasing and spending patterns</w:t>
            </w:r>
          </w:p>
          <w:p w14:paraId="744D06FE" w14:textId="77777777" w:rsidR="00780FB8" w:rsidRPr="0032124C" w:rsidRDefault="00780FB8" w:rsidP="0032124C">
            <w:pPr>
              <w:pStyle w:val="ListBullet2"/>
              <w:rPr>
                <w:rFonts w:ascii="Calibri" w:hAnsi="Calibri" w:cs="Calibri"/>
              </w:rPr>
            </w:pPr>
            <w:r w:rsidRPr="0032124C">
              <w:rPr>
                <w:rFonts w:ascii="Calibri" w:hAnsi="Calibri" w:cs="Calibri"/>
              </w:rPr>
              <w:t>World Trade Organisation (WTO) regulations and sanctions</w:t>
            </w:r>
          </w:p>
          <w:p w14:paraId="4A1239FB" w14:textId="58FC5D5B" w:rsidR="00780FB8" w:rsidRPr="0032124C" w:rsidRDefault="00780FB8" w:rsidP="0032124C">
            <w:pPr>
              <w:pStyle w:val="ListBullet2"/>
              <w:rPr>
                <w:rFonts w:ascii="Calibri" w:hAnsi="Calibri" w:cs="Calibri"/>
              </w:rPr>
            </w:pPr>
            <w:r w:rsidRPr="0032124C">
              <w:rPr>
                <w:rFonts w:ascii="Calibri" w:hAnsi="Calibri" w:cs="Calibri"/>
              </w:rPr>
              <w:t>dereg</w:t>
            </w:r>
            <w:r w:rsidR="00F35889" w:rsidRPr="0032124C">
              <w:rPr>
                <w:rFonts w:ascii="Calibri" w:hAnsi="Calibri" w:cs="Calibri"/>
              </w:rPr>
              <w:t>ulation of the financial market</w:t>
            </w:r>
          </w:p>
          <w:p w14:paraId="384727D4" w14:textId="62B857B8" w:rsidR="00780FB8" w:rsidRPr="0032124C" w:rsidRDefault="00780FB8" w:rsidP="0032124C">
            <w:pPr>
              <w:pStyle w:val="ListBullet"/>
            </w:pPr>
            <w:r w:rsidRPr="0032124C">
              <w:t>the impact of globalisation on:</w:t>
            </w:r>
          </w:p>
          <w:p w14:paraId="1CCFBB19" w14:textId="77777777" w:rsidR="00780FB8" w:rsidRPr="0032124C" w:rsidRDefault="00780FB8" w:rsidP="0032124C">
            <w:pPr>
              <w:pStyle w:val="ListBullet2"/>
            </w:pPr>
            <w:r w:rsidRPr="0032124C">
              <w:t>employment levels in developing countries and in developed countries</w:t>
            </w:r>
          </w:p>
          <w:p w14:paraId="684961B5" w14:textId="77777777" w:rsidR="00780FB8" w:rsidRPr="0032124C" w:rsidRDefault="00780FB8" w:rsidP="0032124C">
            <w:pPr>
              <w:pStyle w:val="ListBullet2"/>
            </w:pPr>
            <w:r w:rsidRPr="0032124C">
              <w:t>global spread of skills and technology</w:t>
            </w:r>
          </w:p>
          <w:p w14:paraId="62363C5C" w14:textId="7AA4F3BD" w:rsidR="00780FB8" w:rsidRPr="0032124C" w:rsidRDefault="00E17F81" w:rsidP="0032124C">
            <w:pPr>
              <w:pStyle w:val="ListBullet2"/>
            </w:pPr>
            <w:r w:rsidRPr="0032124C">
              <w:t>international cooperation</w:t>
            </w:r>
          </w:p>
          <w:p w14:paraId="55B68CEE" w14:textId="6B384BE5" w:rsidR="00780FB8" w:rsidRPr="0032124C" w:rsidRDefault="00780FB8" w:rsidP="0032124C">
            <w:pPr>
              <w:pStyle w:val="ListBullet2"/>
            </w:pPr>
            <w:r w:rsidRPr="0032124C">
              <w:t>domestic market</w:t>
            </w:r>
          </w:p>
          <w:p w14:paraId="57497BCC" w14:textId="77777777" w:rsidR="001433AC" w:rsidRPr="0032124C" w:rsidRDefault="00780FB8" w:rsidP="0032124C">
            <w:pPr>
              <w:pStyle w:val="ListBullet2"/>
            </w:pPr>
            <w:r w:rsidRPr="0032124C">
              <w:t>tax minimisation – tax havens and transfer pricing</w:t>
            </w:r>
          </w:p>
          <w:p w14:paraId="391F2C2F" w14:textId="1CD90800" w:rsidR="00D23B1C" w:rsidRPr="0032124C" w:rsidRDefault="00D23B1C" w:rsidP="0032124C">
            <w:pPr>
              <w:pStyle w:val="SCSATableHeading"/>
              <w:rPr>
                <w:rFonts w:ascii="Calibri" w:hAnsi="Calibri" w:cs="Calibri"/>
                <w:b w:val="0"/>
                <w:bCs w:val="0"/>
                <w:szCs w:val="20"/>
              </w:rPr>
            </w:pPr>
            <w:r w:rsidRPr="0032124C">
              <w:rPr>
                <w:rFonts w:ascii="Calibri" w:hAnsi="Calibri" w:cs="Calibri"/>
                <w:szCs w:val="20"/>
              </w:rPr>
              <w:t xml:space="preserve">Task 1: </w:t>
            </w:r>
            <w:r w:rsidRPr="0032124C">
              <w:t>Business</w:t>
            </w:r>
            <w:r w:rsidRPr="0032124C">
              <w:rPr>
                <w:rFonts w:ascii="Calibri" w:hAnsi="Calibri" w:cs="Calibri"/>
                <w:szCs w:val="20"/>
              </w:rPr>
              <w:t xml:space="preserve"> </w:t>
            </w:r>
            <w:r w:rsidRPr="0032124C">
              <w:t>Research</w:t>
            </w:r>
            <w:r w:rsidRPr="0032124C">
              <w:rPr>
                <w:rFonts w:ascii="Calibri" w:hAnsi="Calibri" w:cs="Calibri"/>
                <w:szCs w:val="20"/>
              </w:rPr>
              <w:t xml:space="preserve"> (Weeks 2</w:t>
            </w:r>
            <w:r w:rsidR="00965E8D" w:rsidRPr="0032124C">
              <w:rPr>
                <w:rFonts w:ascii="Calibri" w:hAnsi="Calibri" w:cs="Calibri"/>
                <w:szCs w:val="20"/>
              </w:rPr>
              <w:t>–</w:t>
            </w:r>
            <w:r w:rsidR="00877BE8" w:rsidRPr="0032124C">
              <w:rPr>
                <w:rFonts w:ascii="Calibri" w:hAnsi="Calibri" w:cs="Calibri"/>
                <w:szCs w:val="20"/>
              </w:rPr>
              <w:t>3</w:t>
            </w:r>
            <w:r w:rsidRPr="0032124C">
              <w:rPr>
                <w:rFonts w:ascii="Calibri" w:hAnsi="Calibri" w:cs="Calibri"/>
                <w:szCs w:val="20"/>
              </w:rPr>
              <w:t>)</w:t>
            </w:r>
          </w:p>
        </w:tc>
      </w:tr>
      <w:tr w:rsidR="00145187" w:rsidRPr="0032124C" w14:paraId="533B82FF" w14:textId="77777777" w:rsidTr="00DF640B">
        <w:tc>
          <w:tcPr>
            <w:tcW w:w="1088" w:type="dxa"/>
            <w:shd w:val="clear" w:color="auto" w:fill="E4D8EB"/>
            <w:vAlign w:val="center"/>
          </w:tcPr>
          <w:p w14:paraId="07C2FFDA" w14:textId="39F0F267" w:rsidR="00145187" w:rsidRPr="0032124C" w:rsidRDefault="00145187" w:rsidP="0032124C">
            <w:pPr>
              <w:autoSpaceDE w:val="0"/>
              <w:autoSpaceDN w:val="0"/>
              <w:adjustRightInd w:val="0"/>
              <w:spacing w:after="0"/>
              <w:jc w:val="center"/>
              <w:rPr>
                <w:rFonts w:ascii="Calibri" w:hAnsi="Calibri" w:cs="Calibri"/>
                <w:szCs w:val="20"/>
              </w:rPr>
            </w:pPr>
            <w:r w:rsidRPr="0032124C">
              <w:rPr>
                <w:rFonts w:ascii="Calibri" w:hAnsi="Calibri" w:cs="Calibri"/>
                <w:szCs w:val="20"/>
              </w:rPr>
              <w:t>4</w:t>
            </w:r>
            <w:r w:rsidR="00965E8D" w:rsidRPr="0032124C">
              <w:rPr>
                <w:rFonts w:ascii="Calibri" w:hAnsi="Calibri" w:cs="Calibri"/>
                <w:szCs w:val="20"/>
              </w:rPr>
              <w:t>–</w:t>
            </w:r>
            <w:r w:rsidRPr="0032124C">
              <w:rPr>
                <w:rFonts w:ascii="Calibri" w:hAnsi="Calibri" w:cs="Calibri"/>
                <w:szCs w:val="20"/>
              </w:rPr>
              <w:t>5</w:t>
            </w:r>
          </w:p>
        </w:tc>
        <w:tc>
          <w:tcPr>
            <w:tcW w:w="7972" w:type="dxa"/>
          </w:tcPr>
          <w:p w14:paraId="5EDDF8E7" w14:textId="77777777" w:rsidR="00145187" w:rsidRPr="0032124C" w:rsidRDefault="00145187" w:rsidP="0032124C">
            <w:pPr>
              <w:pStyle w:val="SCSATableHeadingnospace"/>
              <w:rPr>
                <w:rFonts w:ascii="Calibri" w:hAnsi="Calibri" w:cs="Calibri"/>
                <w:b w:val="0"/>
                <w:szCs w:val="20"/>
              </w:rPr>
            </w:pPr>
            <w:r w:rsidRPr="0032124C">
              <w:rPr>
                <w:rFonts w:ascii="Calibri" w:hAnsi="Calibri" w:cs="Calibri"/>
                <w:szCs w:val="20"/>
              </w:rPr>
              <w:t>Management: Marketing</w:t>
            </w:r>
          </w:p>
          <w:p w14:paraId="04A2A44B" w14:textId="77777777" w:rsidR="00145187" w:rsidRPr="0032124C" w:rsidRDefault="00145187" w:rsidP="0032124C">
            <w:pPr>
              <w:pStyle w:val="ListBullet"/>
            </w:pPr>
            <w:r w:rsidRPr="0032124C">
              <w:t>benefits to a business of having a global brand</w:t>
            </w:r>
          </w:p>
          <w:p w14:paraId="6E8573B6" w14:textId="77777777" w:rsidR="00145187" w:rsidRPr="0032124C" w:rsidRDefault="00145187" w:rsidP="0032124C">
            <w:pPr>
              <w:pStyle w:val="ListBullet"/>
            </w:pPr>
            <w:r w:rsidRPr="0032124C">
              <w:t>factors that determine the feasibility of expanding into a foreign market, including:</w:t>
            </w:r>
          </w:p>
          <w:p w14:paraId="10B4FC3D" w14:textId="77777777" w:rsidR="00145187" w:rsidRPr="0032124C" w:rsidRDefault="00145187" w:rsidP="0032124C">
            <w:pPr>
              <w:pStyle w:val="ListBullet2"/>
            </w:pPr>
            <w:r w:rsidRPr="0032124C">
              <w:t>level of demand by consumers</w:t>
            </w:r>
          </w:p>
          <w:p w14:paraId="0A3D7207" w14:textId="7237F49C" w:rsidR="00145187" w:rsidRPr="0032124C" w:rsidRDefault="00F35889" w:rsidP="0032124C">
            <w:pPr>
              <w:pStyle w:val="ListBullet2"/>
            </w:pPr>
            <w:r w:rsidRPr="0032124C">
              <w:t>consumption patterns</w:t>
            </w:r>
          </w:p>
          <w:p w14:paraId="724C1D0E" w14:textId="77777777" w:rsidR="00145187" w:rsidRPr="0032124C" w:rsidRDefault="00145187" w:rsidP="0032124C">
            <w:pPr>
              <w:pStyle w:val="ListBullet2"/>
            </w:pPr>
            <w:r w:rsidRPr="0032124C">
              <w:t>competitor activity</w:t>
            </w:r>
          </w:p>
          <w:p w14:paraId="6D0389DC" w14:textId="7DA84E78" w:rsidR="00145187" w:rsidRPr="0032124C" w:rsidRDefault="00145187" w:rsidP="0032124C">
            <w:pPr>
              <w:pStyle w:val="ListBullet"/>
            </w:pPr>
            <w:r w:rsidRPr="0032124C">
              <w:t>standardisation or adaptation when applying elements of the</w:t>
            </w:r>
            <w:r w:rsidR="00F35889" w:rsidRPr="0032124C">
              <w:t xml:space="preserve"> marketing mix to global brands</w:t>
            </w:r>
          </w:p>
          <w:p w14:paraId="3BCCACCA" w14:textId="77777777" w:rsidR="00145187" w:rsidRPr="0032124C" w:rsidRDefault="00145187" w:rsidP="0032124C">
            <w:pPr>
              <w:pStyle w:val="ListBullet2"/>
            </w:pPr>
            <w:r w:rsidRPr="0032124C">
              <w:t>corporate slogan</w:t>
            </w:r>
          </w:p>
          <w:p w14:paraId="360DA291" w14:textId="77777777" w:rsidR="00145187" w:rsidRPr="0032124C" w:rsidRDefault="00145187" w:rsidP="0032124C">
            <w:pPr>
              <w:pStyle w:val="ListBullet2"/>
            </w:pPr>
            <w:r w:rsidRPr="0032124C">
              <w:t>product name</w:t>
            </w:r>
          </w:p>
          <w:p w14:paraId="44225EB4" w14:textId="77777777" w:rsidR="00145187" w:rsidRPr="0032124C" w:rsidRDefault="00145187" w:rsidP="0032124C">
            <w:pPr>
              <w:pStyle w:val="ListBullet2"/>
            </w:pPr>
            <w:r w:rsidRPr="0032124C">
              <w:t>product features</w:t>
            </w:r>
          </w:p>
          <w:p w14:paraId="75980AE9" w14:textId="77777777" w:rsidR="00145187" w:rsidRPr="0032124C" w:rsidRDefault="00145187" w:rsidP="0032124C">
            <w:pPr>
              <w:pStyle w:val="ListBullet2"/>
            </w:pPr>
            <w:r w:rsidRPr="0032124C">
              <w:t>positioning</w:t>
            </w:r>
          </w:p>
          <w:p w14:paraId="64E77F95" w14:textId="77777777" w:rsidR="00145187" w:rsidRPr="0032124C" w:rsidRDefault="00145187" w:rsidP="0032124C">
            <w:pPr>
              <w:pStyle w:val="SCSATableHeading"/>
            </w:pPr>
            <w:r w:rsidRPr="0032124C">
              <w:t>Environments: Political and legal, economic, socio-cultural and technological (PEST)</w:t>
            </w:r>
          </w:p>
          <w:p w14:paraId="2016698C" w14:textId="77777777" w:rsidR="00145187" w:rsidRPr="0032124C" w:rsidRDefault="00145187" w:rsidP="0032124C">
            <w:pPr>
              <w:pStyle w:val="ListBullet"/>
            </w:pPr>
            <w:r w:rsidRPr="0032124C">
              <w:t>benefits of home grown/developed products</w:t>
            </w:r>
          </w:p>
          <w:p w14:paraId="16DBE159" w14:textId="77777777" w:rsidR="00145187" w:rsidRPr="0032124C" w:rsidRDefault="00145187" w:rsidP="0032124C">
            <w:pPr>
              <w:pStyle w:val="ListBullet"/>
            </w:pPr>
            <w:r w:rsidRPr="0032124C">
              <w:t>role of ethics in global business decisions, including:</w:t>
            </w:r>
          </w:p>
          <w:p w14:paraId="0C60E3BC" w14:textId="226D44A9" w:rsidR="00145187" w:rsidRPr="0032124C" w:rsidRDefault="00F35889" w:rsidP="0032124C">
            <w:pPr>
              <w:pStyle w:val="ListBullet2"/>
            </w:pPr>
            <w:r w:rsidRPr="0032124C">
              <w:t>environmental responsibility</w:t>
            </w:r>
          </w:p>
          <w:p w14:paraId="7C0D52F3" w14:textId="77777777" w:rsidR="00145187" w:rsidRPr="0032124C" w:rsidRDefault="00145187" w:rsidP="0032124C">
            <w:pPr>
              <w:pStyle w:val="ListBullet2"/>
            </w:pPr>
            <w:r w:rsidRPr="0032124C">
              <w:t>outsourcing</w:t>
            </w:r>
          </w:p>
          <w:p w14:paraId="3910C3FD" w14:textId="7B07383C" w:rsidR="00145187" w:rsidRPr="0032124C" w:rsidRDefault="00145187" w:rsidP="0032124C">
            <w:pPr>
              <w:pStyle w:val="ListBullet2"/>
              <w:rPr>
                <w:b/>
              </w:rPr>
            </w:pPr>
            <w:r w:rsidRPr="0032124C">
              <w:t>the use of offshore labour</w:t>
            </w:r>
          </w:p>
        </w:tc>
      </w:tr>
      <w:tr w:rsidR="00A84FF1" w:rsidRPr="0032124C" w14:paraId="19CAEA4E" w14:textId="77777777" w:rsidTr="00DF640B">
        <w:tc>
          <w:tcPr>
            <w:tcW w:w="1088" w:type="dxa"/>
            <w:shd w:val="clear" w:color="auto" w:fill="E4D8EB"/>
            <w:vAlign w:val="center"/>
          </w:tcPr>
          <w:p w14:paraId="13B63F86" w14:textId="74C2021A" w:rsidR="007F16B5" w:rsidRPr="0032124C" w:rsidRDefault="00145187" w:rsidP="0032124C">
            <w:pPr>
              <w:autoSpaceDE w:val="0"/>
              <w:autoSpaceDN w:val="0"/>
              <w:adjustRightInd w:val="0"/>
              <w:spacing w:after="0"/>
              <w:jc w:val="center"/>
              <w:rPr>
                <w:rFonts w:ascii="Calibri" w:hAnsi="Calibri" w:cs="Calibri"/>
                <w:szCs w:val="20"/>
              </w:rPr>
            </w:pPr>
            <w:r w:rsidRPr="0032124C">
              <w:rPr>
                <w:rFonts w:ascii="Calibri" w:hAnsi="Calibri" w:cs="Calibri"/>
                <w:szCs w:val="20"/>
              </w:rPr>
              <w:t>6</w:t>
            </w:r>
            <w:r w:rsidR="00965E8D" w:rsidRPr="0032124C">
              <w:rPr>
                <w:rFonts w:ascii="Calibri" w:hAnsi="Calibri" w:cs="Calibri"/>
                <w:szCs w:val="20"/>
              </w:rPr>
              <w:t>–</w:t>
            </w:r>
            <w:r w:rsidRPr="0032124C">
              <w:rPr>
                <w:rFonts w:ascii="Calibri" w:hAnsi="Calibri" w:cs="Calibri"/>
                <w:szCs w:val="20"/>
              </w:rPr>
              <w:t>7</w:t>
            </w:r>
          </w:p>
        </w:tc>
        <w:tc>
          <w:tcPr>
            <w:tcW w:w="7972" w:type="dxa"/>
          </w:tcPr>
          <w:p w14:paraId="51AFA90F" w14:textId="77777777" w:rsidR="005735BF" w:rsidRPr="0032124C" w:rsidRDefault="005735BF" w:rsidP="0032124C">
            <w:pPr>
              <w:pStyle w:val="SCSATableHeadingnospace"/>
            </w:pPr>
            <w:r w:rsidRPr="0032124C">
              <w:t>Environments: Political and legal, economic, socio-cultural and technological (PEST)</w:t>
            </w:r>
          </w:p>
          <w:p w14:paraId="5AF572D3" w14:textId="16117488" w:rsidR="00780FB8" w:rsidRPr="0032124C" w:rsidRDefault="00780FB8" w:rsidP="0032124C">
            <w:pPr>
              <w:pStyle w:val="ListBullet"/>
            </w:pPr>
            <w:r w:rsidRPr="0032124C">
              <w:t xml:space="preserve">host country and home government incentives for </w:t>
            </w:r>
            <w:r w:rsidR="00E01837" w:rsidRPr="0032124C">
              <w:t>international trade, including:</w:t>
            </w:r>
          </w:p>
          <w:p w14:paraId="1542E258" w14:textId="77777777" w:rsidR="00780FB8" w:rsidRPr="0032124C" w:rsidRDefault="00780FB8" w:rsidP="0032124C">
            <w:pPr>
              <w:pStyle w:val="ListBullet2"/>
            </w:pPr>
            <w:r w:rsidRPr="0032124C">
              <w:t>grants</w:t>
            </w:r>
          </w:p>
          <w:p w14:paraId="41F20DB4" w14:textId="77777777" w:rsidR="007F16B5" w:rsidRPr="0032124C" w:rsidRDefault="00780FB8" w:rsidP="0032124C">
            <w:pPr>
              <w:pStyle w:val="ListBullet2"/>
            </w:pPr>
            <w:r w:rsidRPr="0032124C">
              <w:t>taxation</w:t>
            </w:r>
          </w:p>
          <w:p w14:paraId="7E049405" w14:textId="77777777" w:rsidR="00713378" w:rsidRPr="0032124C" w:rsidRDefault="00713378" w:rsidP="0032124C">
            <w:pPr>
              <w:pStyle w:val="ListBullet"/>
            </w:pPr>
            <w:r w:rsidRPr="0032124C">
              <w:t>features and role of free trade agreements (FTA), including:</w:t>
            </w:r>
          </w:p>
          <w:p w14:paraId="10AF77A9" w14:textId="77777777" w:rsidR="00713378" w:rsidRPr="0032124C" w:rsidRDefault="00713378" w:rsidP="0032124C">
            <w:pPr>
              <w:pStyle w:val="ListBullet2"/>
            </w:pPr>
            <w:r w:rsidRPr="0032124C">
              <w:t>ASEAN-Australia-New Zealand Free Trade Agreement (AANZFTA)</w:t>
            </w:r>
          </w:p>
          <w:p w14:paraId="368E3AFA" w14:textId="77777777" w:rsidR="00713378" w:rsidRPr="0032124C" w:rsidRDefault="00713378" w:rsidP="0032124C">
            <w:pPr>
              <w:pStyle w:val="ListBullet2"/>
            </w:pPr>
            <w:r w:rsidRPr="0032124C">
              <w:t>Australia New Zealand Closer Economic Relations Trade Agreement (ANZCERTA)</w:t>
            </w:r>
          </w:p>
          <w:p w14:paraId="69AB870B" w14:textId="2F40DCAB" w:rsidR="00D23B1C" w:rsidRPr="0032124C" w:rsidRDefault="00713378" w:rsidP="0032124C">
            <w:pPr>
              <w:pStyle w:val="ListBullet"/>
            </w:pPr>
            <w:r w:rsidRPr="0032124C">
              <w:t>benefits and challenges to Australian</w:t>
            </w:r>
            <w:r w:rsidR="00817058" w:rsidRPr="0032124C">
              <w:t xml:space="preserve"> </w:t>
            </w:r>
            <w:r w:rsidRPr="0032124C">
              <w:t>owned businesses as a result of FTAs</w:t>
            </w:r>
          </w:p>
          <w:p w14:paraId="113ADA07" w14:textId="718428BF" w:rsidR="002B2CF2" w:rsidRPr="0032124C" w:rsidRDefault="002B2CF2" w:rsidP="0032124C">
            <w:pPr>
              <w:pStyle w:val="SCSATableHeading"/>
              <w:rPr>
                <w:szCs w:val="20"/>
              </w:rPr>
            </w:pPr>
            <w:r w:rsidRPr="0032124C">
              <w:t>Task 2: Business Research (Weeks 5</w:t>
            </w:r>
            <w:r w:rsidRPr="0032124C">
              <w:rPr>
                <w:szCs w:val="20"/>
                <w:lang w:eastAsia="en-US"/>
              </w:rPr>
              <w:t>–</w:t>
            </w:r>
            <w:r w:rsidRPr="0032124C">
              <w:t>6)</w:t>
            </w:r>
          </w:p>
        </w:tc>
      </w:tr>
      <w:tr w:rsidR="005F5E76" w:rsidRPr="00DF640B" w14:paraId="58DF45E1" w14:textId="77777777" w:rsidTr="00DF640B">
        <w:trPr>
          <w:cantSplit/>
        </w:trPr>
        <w:tc>
          <w:tcPr>
            <w:tcW w:w="1088" w:type="dxa"/>
            <w:shd w:val="clear" w:color="auto" w:fill="E4D8EB" w:themeFill="accent4" w:themeFillTint="66"/>
            <w:vAlign w:val="center"/>
          </w:tcPr>
          <w:p w14:paraId="363081B7" w14:textId="77777777" w:rsidR="005F5E76" w:rsidRPr="00DF640B" w:rsidRDefault="004B190B" w:rsidP="00DF640B">
            <w:pPr>
              <w:autoSpaceDE w:val="0"/>
              <w:autoSpaceDN w:val="0"/>
              <w:adjustRightInd w:val="0"/>
              <w:spacing w:after="0"/>
              <w:jc w:val="center"/>
              <w:rPr>
                <w:rFonts w:ascii="Calibri" w:hAnsi="Calibri" w:cs="Calibri"/>
                <w:szCs w:val="20"/>
              </w:rPr>
            </w:pPr>
            <w:r w:rsidRPr="00DF640B">
              <w:rPr>
                <w:rFonts w:ascii="Calibri" w:hAnsi="Calibri" w:cs="Calibri"/>
                <w:szCs w:val="20"/>
              </w:rPr>
              <w:lastRenderedPageBreak/>
              <w:t>8</w:t>
            </w:r>
          </w:p>
        </w:tc>
        <w:tc>
          <w:tcPr>
            <w:tcW w:w="7972" w:type="dxa"/>
          </w:tcPr>
          <w:p w14:paraId="7DED14DB" w14:textId="77777777" w:rsidR="005F5E76" w:rsidRPr="00DF640B" w:rsidRDefault="005F5E76" w:rsidP="00DF640B">
            <w:pPr>
              <w:pStyle w:val="SCSATableHeadingnospace"/>
              <w:rPr>
                <w:rFonts w:ascii="Calibri" w:hAnsi="Calibri" w:cs="Calibri"/>
              </w:rPr>
            </w:pPr>
            <w:r w:rsidRPr="00DF640B">
              <w:rPr>
                <w:rFonts w:ascii="Calibri" w:hAnsi="Calibri" w:cs="Calibri"/>
              </w:rPr>
              <w:t>Management: Operations</w:t>
            </w:r>
          </w:p>
          <w:p w14:paraId="0B460B6D" w14:textId="0339ED3E" w:rsidR="005F5E76" w:rsidRPr="00DF640B" w:rsidRDefault="005F5E76" w:rsidP="00DF640B">
            <w:pPr>
              <w:pStyle w:val="ListBullet"/>
              <w:rPr>
                <w:rFonts w:ascii="Calibri" w:hAnsi="Calibri" w:cs="Calibri"/>
              </w:rPr>
            </w:pPr>
            <w:r w:rsidRPr="00DF640B">
              <w:rPr>
                <w:rFonts w:ascii="Calibri" w:hAnsi="Calibri" w:cs="Calibri"/>
              </w:rPr>
              <w:t>rationale for and benefits of global strategic alliances</w:t>
            </w:r>
          </w:p>
          <w:p w14:paraId="1930FD70" w14:textId="77777777" w:rsidR="005F5E76" w:rsidRPr="00DF640B" w:rsidRDefault="005F5E76" w:rsidP="00DF640B">
            <w:pPr>
              <w:pStyle w:val="ListBullet2"/>
              <w:rPr>
                <w:rFonts w:ascii="Calibri" w:hAnsi="Calibri" w:cs="Calibri"/>
              </w:rPr>
            </w:pPr>
            <w:r w:rsidRPr="00DF640B">
              <w:rPr>
                <w:rFonts w:ascii="Calibri" w:hAnsi="Calibri" w:cs="Calibri"/>
              </w:rPr>
              <w:t>outsourcing</w:t>
            </w:r>
          </w:p>
          <w:p w14:paraId="077764F1" w14:textId="77777777" w:rsidR="005F5E76" w:rsidRPr="00DF640B" w:rsidRDefault="005F5E76" w:rsidP="00DF640B">
            <w:pPr>
              <w:pStyle w:val="ListBullet2"/>
              <w:rPr>
                <w:rFonts w:ascii="Calibri" w:hAnsi="Calibri" w:cs="Calibri"/>
              </w:rPr>
            </w:pPr>
            <w:r w:rsidRPr="00DF640B">
              <w:rPr>
                <w:rFonts w:ascii="Calibri" w:hAnsi="Calibri" w:cs="Calibri"/>
              </w:rPr>
              <w:t>acquisition</w:t>
            </w:r>
          </w:p>
          <w:p w14:paraId="0A682E52" w14:textId="77777777" w:rsidR="005F5E76" w:rsidRPr="00DF640B" w:rsidRDefault="005F5E76" w:rsidP="00DF640B">
            <w:pPr>
              <w:pStyle w:val="ListBullet2"/>
              <w:rPr>
                <w:rFonts w:ascii="Calibri" w:hAnsi="Calibri" w:cs="Calibri"/>
              </w:rPr>
            </w:pPr>
            <w:r w:rsidRPr="00DF640B">
              <w:rPr>
                <w:rFonts w:ascii="Calibri" w:hAnsi="Calibri" w:cs="Calibri"/>
              </w:rPr>
              <w:t>mergers</w:t>
            </w:r>
          </w:p>
          <w:p w14:paraId="59C5BF2D" w14:textId="77777777" w:rsidR="005F5E76" w:rsidRPr="00DF640B" w:rsidRDefault="005F5E76" w:rsidP="00DF640B">
            <w:pPr>
              <w:pStyle w:val="ListBullet2"/>
              <w:rPr>
                <w:rFonts w:ascii="Calibri" w:hAnsi="Calibri" w:cs="Calibri"/>
              </w:rPr>
            </w:pPr>
            <w:r w:rsidRPr="00DF640B">
              <w:rPr>
                <w:rFonts w:ascii="Calibri" w:hAnsi="Calibri" w:cs="Calibri"/>
              </w:rPr>
              <w:t>joint ventures</w:t>
            </w:r>
          </w:p>
          <w:p w14:paraId="124414D1" w14:textId="77777777" w:rsidR="00D23B1C" w:rsidRPr="00DF640B" w:rsidRDefault="005F5E76" w:rsidP="00DF640B">
            <w:pPr>
              <w:pStyle w:val="ListBullet2"/>
              <w:rPr>
                <w:rFonts w:ascii="Calibri" w:hAnsi="Calibri" w:cs="Calibri"/>
              </w:rPr>
            </w:pPr>
            <w:r w:rsidRPr="00DF640B">
              <w:rPr>
                <w:rFonts w:ascii="Calibri" w:hAnsi="Calibri" w:cs="Calibri"/>
              </w:rPr>
              <w:t>franchising</w:t>
            </w:r>
          </w:p>
        </w:tc>
      </w:tr>
      <w:tr w:rsidR="00135B31" w:rsidRPr="00DF640B" w14:paraId="474D7647" w14:textId="77777777" w:rsidTr="00DF640B">
        <w:tc>
          <w:tcPr>
            <w:tcW w:w="1088" w:type="dxa"/>
            <w:shd w:val="clear" w:color="auto" w:fill="E4D8EB" w:themeFill="accent4" w:themeFillTint="66"/>
            <w:vAlign w:val="center"/>
          </w:tcPr>
          <w:p w14:paraId="0888AC2C" w14:textId="77777777" w:rsidR="00135B31" w:rsidRPr="00DF640B" w:rsidRDefault="004B190B" w:rsidP="00DF640B">
            <w:pPr>
              <w:autoSpaceDE w:val="0"/>
              <w:autoSpaceDN w:val="0"/>
              <w:adjustRightInd w:val="0"/>
              <w:spacing w:after="0"/>
              <w:jc w:val="center"/>
              <w:rPr>
                <w:rFonts w:ascii="Calibri" w:hAnsi="Calibri" w:cs="Calibri"/>
                <w:szCs w:val="20"/>
              </w:rPr>
            </w:pPr>
            <w:r w:rsidRPr="00DF640B">
              <w:rPr>
                <w:rFonts w:ascii="Calibri" w:hAnsi="Calibri" w:cs="Calibri"/>
                <w:szCs w:val="20"/>
              </w:rPr>
              <w:t>9</w:t>
            </w:r>
          </w:p>
        </w:tc>
        <w:tc>
          <w:tcPr>
            <w:tcW w:w="7972" w:type="dxa"/>
          </w:tcPr>
          <w:p w14:paraId="7E41C8E1" w14:textId="77777777" w:rsidR="004C4EB1" w:rsidRPr="00DF640B" w:rsidRDefault="004C4EB1" w:rsidP="00DF640B">
            <w:pPr>
              <w:pStyle w:val="SCSATableHeadingnospace"/>
              <w:rPr>
                <w:rFonts w:ascii="Calibri" w:hAnsi="Calibri" w:cs="Calibri"/>
                <w:b w:val="0"/>
                <w:szCs w:val="20"/>
              </w:rPr>
            </w:pPr>
            <w:r w:rsidRPr="00DF640B">
              <w:rPr>
                <w:rFonts w:ascii="Calibri" w:hAnsi="Calibri" w:cs="Calibri"/>
              </w:rPr>
              <w:t>Management</w:t>
            </w:r>
            <w:r w:rsidRPr="00DF640B">
              <w:rPr>
                <w:rFonts w:ascii="Calibri" w:hAnsi="Calibri" w:cs="Calibri"/>
                <w:szCs w:val="20"/>
              </w:rPr>
              <w:t>: Operations</w:t>
            </w:r>
          </w:p>
          <w:p w14:paraId="3CC46915" w14:textId="77777777" w:rsidR="00BA0BD3" w:rsidRPr="00DF640B" w:rsidRDefault="00BA0BD3" w:rsidP="00DF640B">
            <w:pPr>
              <w:pStyle w:val="ListBullet"/>
              <w:rPr>
                <w:rFonts w:ascii="Calibri" w:hAnsi="Calibri" w:cs="Calibri"/>
              </w:rPr>
            </w:pPr>
            <w:r w:rsidRPr="00DF640B">
              <w:rPr>
                <w:rFonts w:ascii="Calibri" w:hAnsi="Calibri" w:cs="Calibri"/>
              </w:rPr>
              <w:t>sources of financial risk in export markets, including:</w:t>
            </w:r>
          </w:p>
          <w:p w14:paraId="56002285" w14:textId="77777777" w:rsidR="00BA0BD3" w:rsidRPr="00DF640B" w:rsidRDefault="00BA0BD3" w:rsidP="00DF640B">
            <w:pPr>
              <w:pStyle w:val="ListBullet2"/>
              <w:rPr>
                <w:rFonts w:ascii="Calibri" w:hAnsi="Calibri" w:cs="Calibri"/>
              </w:rPr>
            </w:pPr>
            <w:r w:rsidRPr="00DF640B">
              <w:rPr>
                <w:rFonts w:ascii="Calibri" w:hAnsi="Calibri" w:cs="Calibri"/>
              </w:rPr>
              <w:t>currency fluctuations</w:t>
            </w:r>
          </w:p>
          <w:p w14:paraId="5E3924A0" w14:textId="77777777" w:rsidR="00BA0BD3" w:rsidRPr="00DF640B" w:rsidRDefault="00BA0BD3" w:rsidP="00DF640B">
            <w:pPr>
              <w:pStyle w:val="ListBullet2"/>
              <w:rPr>
                <w:rFonts w:ascii="Calibri" w:hAnsi="Calibri" w:cs="Calibri"/>
              </w:rPr>
            </w:pPr>
            <w:r w:rsidRPr="00DF640B">
              <w:rPr>
                <w:rFonts w:ascii="Calibri" w:hAnsi="Calibri" w:cs="Calibri"/>
              </w:rPr>
              <w:t>non-payment of monies</w:t>
            </w:r>
          </w:p>
          <w:p w14:paraId="513F05EF" w14:textId="77777777" w:rsidR="00BA0BD3" w:rsidRPr="00DF640B" w:rsidRDefault="00BA0BD3" w:rsidP="00DF640B">
            <w:pPr>
              <w:pStyle w:val="ListBullet"/>
              <w:rPr>
                <w:rFonts w:ascii="Calibri" w:hAnsi="Calibri" w:cs="Calibri"/>
              </w:rPr>
            </w:pPr>
            <w:r w:rsidRPr="00DF640B">
              <w:rPr>
                <w:rFonts w:ascii="Calibri" w:hAnsi="Calibri" w:cs="Calibri"/>
              </w:rPr>
              <w:t xml:space="preserve">strategies for minimising financial risk in export markets, including: </w:t>
            </w:r>
          </w:p>
          <w:p w14:paraId="79D38CAB" w14:textId="77777777" w:rsidR="00BA0BD3" w:rsidRPr="00DF640B" w:rsidRDefault="00BA0BD3" w:rsidP="00DF640B">
            <w:pPr>
              <w:pStyle w:val="ListBullet2"/>
              <w:rPr>
                <w:rFonts w:ascii="Calibri" w:hAnsi="Calibri" w:cs="Calibri"/>
              </w:rPr>
            </w:pPr>
            <w:r w:rsidRPr="00DF640B">
              <w:rPr>
                <w:rFonts w:ascii="Calibri" w:hAnsi="Calibri" w:cs="Calibri"/>
              </w:rPr>
              <w:t>documentation</w:t>
            </w:r>
          </w:p>
          <w:p w14:paraId="43C87D13" w14:textId="77777777" w:rsidR="00BA0BD3" w:rsidRPr="00DF640B" w:rsidRDefault="00BA0BD3" w:rsidP="00DF640B">
            <w:pPr>
              <w:pStyle w:val="ListBullet2"/>
              <w:rPr>
                <w:rFonts w:ascii="Calibri" w:hAnsi="Calibri" w:cs="Calibri"/>
                <w:b/>
              </w:rPr>
            </w:pPr>
            <w:r w:rsidRPr="00DF640B">
              <w:rPr>
                <w:rFonts w:ascii="Calibri" w:hAnsi="Calibri" w:cs="Calibri"/>
              </w:rPr>
              <w:t>insurance</w:t>
            </w:r>
          </w:p>
          <w:p w14:paraId="627BED5A" w14:textId="07C7826F" w:rsidR="00D23B1C" w:rsidRPr="00DF640B" w:rsidRDefault="00BA0BD3" w:rsidP="00DF640B">
            <w:pPr>
              <w:pStyle w:val="ListBullet2"/>
              <w:rPr>
                <w:rFonts w:ascii="Calibri" w:hAnsi="Calibri" w:cs="Calibri"/>
                <w:b/>
              </w:rPr>
            </w:pPr>
            <w:r w:rsidRPr="00DF640B">
              <w:rPr>
                <w:rFonts w:ascii="Calibri" w:hAnsi="Calibri" w:cs="Calibri"/>
              </w:rPr>
              <w:t>hedging</w:t>
            </w:r>
          </w:p>
        </w:tc>
      </w:tr>
      <w:tr w:rsidR="00497DC0" w:rsidRPr="00DF640B" w14:paraId="61F0A7E3" w14:textId="77777777" w:rsidTr="00DF640B">
        <w:tc>
          <w:tcPr>
            <w:tcW w:w="1088" w:type="dxa"/>
            <w:shd w:val="clear" w:color="auto" w:fill="E4D8EB" w:themeFill="accent4" w:themeFillTint="66"/>
            <w:vAlign w:val="center"/>
          </w:tcPr>
          <w:p w14:paraId="01BF60CE" w14:textId="599B4741" w:rsidR="00497DC0" w:rsidRPr="00DF640B" w:rsidRDefault="004B190B" w:rsidP="00DF640B">
            <w:pPr>
              <w:autoSpaceDE w:val="0"/>
              <w:autoSpaceDN w:val="0"/>
              <w:adjustRightInd w:val="0"/>
              <w:spacing w:after="0"/>
              <w:jc w:val="center"/>
              <w:rPr>
                <w:rFonts w:ascii="Calibri" w:hAnsi="Calibri" w:cs="Calibri"/>
                <w:szCs w:val="20"/>
              </w:rPr>
            </w:pPr>
            <w:r w:rsidRPr="00DF640B">
              <w:rPr>
                <w:rFonts w:ascii="Calibri" w:hAnsi="Calibri" w:cs="Calibri"/>
                <w:szCs w:val="20"/>
              </w:rPr>
              <w:t>10</w:t>
            </w:r>
            <w:r w:rsidR="00965E8D" w:rsidRPr="00DF640B">
              <w:rPr>
                <w:rFonts w:ascii="Calibri" w:hAnsi="Calibri" w:cs="Calibri"/>
                <w:szCs w:val="20"/>
              </w:rPr>
              <w:t>–</w:t>
            </w:r>
            <w:r w:rsidRPr="00DF640B">
              <w:rPr>
                <w:rFonts w:ascii="Calibri" w:hAnsi="Calibri" w:cs="Calibri"/>
                <w:szCs w:val="20"/>
              </w:rPr>
              <w:t>11</w:t>
            </w:r>
          </w:p>
        </w:tc>
        <w:tc>
          <w:tcPr>
            <w:tcW w:w="7972" w:type="dxa"/>
          </w:tcPr>
          <w:p w14:paraId="25F17E9A" w14:textId="77777777" w:rsidR="00497DC0" w:rsidRPr="00DF640B" w:rsidRDefault="00497DC0" w:rsidP="00DF640B">
            <w:pPr>
              <w:pStyle w:val="SCSATableHeadingnospace"/>
              <w:rPr>
                <w:rFonts w:ascii="Calibri" w:hAnsi="Calibri" w:cs="Calibri"/>
                <w:b w:val="0"/>
                <w:szCs w:val="20"/>
              </w:rPr>
            </w:pPr>
            <w:r w:rsidRPr="00DF640B">
              <w:rPr>
                <w:rFonts w:ascii="Calibri" w:hAnsi="Calibri" w:cs="Calibri"/>
              </w:rPr>
              <w:t>Management</w:t>
            </w:r>
            <w:r w:rsidRPr="00DF640B">
              <w:rPr>
                <w:rFonts w:ascii="Calibri" w:hAnsi="Calibri" w:cs="Calibri"/>
                <w:szCs w:val="20"/>
              </w:rPr>
              <w:t>: Operations</w:t>
            </w:r>
          </w:p>
          <w:p w14:paraId="3C92A387" w14:textId="6997E91A" w:rsidR="00497DC0" w:rsidRPr="00DF640B" w:rsidRDefault="00E64FC1" w:rsidP="00DF640B">
            <w:pPr>
              <w:pStyle w:val="ListBullet"/>
              <w:rPr>
                <w:rFonts w:ascii="Calibri" w:hAnsi="Calibri" w:cs="Calibri"/>
              </w:rPr>
            </w:pPr>
            <w:r w:rsidRPr="00DF640B">
              <w:rPr>
                <w:rFonts w:ascii="Calibri" w:hAnsi="Calibri" w:cs="Calibri"/>
              </w:rPr>
              <w:t xml:space="preserve">the </w:t>
            </w:r>
            <w:r w:rsidR="00497DC0" w:rsidRPr="00DF640B">
              <w:rPr>
                <w:rFonts w:ascii="Calibri" w:hAnsi="Calibri" w:cs="Calibri"/>
              </w:rPr>
              <w:t>role of innovation in improving products, processes and services</w:t>
            </w:r>
          </w:p>
          <w:p w14:paraId="60984AC2" w14:textId="77777777" w:rsidR="00497DC0" w:rsidRPr="00DF640B" w:rsidRDefault="00497DC0" w:rsidP="00DF640B">
            <w:pPr>
              <w:pStyle w:val="ListBullet"/>
              <w:rPr>
                <w:rFonts w:ascii="Calibri" w:hAnsi="Calibri" w:cs="Calibri"/>
              </w:rPr>
            </w:pPr>
            <w:r w:rsidRPr="00DF640B">
              <w:rPr>
                <w:rFonts w:ascii="Calibri" w:hAnsi="Calibri" w:cs="Calibri"/>
              </w:rPr>
              <w:t>the benefits of innovation for business, including:</w:t>
            </w:r>
          </w:p>
          <w:p w14:paraId="4D78D0B6" w14:textId="77777777" w:rsidR="00497DC0" w:rsidRPr="00DF640B" w:rsidRDefault="00497DC0" w:rsidP="00DF640B">
            <w:pPr>
              <w:pStyle w:val="ListBullet2"/>
              <w:rPr>
                <w:rFonts w:ascii="Calibri" w:hAnsi="Calibri" w:cs="Calibri"/>
              </w:rPr>
            </w:pPr>
            <w:r w:rsidRPr="00DF640B">
              <w:rPr>
                <w:rFonts w:ascii="Calibri" w:hAnsi="Calibri" w:cs="Calibri"/>
              </w:rPr>
              <w:t>financial gain</w:t>
            </w:r>
          </w:p>
          <w:p w14:paraId="2EEBC6F6" w14:textId="77777777" w:rsidR="00497DC0" w:rsidRPr="00DF640B" w:rsidRDefault="00497DC0" w:rsidP="00DF640B">
            <w:pPr>
              <w:pStyle w:val="ListBullet2"/>
              <w:rPr>
                <w:rFonts w:ascii="Calibri" w:hAnsi="Calibri" w:cs="Calibri"/>
              </w:rPr>
            </w:pPr>
            <w:r w:rsidRPr="00DF640B">
              <w:rPr>
                <w:rFonts w:ascii="Calibri" w:hAnsi="Calibri" w:cs="Calibri"/>
              </w:rPr>
              <w:t>expansion of global market presence</w:t>
            </w:r>
          </w:p>
          <w:p w14:paraId="263C93F9" w14:textId="77777777" w:rsidR="00497DC0" w:rsidRPr="00DF640B" w:rsidRDefault="00497DC0" w:rsidP="00DF640B">
            <w:pPr>
              <w:pStyle w:val="ListBullet2"/>
              <w:rPr>
                <w:rFonts w:ascii="Calibri" w:hAnsi="Calibri" w:cs="Calibri"/>
              </w:rPr>
            </w:pPr>
            <w:r w:rsidRPr="00DF640B">
              <w:rPr>
                <w:rFonts w:ascii="Calibri" w:hAnsi="Calibri" w:cs="Calibri"/>
              </w:rPr>
              <w:t>increased market share</w:t>
            </w:r>
          </w:p>
          <w:p w14:paraId="7D0591AB" w14:textId="77777777" w:rsidR="00497DC0" w:rsidRPr="00DF640B" w:rsidRDefault="00497DC0" w:rsidP="00DF640B">
            <w:pPr>
              <w:pStyle w:val="ListBullet"/>
              <w:rPr>
                <w:rFonts w:ascii="Calibri" w:hAnsi="Calibri" w:cs="Calibri"/>
              </w:rPr>
            </w:pPr>
            <w:r w:rsidRPr="00DF640B">
              <w:rPr>
                <w:rFonts w:ascii="Calibri" w:hAnsi="Calibri" w:cs="Calibri"/>
              </w:rPr>
              <w:br w:type="page"/>
              <w:t>factors that impact on the success of innovation</w:t>
            </w:r>
          </w:p>
          <w:p w14:paraId="59B241A2" w14:textId="77777777" w:rsidR="00497DC0" w:rsidRPr="00DF640B" w:rsidRDefault="00497DC0" w:rsidP="00DF640B">
            <w:pPr>
              <w:pStyle w:val="ListBullet2"/>
              <w:rPr>
                <w:rFonts w:ascii="Calibri" w:hAnsi="Calibri" w:cs="Calibri"/>
              </w:rPr>
            </w:pPr>
            <w:r w:rsidRPr="00DF640B">
              <w:rPr>
                <w:rFonts w:ascii="Calibri" w:hAnsi="Calibri" w:cs="Calibri"/>
              </w:rPr>
              <w:t>timing</w:t>
            </w:r>
          </w:p>
          <w:p w14:paraId="268CCF13" w14:textId="77777777" w:rsidR="00497DC0" w:rsidRPr="00DF640B" w:rsidRDefault="00497DC0" w:rsidP="00DF640B">
            <w:pPr>
              <w:pStyle w:val="ListBullet2"/>
              <w:rPr>
                <w:rFonts w:ascii="Calibri" w:hAnsi="Calibri" w:cs="Calibri"/>
              </w:rPr>
            </w:pPr>
            <w:r w:rsidRPr="00DF640B">
              <w:rPr>
                <w:rFonts w:ascii="Calibri" w:hAnsi="Calibri" w:cs="Calibri"/>
              </w:rPr>
              <w:t>cost</w:t>
            </w:r>
          </w:p>
          <w:p w14:paraId="02F0E2F9" w14:textId="77777777" w:rsidR="00497DC0" w:rsidRPr="00DF640B" w:rsidRDefault="00497DC0" w:rsidP="00DF640B">
            <w:pPr>
              <w:pStyle w:val="ListBullet2"/>
              <w:rPr>
                <w:rFonts w:ascii="Calibri" w:hAnsi="Calibri" w:cs="Calibri"/>
              </w:rPr>
            </w:pPr>
            <w:r w:rsidRPr="00DF640B">
              <w:rPr>
                <w:rFonts w:ascii="Calibri" w:hAnsi="Calibri" w:cs="Calibri"/>
              </w:rPr>
              <w:t>marketing strategy</w:t>
            </w:r>
          </w:p>
          <w:p w14:paraId="6E40207A" w14:textId="77777777" w:rsidR="00497DC0" w:rsidRPr="00DF640B" w:rsidRDefault="00497DC0" w:rsidP="00DF640B">
            <w:pPr>
              <w:pStyle w:val="ListBullet2"/>
              <w:rPr>
                <w:rFonts w:ascii="Calibri" w:hAnsi="Calibri" w:cs="Calibri"/>
              </w:rPr>
            </w:pPr>
            <w:r w:rsidRPr="00DF640B">
              <w:rPr>
                <w:rFonts w:ascii="Calibri" w:hAnsi="Calibri" w:cs="Calibri"/>
              </w:rPr>
              <w:t>technology</w:t>
            </w:r>
          </w:p>
          <w:p w14:paraId="4A69657D" w14:textId="77777777" w:rsidR="005178AA" w:rsidRPr="00DF640B" w:rsidRDefault="005178AA" w:rsidP="00DF640B">
            <w:pPr>
              <w:pStyle w:val="SCSATableHeading"/>
              <w:rPr>
                <w:rFonts w:ascii="Calibri" w:hAnsi="Calibri" w:cs="Calibri"/>
                <w:szCs w:val="20"/>
              </w:rPr>
            </w:pPr>
            <w:r w:rsidRPr="00DF640B">
              <w:t>Environments</w:t>
            </w:r>
            <w:r w:rsidRPr="00DF640B">
              <w:rPr>
                <w:rFonts w:ascii="Calibri" w:hAnsi="Calibri" w:cs="Calibri"/>
                <w:szCs w:val="20"/>
              </w:rPr>
              <w:t>: Political and legal, economic, socio-cultural and technological (PEST)</w:t>
            </w:r>
          </w:p>
          <w:p w14:paraId="2D2AE71A" w14:textId="6F9511F2" w:rsidR="00D23B1C" w:rsidRPr="00DF640B" w:rsidRDefault="005178AA" w:rsidP="00DF640B">
            <w:pPr>
              <w:pStyle w:val="ListBullet"/>
              <w:rPr>
                <w:rFonts w:ascii="Calibri" w:hAnsi="Calibri" w:cs="Calibri"/>
              </w:rPr>
            </w:pPr>
            <w:r w:rsidRPr="00DF640B">
              <w:rPr>
                <w:rFonts w:ascii="Calibri" w:hAnsi="Calibri" w:cs="Calibri"/>
              </w:rPr>
              <w:t>the role of e-commerce in a global environment</w:t>
            </w:r>
          </w:p>
        </w:tc>
      </w:tr>
      <w:tr w:rsidR="00456849" w:rsidRPr="00DF640B" w14:paraId="1A72D487" w14:textId="77777777" w:rsidTr="00DF640B">
        <w:tc>
          <w:tcPr>
            <w:tcW w:w="1088" w:type="dxa"/>
            <w:shd w:val="clear" w:color="auto" w:fill="E4D8EB"/>
            <w:vAlign w:val="center"/>
          </w:tcPr>
          <w:p w14:paraId="68658854" w14:textId="4389F89D" w:rsidR="00456849" w:rsidRPr="00DF640B" w:rsidRDefault="00456849" w:rsidP="00DF640B">
            <w:pPr>
              <w:autoSpaceDE w:val="0"/>
              <w:autoSpaceDN w:val="0"/>
              <w:adjustRightInd w:val="0"/>
              <w:spacing w:after="0"/>
              <w:jc w:val="center"/>
              <w:rPr>
                <w:rFonts w:ascii="Calibri" w:hAnsi="Calibri" w:cs="Calibri"/>
                <w:szCs w:val="20"/>
              </w:rPr>
            </w:pPr>
            <w:r w:rsidRPr="00DF640B">
              <w:rPr>
                <w:rFonts w:ascii="Calibri" w:hAnsi="Calibri" w:cs="Calibri"/>
                <w:szCs w:val="20"/>
              </w:rPr>
              <w:t>1</w:t>
            </w:r>
            <w:r w:rsidR="004B190B" w:rsidRPr="00DF640B">
              <w:rPr>
                <w:rFonts w:ascii="Calibri" w:hAnsi="Calibri" w:cs="Calibri"/>
                <w:szCs w:val="20"/>
              </w:rPr>
              <w:t>2</w:t>
            </w:r>
            <w:r w:rsidR="00965E8D" w:rsidRPr="00DF640B">
              <w:rPr>
                <w:rFonts w:ascii="Calibri" w:hAnsi="Calibri" w:cs="Calibri"/>
                <w:szCs w:val="20"/>
              </w:rPr>
              <w:t>–</w:t>
            </w:r>
            <w:r w:rsidRPr="00DF640B">
              <w:rPr>
                <w:rFonts w:ascii="Calibri" w:hAnsi="Calibri" w:cs="Calibri"/>
                <w:szCs w:val="20"/>
              </w:rPr>
              <w:t>1</w:t>
            </w:r>
            <w:r w:rsidR="004B190B" w:rsidRPr="00DF640B">
              <w:rPr>
                <w:rFonts w:ascii="Calibri" w:hAnsi="Calibri" w:cs="Calibri"/>
                <w:szCs w:val="20"/>
              </w:rPr>
              <w:t>4</w:t>
            </w:r>
          </w:p>
        </w:tc>
        <w:tc>
          <w:tcPr>
            <w:tcW w:w="7972" w:type="dxa"/>
          </w:tcPr>
          <w:p w14:paraId="1A2BE8B1" w14:textId="77777777" w:rsidR="00456849" w:rsidRPr="00DF640B" w:rsidRDefault="00456849" w:rsidP="00DF640B">
            <w:pPr>
              <w:pStyle w:val="SCSATableHeadingnospace"/>
              <w:rPr>
                <w:rFonts w:ascii="Calibri" w:hAnsi="Calibri" w:cs="Calibri"/>
                <w:szCs w:val="20"/>
              </w:rPr>
            </w:pPr>
            <w:r w:rsidRPr="00DF640B">
              <w:rPr>
                <w:rFonts w:ascii="Calibri" w:hAnsi="Calibri" w:cs="Calibri"/>
              </w:rPr>
              <w:t>People</w:t>
            </w:r>
          </w:p>
          <w:p w14:paraId="218A908A" w14:textId="77777777" w:rsidR="00456849" w:rsidRPr="00DF640B" w:rsidRDefault="00456849" w:rsidP="00DF640B">
            <w:pPr>
              <w:pStyle w:val="ListBullet"/>
              <w:rPr>
                <w:rFonts w:ascii="Calibri" w:hAnsi="Calibri" w:cs="Calibri"/>
              </w:rPr>
            </w:pPr>
            <w:r w:rsidRPr="00DF640B">
              <w:rPr>
                <w:rFonts w:ascii="Calibri" w:hAnsi="Calibri" w:cs="Calibri"/>
              </w:rPr>
              <w:t>internal and external factors that drive change in a global environment</w:t>
            </w:r>
          </w:p>
          <w:p w14:paraId="5BD7C77C" w14:textId="77777777" w:rsidR="00456849" w:rsidRPr="00DF640B" w:rsidRDefault="00456849" w:rsidP="00DF640B">
            <w:pPr>
              <w:pStyle w:val="ListBullet"/>
              <w:rPr>
                <w:rFonts w:ascii="Calibri" w:hAnsi="Calibri" w:cs="Calibri"/>
              </w:rPr>
            </w:pPr>
            <w:r w:rsidRPr="00DF640B">
              <w:rPr>
                <w:rFonts w:ascii="Calibri" w:hAnsi="Calibri" w:cs="Calibri"/>
              </w:rPr>
              <w:t>reasons for resistance to change, including:</w:t>
            </w:r>
          </w:p>
          <w:p w14:paraId="000CD996" w14:textId="77777777" w:rsidR="00456849" w:rsidRPr="00DF640B" w:rsidRDefault="00456849" w:rsidP="00DF640B">
            <w:pPr>
              <w:pStyle w:val="ListBullet2"/>
              <w:rPr>
                <w:rFonts w:ascii="Calibri" w:hAnsi="Calibri" w:cs="Calibri"/>
              </w:rPr>
            </w:pPr>
            <w:r w:rsidRPr="00DF640B">
              <w:rPr>
                <w:rFonts w:ascii="Calibri" w:hAnsi="Calibri" w:cs="Calibri"/>
              </w:rPr>
              <w:t>financial costs</w:t>
            </w:r>
          </w:p>
          <w:p w14:paraId="0803F470" w14:textId="3FD41E1C" w:rsidR="00456849" w:rsidRPr="00DF640B" w:rsidRDefault="00E01837" w:rsidP="00DF640B">
            <w:pPr>
              <w:pStyle w:val="ListBullet2"/>
              <w:rPr>
                <w:rFonts w:ascii="Calibri" w:hAnsi="Calibri" w:cs="Calibri"/>
              </w:rPr>
            </w:pPr>
            <w:r w:rsidRPr="00DF640B">
              <w:rPr>
                <w:rFonts w:ascii="Calibri" w:hAnsi="Calibri" w:cs="Calibri"/>
              </w:rPr>
              <w:t>managerial inertia</w:t>
            </w:r>
          </w:p>
          <w:p w14:paraId="1AC50EDC" w14:textId="77777777" w:rsidR="00456849" w:rsidRPr="00DF640B" w:rsidRDefault="00456849" w:rsidP="00DF640B">
            <w:pPr>
              <w:pStyle w:val="ListBullet2"/>
              <w:rPr>
                <w:rFonts w:ascii="Calibri" w:hAnsi="Calibri" w:cs="Calibri"/>
              </w:rPr>
            </w:pPr>
            <w:r w:rsidRPr="00DF640B">
              <w:rPr>
                <w:rFonts w:ascii="Calibri" w:hAnsi="Calibri" w:cs="Calibri"/>
              </w:rPr>
              <w:t>cultural incompatibility in mergers/takeovers</w:t>
            </w:r>
          </w:p>
          <w:p w14:paraId="14D7C876" w14:textId="77777777" w:rsidR="00456849" w:rsidRPr="00DF640B" w:rsidRDefault="00456849" w:rsidP="00DF640B">
            <w:pPr>
              <w:pStyle w:val="ListBullet2"/>
              <w:rPr>
                <w:rFonts w:ascii="Calibri" w:hAnsi="Calibri" w:cs="Calibri"/>
              </w:rPr>
            </w:pPr>
            <w:r w:rsidRPr="00DF640B">
              <w:rPr>
                <w:rFonts w:ascii="Calibri" w:hAnsi="Calibri" w:cs="Calibri"/>
              </w:rPr>
              <w:t>staff attitude</w:t>
            </w:r>
          </w:p>
          <w:p w14:paraId="35322385" w14:textId="77777777" w:rsidR="00456849" w:rsidRPr="00DF640B" w:rsidRDefault="00456849" w:rsidP="00DF640B">
            <w:pPr>
              <w:pStyle w:val="ListBullet"/>
              <w:rPr>
                <w:rFonts w:ascii="Calibri" w:hAnsi="Calibri" w:cs="Calibri"/>
              </w:rPr>
            </w:pPr>
            <w:r w:rsidRPr="00DF640B">
              <w:rPr>
                <w:rFonts w:ascii="Calibri" w:hAnsi="Calibri" w:cs="Calibri"/>
              </w:rPr>
              <w:t>preparing people for change, including:</w:t>
            </w:r>
          </w:p>
          <w:p w14:paraId="5F89782F" w14:textId="77777777" w:rsidR="00456849" w:rsidRPr="00DF640B" w:rsidRDefault="00456849" w:rsidP="00DF640B">
            <w:pPr>
              <w:pStyle w:val="ListBullet2"/>
              <w:rPr>
                <w:rFonts w:ascii="Calibri" w:hAnsi="Calibri" w:cs="Calibri"/>
              </w:rPr>
            </w:pPr>
            <w:r w:rsidRPr="00DF640B">
              <w:rPr>
                <w:rFonts w:ascii="Calibri" w:hAnsi="Calibri" w:cs="Calibri"/>
              </w:rPr>
              <w:t>Lewin’s Forcefield Analysis model</w:t>
            </w:r>
          </w:p>
          <w:p w14:paraId="37D49F3B" w14:textId="77777777" w:rsidR="00456849" w:rsidRPr="00DF640B" w:rsidRDefault="00456849" w:rsidP="00DF640B">
            <w:pPr>
              <w:pStyle w:val="ListBullet2"/>
              <w:rPr>
                <w:rFonts w:ascii="Calibri" w:hAnsi="Calibri" w:cs="Calibri"/>
              </w:rPr>
            </w:pPr>
            <w:r w:rsidRPr="00DF640B">
              <w:rPr>
                <w:rFonts w:ascii="Calibri" w:hAnsi="Calibri" w:cs="Calibri"/>
              </w:rPr>
              <w:t>Kotter’s 8 Steps change management model</w:t>
            </w:r>
          </w:p>
          <w:p w14:paraId="2574FEFB" w14:textId="77777777" w:rsidR="00456849" w:rsidRPr="00DF640B" w:rsidRDefault="00456849" w:rsidP="00DF640B">
            <w:pPr>
              <w:pStyle w:val="ListBullet"/>
              <w:rPr>
                <w:rFonts w:ascii="Calibri" w:hAnsi="Calibri" w:cs="Calibri"/>
              </w:rPr>
            </w:pPr>
            <w:r w:rsidRPr="00DF640B">
              <w:rPr>
                <w:rFonts w:ascii="Calibri" w:hAnsi="Calibri" w:cs="Calibri"/>
              </w:rPr>
              <w:t>managing diversity as a strategy for business growth</w:t>
            </w:r>
          </w:p>
          <w:p w14:paraId="72ED7372" w14:textId="4ECB1256" w:rsidR="003A4A99" w:rsidRPr="00DF640B" w:rsidRDefault="003A4A99" w:rsidP="00DF640B">
            <w:pPr>
              <w:pStyle w:val="SCSATableHeading"/>
              <w:rPr>
                <w:rFonts w:ascii="Calibri" w:hAnsi="Calibri" w:cs="Calibri"/>
                <w:szCs w:val="20"/>
              </w:rPr>
            </w:pPr>
            <w:r w:rsidRPr="00DF640B">
              <w:rPr>
                <w:rFonts w:ascii="Calibri" w:hAnsi="Calibri" w:cs="Calibri"/>
                <w:szCs w:val="20"/>
              </w:rPr>
              <w:t>Task 3: Response (Week 1</w:t>
            </w:r>
            <w:r w:rsidR="00E0130E" w:rsidRPr="00DF640B">
              <w:rPr>
                <w:rFonts w:ascii="Calibri" w:hAnsi="Calibri" w:cs="Calibri"/>
                <w:szCs w:val="20"/>
              </w:rPr>
              <w:t>4</w:t>
            </w:r>
            <w:r w:rsidRPr="00DF640B">
              <w:rPr>
                <w:rFonts w:ascii="Calibri" w:hAnsi="Calibri" w:cs="Calibri"/>
                <w:szCs w:val="20"/>
              </w:rPr>
              <w:t>)</w:t>
            </w:r>
          </w:p>
        </w:tc>
      </w:tr>
      <w:tr w:rsidR="00AD0E2A" w:rsidRPr="00DF640B" w14:paraId="5F158EAD" w14:textId="77777777" w:rsidTr="00DF640B">
        <w:trPr>
          <w:trHeight w:val="60"/>
        </w:trPr>
        <w:tc>
          <w:tcPr>
            <w:tcW w:w="1088" w:type="dxa"/>
            <w:shd w:val="clear" w:color="auto" w:fill="E4D8EB" w:themeFill="accent4" w:themeFillTint="66"/>
            <w:vAlign w:val="center"/>
          </w:tcPr>
          <w:p w14:paraId="424FF91D" w14:textId="77777777" w:rsidR="00AD0E2A" w:rsidRPr="00DF640B" w:rsidRDefault="00AD0E2A" w:rsidP="00DF640B">
            <w:pPr>
              <w:spacing w:after="0"/>
              <w:jc w:val="center"/>
              <w:rPr>
                <w:rFonts w:ascii="Calibri" w:hAnsi="Calibri" w:cs="Calibri"/>
                <w:szCs w:val="20"/>
              </w:rPr>
            </w:pPr>
            <w:r w:rsidRPr="00DF640B">
              <w:rPr>
                <w:rFonts w:ascii="Calibri" w:hAnsi="Calibri" w:cs="Calibri"/>
                <w:szCs w:val="20"/>
              </w:rPr>
              <w:t>1</w:t>
            </w:r>
            <w:r w:rsidR="004B190B" w:rsidRPr="00DF640B">
              <w:rPr>
                <w:rFonts w:ascii="Calibri" w:hAnsi="Calibri" w:cs="Calibri"/>
                <w:szCs w:val="20"/>
              </w:rPr>
              <w:t>5</w:t>
            </w:r>
          </w:p>
        </w:tc>
        <w:tc>
          <w:tcPr>
            <w:tcW w:w="7972" w:type="dxa"/>
            <w:vAlign w:val="center"/>
          </w:tcPr>
          <w:p w14:paraId="11149E9C" w14:textId="1ACF4595" w:rsidR="00AD0E2A" w:rsidRPr="00DF640B" w:rsidRDefault="00D23B1C" w:rsidP="00DF640B">
            <w:pPr>
              <w:pStyle w:val="SCSATableHeadingnospace"/>
              <w:rPr>
                <w:rFonts w:ascii="Calibri" w:hAnsi="Calibri" w:cs="Calibri"/>
              </w:rPr>
            </w:pPr>
            <w:r w:rsidRPr="00DF640B">
              <w:rPr>
                <w:rFonts w:ascii="Calibri" w:hAnsi="Calibri" w:cs="Calibri"/>
              </w:rPr>
              <w:t xml:space="preserve">Task </w:t>
            </w:r>
            <w:r w:rsidR="00EA35D1" w:rsidRPr="00DF640B">
              <w:rPr>
                <w:rFonts w:ascii="Calibri" w:hAnsi="Calibri" w:cs="Calibri"/>
              </w:rPr>
              <w:t>4</w:t>
            </w:r>
            <w:r w:rsidRPr="00DF640B">
              <w:rPr>
                <w:rFonts w:ascii="Calibri" w:hAnsi="Calibri" w:cs="Calibri"/>
              </w:rPr>
              <w:t xml:space="preserve">: Semester 1 </w:t>
            </w:r>
            <w:r w:rsidR="00694163">
              <w:rPr>
                <w:rFonts w:ascii="Calibri" w:hAnsi="Calibri" w:cs="Calibri"/>
              </w:rPr>
              <w:t>e</w:t>
            </w:r>
            <w:r w:rsidRPr="00DF640B">
              <w:rPr>
                <w:rFonts w:ascii="Calibri" w:hAnsi="Calibri" w:cs="Calibri"/>
              </w:rPr>
              <w:t>xamination</w:t>
            </w:r>
            <w:r w:rsidR="00817058" w:rsidRPr="00DF640B">
              <w:rPr>
                <w:rFonts w:ascii="Calibri" w:hAnsi="Calibri" w:cs="Calibri"/>
              </w:rPr>
              <w:t xml:space="preserve"> (Week 15)</w:t>
            </w:r>
          </w:p>
        </w:tc>
      </w:tr>
    </w:tbl>
    <w:p w14:paraId="4096D8C0" w14:textId="77777777" w:rsidR="00713378" w:rsidRDefault="00713378" w:rsidP="00DF640B">
      <w:pPr>
        <w:rPr>
          <w:rFonts w:ascii="Franklin Gothic Book" w:eastAsia="MS Mincho" w:hAnsi="Franklin Gothic Book" w:cs="Calibri"/>
          <w:lang w:val="en-GB" w:eastAsia="ja-JP"/>
        </w:rPr>
      </w:pPr>
      <w:r>
        <w:br w:type="page"/>
      </w:r>
    </w:p>
    <w:p w14:paraId="760625E6" w14:textId="77777777" w:rsidR="00B70BDC" w:rsidRPr="00DF640B" w:rsidRDefault="00B70BDC" w:rsidP="00DF640B">
      <w:pPr>
        <w:pStyle w:val="SCSAHeading2"/>
      </w:pPr>
      <w:r w:rsidRPr="00DF640B">
        <w:lastRenderedPageBreak/>
        <w:t xml:space="preserve">Semester 2 </w:t>
      </w:r>
      <w:r w:rsidR="002E2336" w:rsidRPr="00DF640B">
        <w:t>–</w:t>
      </w:r>
      <w:r w:rsidRPr="00DF640B">
        <w:t xml:space="preserve"> Unit </w:t>
      </w:r>
      <w:r w:rsidR="00A84FF1" w:rsidRPr="00DF640B">
        <w:t>4</w:t>
      </w:r>
      <w:r w:rsidR="00135B31" w:rsidRPr="00DF640B">
        <w:t xml:space="preserve"> </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1027"/>
        <w:gridCol w:w="8024"/>
        <w:gridCol w:w="9"/>
      </w:tblGrid>
      <w:tr w:rsidR="00DF640B" w:rsidRPr="00DF640B" w14:paraId="62216026" w14:textId="77777777" w:rsidTr="00451D64">
        <w:trPr>
          <w:tblHeader/>
        </w:trPr>
        <w:tc>
          <w:tcPr>
            <w:tcW w:w="567" w:type="pct"/>
            <w:tcBorders>
              <w:right w:val="single" w:sz="4" w:space="0" w:color="FFFFFF" w:themeColor="background1"/>
            </w:tcBorders>
            <w:shd w:val="clear" w:color="auto" w:fill="BD9FCF" w:themeFill="accent4"/>
            <w:vAlign w:val="center"/>
            <w:hideMark/>
          </w:tcPr>
          <w:p w14:paraId="64E8D4D3" w14:textId="77777777" w:rsidR="000B5AB4" w:rsidRPr="00694163" w:rsidRDefault="00356766" w:rsidP="00DF640B">
            <w:pPr>
              <w:spacing w:after="0"/>
              <w:jc w:val="center"/>
              <w:rPr>
                <w:rFonts w:asciiTheme="minorHAnsi" w:hAnsiTheme="minorHAnsi" w:cstheme="minorHAnsi"/>
                <w:b/>
                <w:szCs w:val="20"/>
              </w:rPr>
            </w:pPr>
            <w:r w:rsidRPr="00694163">
              <w:rPr>
                <w:rFonts w:asciiTheme="minorHAnsi" w:hAnsiTheme="minorHAnsi" w:cstheme="minorHAnsi"/>
                <w:b/>
                <w:szCs w:val="20"/>
              </w:rPr>
              <w:t>Week</w:t>
            </w:r>
          </w:p>
        </w:tc>
        <w:tc>
          <w:tcPr>
            <w:tcW w:w="4433" w:type="pct"/>
            <w:gridSpan w:val="2"/>
            <w:tcBorders>
              <w:left w:val="single" w:sz="4" w:space="0" w:color="FFFFFF" w:themeColor="background1"/>
            </w:tcBorders>
            <w:shd w:val="clear" w:color="auto" w:fill="BD9FCF" w:themeFill="accent4"/>
            <w:vAlign w:val="center"/>
            <w:hideMark/>
          </w:tcPr>
          <w:p w14:paraId="53398EA0" w14:textId="77777777" w:rsidR="000B5AB4" w:rsidRPr="00694163" w:rsidRDefault="00356766" w:rsidP="00DF640B">
            <w:pPr>
              <w:spacing w:after="0"/>
              <w:jc w:val="center"/>
              <w:rPr>
                <w:rFonts w:asciiTheme="minorHAnsi" w:hAnsiTheme="minorHAnsi" w:cstheme="minorHAnsi"/>
                <w:b/>
                <w:szCs w:val="20"/>
              </w:rPr>
            </w:pPr>
            <w:r w:rsidRPr="00694163">
              <w:rPr>
                <w:rFonts w:asciiTheme="minorHAnsi" w:hAnsiTheme="minorHAnsi" w:cstheme="minorHAnsi"/>
                <w:b/>
                <w:szCs w:val="20"/>
              </w:rPr>
              <w:t>Key teaching points</w:t>
            </w:r>
          </w:p>
        </w:tc>
      </w:tr>
      <w:tr w:rsidR="000917AF" w:rsidRPr="00A84FF1" w14:paraId="1D9A18EF" w14:textId="77777777" w:rsidTr="00451D64">
        <w:trPr>
          <w:trHeight w:val="20"/>
        </w:trPr>
        <w:tc>
          <w:tcPr>
            <w:tcW w:w="567" w:type="pct"/>
            <w:shd w:val="clear" w:color="auto" w:fill="E4D8EB" w:themeFill="accent4" w:themeFillTint="66"/>
            <w:vAlign w:val="center"/>
          </w:tcPr>
          <w:p w14:paraId="35726B58" w14:textId="4FBC2865" w:rsidR="000917AF" w:rsidRPr="00694163" w:rsidRDefault="000917AF" w:rsidP="00DF640B">
            <w:pPr>
              <w:autoSpaceDE w:val="0"/>
              <w:autoSpaceDN w:val="0"/>
              <w:adjustRightInd w:val="0"/>
              <w:spacing w:after="0"/>
              <w:jc w:val="center"/>
              <w:rPr>
                <w:rFonts w:asciiTheme="minorHAnsi" w:hAnsiTheme="minorHAnsi" w:cstheme="minorHAnsi"/>
                <w:szCs w:val="20"/>
              </w:rPr>
            </w:pPr>
            <w:r w:rsidRPr="00694163">
              <w:rPr>
                <w:rFonts w:asciiTheme="minorHAnsi" w:hAnsiTheme="minorHAnsi" w:cstheme="minorHAnsi"/>
                <w:szCs w:val="20"/>
              </w:rPr>
              <w:t>1</w:t>
            </w:r>
            <w:r w:rsidR="00965E8D" w:rsidRPr="00694163">
              <w:rPr>
                <w:rFonts w:asciiTheme="minorHAnsi" w:hAnsiTheme="minorHAnsi" w:cstheme="minorHAnsi"/>
                <w:szCs w:val="20"/>
              </w:rPr>
              <w:t>–</w:t>
            </w:r>
            <w:r w:rsidR="004B190B" w:rsidRPr="00694163">
              <w:rPr>
                <w:rFonts w:asciiTheme="minorHAnsi" w:hAnsiTheme="minorHAnsi" w:cstheme="minorHAnsi"/>
                <w:szCs w:val="20"/>
              </w:rPr>
              <w:t>3</w:t>
            </w:r>
          </w:p>
        </w:tc>
        <w:tc>
          <w:tcPr>
            <w:tcW w:w="4433" w:type="pct"/>
            <w:gridSpan w:val="2"/>
          </w:tcPr>
          <w:p w14:paraId="17690216" w14:textId="65A2ACA9" w:rsidR="00694163" w:rsidRPr="00694163" w:rsidRDefault="00694163" w:rsidP="00DF640B">
            <w:pPr>
              <w:pStyle w:val="SCSATableHeadingnospace"/>
              <w:rPr>
                <w:b w:val="0"/>
                <w:bCs w:val="0"/>
                <w:szCs w:val="20"/>
              </w:rPr>
            </w:pPr>
            <w:r w:rsidRPr="00694163">
              <w:rPr>
                <w:b w:val="0"/>
                <w:bCs w:val="0"/>
                <w:szCs w:val="20"/>
              </w:rPr>
              <w:t>Overview of the syllabus, expectations and assessment outline</w:t>
            </w:r>
          </w:p>
          <w:p w14:paraId="16253ADD" w14:textId="0E0CAD82" w:rsidR="000917AF" w:rsidRPr="00694163" w:rsidRDefault="000917AF" w:rsidP="00DF640B">
            <w:pPr>
              <w:pStyle w:val="SCSATableHeadingnospace"/>
              <w:rPr>
                <w:szCs w:val="20"/>
              </w:rPr>
            </w:pPr>
            <w:r w:rsidRPr="00694163">
              <w:rPr>
                <w:szCs w:val="20"/>
              </w:rPr>
              <w:t>Environments: Political and legal, economic, socio-cultural and technological (PEST)</w:t>
            </w:r>
          </w:p>
          <w:p w14:paraId="2D4FFD04" w14:textId="0395D492" w:rsidR="000917AF" w:rsidRPr="00694163" w:rsidRDefault="000917AF" w:rsidP="00DF640B">
            <w:pPr>
              <w:pStyle w:val="ListBullet"/>
              <w:rPr>
                <w:rFonts w:cstheme="minorHAnsi"/>
                <w:szCs w:val="20"/>
              </w:rPr>
            </w:pPr>
            <w:r w:rsidRPr="00694163">
              <w:rPr>
                <w:rFonts w:cstheme="minorHAnsi"/>
                <w:szCs w:val="20"/>
              </w:rPr>
              <w:t>the impact of cultural considerations on global business practice, including:</w:t>
            </w:r>
          </w:p>
          <w:p w14:paraId="70AA416D" w14:textId="77777777" w:rsidR="000917AF" w:rsidRPr="00694163" w:rsidRDefault="000917AF" w:rsidP="00DF640B">
            <w:pPr>
              <w:pStyle w:val="ListBullet2"/>
              <w:rPr>
                <w:rFonts w:cstheme="minorHAnsi"/>
                <w:szCs w:val="20"/>
              </w:rPr>
            </w:pPr>
            <w:r w:rsidRPr="00694163">
              <w:rPr>
                <w:rFonts w:cstheme="minorHAnsi"/>
                <w:szCs w:val="20"/>
              </w:rPr>
              <w:t>levels of education</w:t>
            </w:r>
          </w:p>
          <w:p w14:paraId="4E9CF948" w14:textId="77777777" w:rsidR="000917AF" w:rsidRPr="00694163" w:rsidRDefault="000917AF" w:rsidP="00DF640B">
            <w:pPr>
              <w:pStyle w:val="ListBullet2"/>
              <w:rPr>
                <w:rFonts w:cstheme="minorHAnsi"/>
                <w:szCs w:val="20"/>
              </w:rPr>
            </w:pPr>
            <w:r w:rsidRPr="00694163">
              <w:rPr>
                <w:rFonts w:cstheme="minorHAnsi"/>
                <w:szCs w:val="20"/>
              </w:rPr>
              <w:t>customs</w:t>
            </w:r>
          </w:p>
          <w:p w14:paraId="771418FE" w14:textId="77777777" w:rsidR="000917AF" w:rsidRPr="00694163" w:rsidRDefault="000917AF" w:rsidP="00DF640B">
            <w:pPr>
              <w:pStyle w:val="ListBullet2"/>
              <w:rPr>
                <w:rFonts w:cstheme="minorHAnsi"/>
                <w:szCs w:val="20"/>
              </w:rPr>
            </w:pPr>
            <w:r w:rsidRPr="00694163">
              <w:rPr>
                <w:rFonts w:cstheme="minorHAnsi"/>
                <w:szCs w:val="20"/>
              </w:rPr>
              <w:t>holidays and celebrations</w:t>
            </w:r>
          </w:p>
          <w:p w14:paraId="590FC04F" w14:textId="77777777" w:rsidR="000917AF" w:rsidRPr="00694163" w:rsidRDefault="000917AF" w:rsidP="00DF640B">
            <w:pPr>
              <w:pStyle w:val="ListBullet2"/>
              <w:rPr>
                <w:rFonts w:cstheme="minorHAnsi"/>
                <w:szCs w:val="20"/>
              </w:rPr>
            </w:pPr>
            <w:r w:rsidRPr="00694163">
              <w:rPr>
                <w:rFonts w:cstheme="minorHAnsi"/>
                <w:szCs w:val="20"/>
              </w:rPr>
              <w:t>religious beliefs</w:t>
            </w:r>
          </w:p>
          <w:p w14:paraId="4C51703D" w14:textId="77777777" w:rsidR="000917AF" w:rsidRPr="00694163" w:rsidRDefault="000917AF" w:rsidP="00DF640B">
            <w:pPr>
              <w:pStyle w:val="ListBullet2"/>
              <w:rPr>
                <w:rFonts w:cstheme="minorHAnsi"/>
                <w:szCs w:val="20"/>
              </w:rPr>
            </w:pPr>
            <w:r w:rsidRPr="00694163">
              <w:rPr>
                <w:rFonts w:cstheme="minorHAnsi"/>
                <w:szCs w:val="20"/>
              </w:rPr>
              <w:t>business etiquette</w:t>
            </w:r>
          </w:p>
          <w:p w14:paraId="6B4BB052" w14:textId="77777777" w:rsidR="000917AF" w:rsidRPr="00694163" w:rsidRDefault="000917AF" w:rsidP="00DF640B">
            <w:pPr>
              <w:pStyle w:val="ListBullet2"/>
              <w:rPr>
                <w:rFonts w:cstheme="minorHAnsi"/>
                <w:szCs w:val="20"/>
              </w:rPr>
            </w:pPr>
            <w:r w:rsidRPr="00694163">
              <w:rPr>
                <w:rFonts w:cstheme="minorHAnsi"/>
                <w:szCs w:val="20"/>
              </w:rPr>
              <w:t xml:space="preserve">communication protocols </w:t>
            </w:r>
          </w:p>
          <w:p w14:paraId="51B823A9" w14:textId="59F87CDA" w:rsidR="000917AF" w:rsidRPr="00694163" w:rsidRDefault="00C77872" w:rsidP="00DF640B">
            <w:pPr>
              <w:pStyle w:val="ListBullet"/>
              <w:rPr>
                <w:rFonts w:cstheme="minorHAnsi"/>
                <w:szCs w:val="20"/>
              </w:rPr>
            </w:pPr>
            <w:r w:rsidRPr="00694163">
              <w:rPr>
                <w:rFonts w:cstheme="minorHAnsi"/>
                <w:szCs w:val="20"/>
              </w:rPr>
              <w:t xml:space="preserve">the role of business in relation to </w:t>
            </w:r>
            <w:r w:rsidR="000917AF" w:rsidRPr="00694163">
              <w:rPr>
                <w:rFonts w:cstheme="minorHAnsi"/>
                <w:szCs w:val="20"/>
              </w:rPr>
              <w:t xml:space="preserve">ethical practice in a global </w:t>
            </w:r>
            <w:r w:rsidR="00DC7512" w:rsidRPr="00694163">
              <w:rPr>
                <w:rFonts w:cstheme="minorHAnsi"/>
                <w:szCs w:val="20"/>
              </w:rPr>
              <w:t>context</w:t>
            </w:r>
            <w:r w:rsidR="000917AF" w:rsidRPr="00694163">
              <w:rPr>
                <w:rFonts w:cstheme="minorHAnsi"/>
                <w:szCs w:val="20"/>
              </w:rPr>
              <w:t>, including:</w:t>
            </w:r>
          </w:p>
          <w:p w14:paraId="203CFD90" w14:textId="4E3FBB70" w:rsidR="000917AF" w:rsidRPr="00694163" w:rsidRDefault="000917AF" w:rsidP="00DF640B">
            <w:pPr>
              <w:pStyle w:val="ListBullet2"/>
              <w:rPr>
                <w:rFonts w:cstheme="minorHAnsi"/>
                <w:szCs w:val="20"/>
              </w:rPr>
            </w:pPr>
            <w:r w:rsidRPr="00694163">
              <w:rPr>
                <w:rFonts w:cstheme="minorHAnsi"/>
                <w:szCs w:val="20"/>
              </w:rPr>
              <w:t>minimum standards of labour by the International Labour Organisation (ILO), including the use o</w:t>
            </w:r>
            <w:r w:rsidR="00F35889" w:rsidRPr="00694163">
              <w:rPr>
                <w:rFonts w:cstheme="minorHAnsi"/>
                <w:szCs w:val="20"/>
              </w:rPr>
              <w:t>f child labour</w:t>
            </w:r>
          </w:p>
          <w:p w14:paraId="5ED837C1" w14:textId="5A2C5480" w:rsidR="000917AF" w:rsidRPr="00694163" w:rsidRDefault="000917AF" w:rsidP="00DF640B">
            <w:pPr>
              <w:pStyle w:val="ListBullet2"/>
              <w:rPr>
                <w:rFonts w:cstheme="minorHAnsi"/>
                <w:szCs w:val="20"/>
              </w:rPr>
            </w:pPr>
            <w:r w:rsidRPr="00694163">
              <w:rPr>
                <w:rFonts w:cstheme="minorHAnsi"/>
                <w:szCs w:val="20"/>
              </w:rPr>
              <w:t>corporate social responsibility</w:t>
            </w:r>
          </w:p>
          <w:p w14:paraId="27DFDB07" w14:textId="77777777" w:rsidR="000917AF" w:rsidRPr="00694163" w:rsidRDefault="000917AF" w:rsidP="00DF640B">
            <w:pPr>
              <w:pStyle w:val="ListBullet2"/>
              <w:rPr>
                <w:rFonts w:cstheme="minorHAnsi"/>
                <w:szCs w:val="20"/>
              </w:rPr>
            </w:pPr>
            <w:r w:rsidRPr="00694163">
              <w:rPr>
                <w:rFonts w:cstheme="minorHAnsi"/>
                <w:szCs w:val="20"/>
              </w:rPr>
              <w:t>environmental sustainability</w:t>
            </w:r>
          </w:p>
          <w:p w14:paraId="51E2754E" w14:textId="77777777" w:rsidR="000917AF" w:rsidRPr="00694163" w:rsidRDefault="000917AF" w:rsidP="00DF640B">
            <w:pPr>
              <w:pStyle w:val="SCSATableHeading"/>
              <w:rPr>
                <w:szCs w:val="20"/>
              </w:rPr>
            </w:pPr>
            <w:r w:rsidRPr="00694163">
              <w:rPr>
                <w:szCs w:val="20"/>
              </w:rPr>
              <w:t>People</w:t>
            </w:r>
          </w:p>
          <w:p w14:paraId="77BB2266" w14:textId="77777777" w:rsidR="000917AF" w:rsidRPr="00694163" w:rsidRDefault="000917AF" w:rsidP="00DF640B">
            <w:pPr>
              <w:pStyle w:val="ListBullet"/>
              <w:rPr>
                <w:rFonts w:cstheme="minorHAnsi"/>
                <w:szCs w:val="20"/>
              </w:rPr>
            </w:pPr>
            <w:r w:rsidRPr="00694163">
              <w:rPr>
                <w:rFonts w:cstheme="minorHAnsi"/>
                <w:szCs w:val="20"/>
              </w:rPr>
              <w:t>adapting leadership styles in a cross-cultural setting, including:</w:t>
            </w:r>
          </w:p>
          <w:p w14:paraId="6123A6ED" w14:textId="77777777" w:rsidR="000917AF" w:rsidRPr="00694163" w:rsidRDefault="000917AF" w:rsidP="00DF640B">
            <w:pPr>
              <w:pStyle w:val="ListBullet2"/>
              <w:rPr>
                <w:rFonts w:cstheme="minorHAnsi"/>
                <w:szCs w:val="20"/>
              </w:rPr>
            </w:pPr>
            <w:r w:rsidRPr="00694163">
              <w:rPr>
                <w:rFonts w:cstheme="minorHAnsi"/>
                <w:szCs w:val="20"/>
              </w:rPr>
              <w:t>autocratic</w:t>
            </w:r>
          </w:p>
          <w:p w14:paraId="2FC7C650" w14:textId="77777777" w:rsidR="000917AF" w:rsidRPr="00694163" w:rsidRDefault="000917AF" w:rsidP="00DF640B">
            <w:pPr>
              <w:pStyle w:val="ListBullet2"/>
              <w:rPr>
                <w:rFonts w:cstheme="minorHAnsi"/>
                <w:szCs w:val="20"/>
              </w:rPr>
            </w:pPr>
            <w:r w:rsidRPr="00694163">
              <w:rPr>
                <w:rFonts w:cstheme="minorHAnsi"/>
                <w:szCs w:val="20"/>
              </w:rPr>
              <w:t>participative</w:t>
            </w:r>
          </w:p>
          <w:p w14:paraId="1E0FBA57" w14:textId="77777777" w:rsidR="000917AF" w:rsidRPr="00694163" w:rsidRDefault="000917AF" w:rsidP="00DF640B">
            <w:pPr>
              <w:pStyle w:val="ListBullet2"/>
              <w:rPr>
                <w:rFonts w:cstheme="minorHAnsi"/>
                <w:szCs w:val="20"/>
              </w:rPr>
            </w:pPr>
            <w:r w:rsidRPr="00694163">
              <w:rPr>
                <w:rFonts w:cstheme="minorHAnsi"/>
                <w:szCs w:val="20"/>
              </w:rPr>
              <w:t>situational</w:t>
            </w:r>
          </w:p>
          <w:p w14:paraId="5C6C55D3" w14:textId="77777777" w:rsidR="000917AF" w:rsidRPr="00694163" w:rsidRDefault="000917AF" w:rsidP="00DF640B">
            <w:pPr>
              <w:pStyle w:val="ListBullet"/>
              <w:rPr>
                <w:rFonts w:cstheme="minorHAnsi"/>
                <w:szCs w:val="20"/>
              </w:rPr>
            </w:pPr>
            <w:r w:rsidRPr="00694163">
              <w:rPr>
                <w:rFonts w:cstheme="minorHAnsi"/>
                <w:szCs w:val="20"/>
              </w:rPr>
              <w:t>leadership traits needed in a cross-cultural setting, including:</w:t>
            </w:r>
          </w:p>
          <w:p w14:paraId="43255EA9" w14:textId="77777777" w:rsidR="000917AF" w:rsidRPr="00694163" w:rsidRDefault="000917AF" w:rsidP="00DF640B">
            <w:pPr>
              <w:pStyle w:val="ListBullet2"/>
              <w:rPr>
                <w:rFonts w:cstheme="minorHAnsi"/>
                <w:szCs w:val="20"/>
              </w:rPr>
            </w:pPr>
            <w:r w:rsidRPr="00694163">
              <w:rPr>
                <w:rFonts w:cstheme="minorHAnsi"/>
                <w:szCs w:val="20"/>
              </w:rPr>
              <w:t>skilled communicator</w:t>
            </w:r>
          </w:p>
          <w:p w14:paraId="0BAD5F86" w14:textId="77777777" w:rsidR="000917AF" w:rsidRPr="00694163" w:rsidRDefault="000917AF" w:rsidP="00DF640B">
            <w:pPr>
              <w:pStyle w:val="ListBullet2"/>
              <w:rPr>
                <w:rFonts w:cstheme="minorHAnsi"/>
                <w:szCs w:val="20"/>
              </w:rPr>
            </w:pPr>
            <w:r w:rsidRPr="00694163">
              <w:rPr>
                <w:rFonts w:cstheme="minorHAnsi"/>
                <w:szCs w:val="20"/>
              </w:rPr>
              <w:t>socially aware</w:t>
            </w:r>
          </w:p>
          <w:p w14:paraId="15366143" w14:textId="77777777" w:rsidR="000917AF" w:rsidRPr="00694163" w:rsidRDefault="000917AF" w:rsidP="00DF640B">
            <w:pPr>
              <w:pStyle w:val="ListBullet2"/>
              <w:rPr>
                <w:rFonts w:cstheme="minorHAnsi"/>
                <w:szCs w:val="20"/>
              </w:rPr>
            </w:pPr>
            <w:r w:rsidRPr="00694163">
              <w:rPr>
                <w:rFonts w:cstheme="minorHAnsi"/>
                <w:szCs w:val="20"/>
              </w:rPr>
              <w:t>skilled decision maker</w:t>
            </w:r>
          </w:p>
          <w:p w14:paraId="623E090D" w14:textId="77777777" w:rsidR="000917AF" w:rsidRPr="00694163" w:rsidRDefault="000917AF" w:rsidP="00DF640B">
            <w:pPr>
              <w:pStyle w:val="ListBullet2"/>
              <w:rPr>
                <w:rFonts w:cstheme="minorHAnsi"/>
                <w:szCs w:val="20"/>
              </w:rPr>
            </w:pPr>
            <w:r w:rsidRPr="00694163">
              <w:rPr>
                <w:rFonts w:cstheme="minorHAnsi"/>
                <w:szCs w:val="20"/>
              </w:rPr>
              <w:t>future thinker</w:t>
            </w:r>
          </w:p>
          <w:p w14:paraId="00EE1D08" w14:textId="77777777" w:rsidR="000917AF" w:rsidRPr="00694163" w:rsidRDefault="000917AF" w:rsidP="00DF640B">
            <w:pPr>
              <w:pStyle w:val="ListBullet2"/>
              <w:rPr>
                <w:rFonts w:cstheme="minorHAnsi"/>
                <w:szCs w:val="20"/>
              </w:rPr>
            </w:pPr>
            <w:r w:rsidRPr="00694163">
              <w:rPr>
                <w:rFonts w:cstheme="minorHAnsi"/>
                <w:szCs w:val="20"/>
              </w:rPr>
              <w:t>self-discipline</w:t>
            </w:r>
          </w:p>
          <w:p w14:paraId="49DC5F32" w14:textId="77777777" w:rsidR="000917AF" w:rsidRPr="00694163" w:rsidRDefault="000917AF" w:rsidP="00DF640B">
            <w:pPr>
              <w:pStyle w:val="ListBullet2"/>
              <w:rPr>
                <w:rFonts w:cstheme="minorHAnsi"/>
                <w:szCs w:val="20"/>
              </w:rPr>
            </w:pPr>
            <w:r w:rsidRPr="00694163">
              <w:rPr>
                <w:rFonts w:cstheme="minorHAnsi"/>
                <w:szCs w:val="20"/>
              </w:rPr>
              <w:t>responsible</w:t>
            </w:r>
          </w:p>
          <w:p w14:paraId="0AD80DE7" w14:textId="655855A9" w:rsidR="00D23B1C" w:rsidRPr="00694163" w:rsidRDefault="000917AF" w:rsidP="00DF640B">
            <w:pPr>
              <w:pStyle w:val="ListBullet2"/>
              <w:rPr>
                <w:rFonts w:cstheme="minorHAnsi"/>
                <w:szCs w:val="20"/>
              </w:rPr>
            </w:pPr>
            <w:r w:rsidRPr="00694163">
              <w:rPr>
                <w:rFonts w:cstheme="minorHAnsi"/>
                <w:szCs w:val="20"/>
              </w:rPr>
              <w:t>motivational</w:t>
            </w:r>
          </w:p>
        </w:tc>
      </w:tr>
      <w:tr w:rsidR="00A84FF1" w:rsidRPr="00A84FF1" w14:paraId="6FA14401" w14:textId="77777777" w:rsidTr="00451D64">
        <w:trPr>
          <w:trHeight w:val="20"/>
        </w:trPr>
        <w:tc>
          <w:tcPr>
            <w:tcW w:w="567" w:type="pct"/>
            <w:shd w:val="clear" w:color="auto" w:fill="E4D8EB" w:themeFill="accent4" w:themeFillTint="66"/>
            <w:vAlign w:val="center"/>
            <w:hideMark/>
          </w:tcPr>
          <w:p w14:paraId="3BBB3D46" w14:textId="6AE66D43" w:rsidR="004A6BED" w:rsidRPr="00694163" w:rsidRDefault="004B190B" w:rsidP="00DF640B">
            <w:pPr>
              <w:autoSpaceDE w:val="0"/>
              <w:autoSpaceDN w:val="0"/>
              <w:adjustRightInd w:val="0"/>
              <w:spacing w:after="0"/>
              <w:jc w:val="center"/>
              <w:rPr>
                <w:rFonts w:asciiTheme="minorHAnsi" w:hAnsiTheme="minorHAnsi" w:cstheme="minorHAnsi"/>
                <w:b/>
                <w:szCs w:val="20"/>
              </w:rPr>
            </w:pPr>
            <w:r w:rsidRPr="00694163">
              <w:rPr>
                <w:rFonts w:asciiTheme="minorHAnsi" w:hAnsiTheme="minorHAnsi" w:cstheme="minorHAnsi"/>
                <w:szCs w:val="20"/>
              </w:rPr>
              <w:t>4</w:t>
            </w:r>
            <w:r w:rsidR="00965E8D" w:rsidRPr="00694163">
              <w:rPr>
                <w:rFonts w:asciiTheme="minorHAnsi" w:hAnsiTheme="minorHAnsi" w:cstheme="minorHAnsi"/>
                <w:szCs w:val="20"/>
              </w:rPr>
              <w:t>–</w:t>
            </w:r>
            <w:r w:rsidRPr="00694163">
              <w:rPr>
                <w:rFonts w:asciiTheme="minorHAnsi" w:hAnsiTheme="minorHAnsi" w:cstheme="minorHAnsi"/>
                <w:szCs w:val="20"/>
              </w:rPr>
              <w:t>5</w:t>
            </w:r>
          </w:p>
        </w:tc>
        <w:tc>
          <w:tcPr>
            <w:tcW w:w="4433" w:type="pct"/>
            <w:gridSpan w:val="2"/>
          </w:tcPr>
          <w:p w14:paraId="192A85F7" w14:textId="77777777" w:rsidR="000917AF" w:rsidRPr="00694163" w:rsidRDefault="000917AF" w:rsidP="00DF640B">
            <w:pPr>
              <w:pStyle w:val="SCSATableHeadingnospace"/>
              <w:rPr>
                <w:szCs w:val="20"/>
              </w:rPr>
            </w:pPr>
            <w:r w:rsidRPr="00694163">
              <w:rPr>
                <w:szCs w:val="20"/>
              </w:rPr>
              <w:t>Environments: Political and legal, economic, socio-cultural and technological (PEST)</w:t>
            </w:r>
          </w:p>
          <w:p w14:paraId="0F621EEA" w14:textId="77777777" w:rsidR="00663095" w:rsidRPr="00694163" w:rsidRDefault="00663095" w:rsidP="00DF640B">
            <w:pPr>
              <w:pStyle w:val="ListBullet"/>
              <w:rPr>
                <w:rFonts w:cstheme="minorHAnsi"/>
                <w:szCs w:val="20"/>
              </w:rPr>
            </w:pPr>
            <w:r w:rsidRPr="00694163">
              <w:rPr>
                <w:rFonts w:cstheme="minorHAnsi"/>
                <w:szCs w:val="20"/>
              </w:rPr>
              <w:t>economic factors which impact on business operations in the global market, including:</w:t>
            </w:r>
          </w:p>
          <w:p w14:paraId="4248A3BD" w14:textId="77777777" w:rsidR="00663095" w:rsidRPr="00694163" w:rsidRDefault="00663095" w:rsidP="00DF640B">
            <w:pPr>
              <w:pStyle w:val="ListBullet2"/>
              <w:rPr>
                <w:rFonts w:cstheme="minorHAnsi"/>
                <w:szCs w:val="20"/>
              </w:rPr>
            </w:pPr>
            <w:r w:rsidRPr="00694163">
              <w:rPr>
                <w:rFonts w:cstheme="minorHAnsi"/>
                <w:szCs w:val="20"/>
              </w:rPr>
              <w:t>economic activity</w:t>
            </w:r>
          </w:p>
          <w:p w14:paraId="77BE745B" w14:textId="77777777" w:rsidR="00663095" w:rsidRPr="00694163" w:rsidRDefault="00663095" w:rsidP="00DF640B">
            <w:pPr>
              <w:pStyle w:val="ListBullet2"/>
              <w:rPr>
                <w:rFonts w:cstheme="minorHAnsi"/>
                <w:szCs w:val="20"/>
              </w:rPr>
            </w:pPr>
            <w:r w:rsidRPr="00694163">
              <w:rPr>
                <w:rFonts w:cstheme="minorHAnsi"/>
                <w:szCs w:val="20"/>
              </w:rPr>
              <w:t>discretionary spending</w:t>
            </w:r>
          </w:p>
          <w:p w14:paraId="6082BA12" w14:textId="77777777" w:rsidR="00663095" w:rsidRPr="00694163" w:rsidRDefault="00663095" w:rsidP="00DF640B">
            <w:pPr>
              <w:pStyle w:val="ListBullet2"/>
              <w:rPr>
                <w:rFonts w:cstheme="minorHAnsi"/>
                <w:szCs w:val="20"/>
              </w:rPr>
            </w:pPr>
            <w:r w:rsidRPr="00694163">
              <w:rPr>
                <w:rFonts w:cstheme="minorHAnsi"/>
                <w:szCs w:val="20"/>
              </w:rPr>
              <w:t>interest rates</w:t>
            </w:r>
          </w:p>
          <w:p w14:paraId="12293DDA" w14:textId="46F9E289" w:rsidR="00713378" w:rsidRPr="00694163" w:rsidRDefault="00663095" w:rsidP="00DF640B">
            <w:pPr>
              <w:pStyle w:val="ListBullet2"/>
              <w:rPr>
                <w:rFonts w:cstheme="minorHAnsi"/>
                <w:szCs w:val="20"/>
              </w:rPr>
            </w:pPr>
            <w:r w:rsidRPr="00694163">
              <w:rPr>
                <w:rFonts w:cstheme="minorHAnsi"/>
                <w:szCs w:val="20"/>
              </w:rPr>
              <w:t>currency fluctuations</w:t>
            </w:r>
          </w:p>
          <w:p w14:paraId="53368A98" w14:textId="77777777" w:rsidR="00713378" w:rsidRPr="00694163" w:rsidRDefault="00713378" w:rsidP="00DF640B">
            <w:pPr>
              <w:pStyle w:val="ListBullet"/>
              <w:rPr>
                <w:rFonts w:cstheme="minorHAnsi"/>
                <w:szCs w:val="20"/>
              </w:rPr>
            </w:pPr>
            <w:r w:rsidRPr="00694163">
              <w:rPr>
                <w:rFonts w:cstheme="minorHAnsi"/>
                <w:szCs w:val="20"/>
              </w:rPr>
              <w:t>political factors which impact on business operation in global markets, including:</w:t>
            </w:r>
          </w:p>
          <w:p w14:paraId="6E6FBE1C" w14:textId="77777777" w:rsidR="00713378" w:rsidRPr="00694163" w:rsidRDefault="00713378" w:rsidP="00DF640B">
            <w:pPr>
              <w:pStyle w:val="ListBullet2"/>
              <w:rPr>
                <w:rFonts w:cstheme="minorHAnsi"/>
                <w:szCs w:val="20"/>
              </w:rPr>
            </w:pPr>
            <w:r w:rsidRPr="00694163">
              <w:rPr>
                <w:rFonts w:cstheme="minorHAnsi"/>
                <w:szCs w:val="20"/>
              </w:rPr>
              <w:t>stability of foreign governments</w:t>
            </w:r>
          </w:p>
          <w:p w14:paraId="4FDD30A8" w14:textId="77777777" w:rsidR="00713378" w:rsidRPr="00694163" w:rsidRDefault="00713378" w:rsidP="00DF640B">
            <w:pPr>
              <w:pStyle w:val="ListBullet2"/>
              <w:rPr>
                <w:rFonts w:cstheme="minorHAnsi"/>
                <w:szCs w:val="20"/>
              </w:rPr>
            </w:pPr>
            <w:r w:rsidRPr="00694163">
              <w:rPr>
                <w:rFonts w:cstheme="minorHAnsi"/>
                <w:szCs w:val="20"/>
              </w:rPr>
              <w:t>relationship of foreign governments with the Australian Government</w:t>
            </w:r>
          </w:p>
          <w:p w14:paraId="73A079DD" w14:textId="77777777" w:rsidR="00713378" w:rsidRPr="00694163" w:rsidRDefault="00713378" w:rsidP="00DF640B">
            <w:pPr>
              <w:pStyle w:val="ListBullet"/>
              <w:rPr>
                <w:rFonts w:cstheme="minorHAnsi"/>
                <w:szCs w:val="20"/>
              </w:rPr>
            </w:pPr>
            <w:r w:rsidRPr="00694163">
              <w:rPr>
                <w:rFonts w:cstheme="minorHAnsi"/>
                <w:szCs w:val="20"/>
              </w:rPr>
              <w:t>impact of legal systems on business operation in global markets</w:t>
            </w:r>
          </w:p>
          <w:p w14:paraId="6E701582" w14:textId="77777777" w:rsidR="00713378" w:rsidRPr="00694163" w:rsidRDefault="00713378" w:rsidP="00DF640B">
            <w:pPr>
              <w:pStyle w:val="ListBullet2"/>
              <w:rPr>
                <w:rFonts w:cstheme="minorHAnsi"/>
                <w:szCs w:val="20"/>
              </w:rPr>
            </w:pPr>
            <w:r w:rsidRPr="00694163">
              <w:rPr>
                <w:rFonts w:cstheme="minorHAnsi"/>
                <w:szCs w:val="20"/>
              </w:rPr>
              <w:t>differences regarding competition regulation</w:t>
            </w:r>
          </w:p>
          <w:p w14:paraId="5CF610BD" w14:textId="77777777" w:rsidR="00713378" w:rsidRPr="00694163" w:rsidRDefault="00713378" w:rsidP="00DF640B">
            <w:pPr>
              <w:pStyle w:val="ListBullet3"/>
              <w:rPr>
                <w:rFonts w:cstheme="minorHAnsi"/>
                <w:szCs w:val="20"/>
              </w:rPr>
            </w:pPr>
            <w:r w:rsidRPr="00694163">
              <w:rPr>
                <w:rFonts w:cstheme="minorHAnsi"/>
                <w:szCs w:val="20"/>
              </w:rPr>
              <w:t>patent registrations</w:t>
            </w:r>
          </w:p>
          <w:p w14:paraId="66ED0DE1" w14:textId="77777777" w:rsidR="004A6BED" w:rsidRPr="00694163" w:rsidRDefault="00713378" w:rsidP="00DF640B">
            <w:pPr>
              <w:pStyle w:val="ListBullet3"/>
              <w:rPr>
                <w:rFonts w:cstheme="minorHAnsi"/>
                <w:szCs w:val="20"/>
              </w:rPr>
            </w:pPr>
            <w:r w:rsidRPr="00694163">
              <w:rPr>
                <w:rFonts w:cstheme="minorHAnsi"/>
                <w:szCs w:val="20"/>
              </w:rPr>
              <w:t>product liability</w:t>
            </w:r>
          </w:p>
          <w:p w14:paraId="2F3A6E2B" w14:textId="78F66CB3" w:rsidR="00D23B1C" w:rsidRPr="00694163" w:rsidRDefault="00D23B1C" w:rsidP="00DF640B">
            <w:pPr>
              <w:pStyle w:val="SCSATableHeading"/>
              <w:rPr>
                <w:szCs w:val="20"/>
              </w:rPr>
            </w:pPr>
            <w:r w:rsidRPr="00694163">
              <w:rPr>
                <w:szCs w:val="20"/>
              </w:rPr>
              <w:t xml:space="preserve">Task </w:t>
            </w:r>
            <w:r w:rsidR="00E04422" w:rsidRPr="00694163">
              <w:rPr>
                <w:szCs w:val="20"/>
              </w:rPr>
              <w:t>5</w:t>
            </w:r>
            <w:r w:rsidRPr="00694163">
              <w:rPr>
                <w:szCs w:val="20"/>
              </w:rPr>
              <w:t xml:space="preserve">: Response (Week </w:t>
            </w:r>
            <w:r w:rsidR="00E04422" w:rsidRPr="00694163">
              <w:rPr>
                <w:szCs w:val="20"/>
              </w:rPr>
              <w:t>5</w:t>
            </w:r>
            <w:r w:rsidRPr="00694163">
              <w:rPr>
                <w:szCs w:val="20"/>
              </w:rPr>
              <w:t>)</w:t>
            </w:r>
          </w:p>
        </w:tc>
      </w:tr>
      <w:tr w:rsidR="00F70383" w:rsidRPr="00A84FF1" w14:paraId="58AA63E8" w14:textId="77777777" w:rsidTr="00451D64">
        <w:trPr>
          <w:cantSplit/>
          <w:trHeight w:val="20"/>
        </w:trPr>
        <w:tc>
          <w:tcPr>
            <w:tcW w:w="567" w:type="pct"/>
            <w:shd w:val="clear" w:color="auto" w:fill="E4D8EB" w:themeFill="accent4" w:themeFillTint="66"/>
            <w:vAlign w:val="center"/>
          </w:tcPr>
          <w:p w14:paraId="18BAD925" w14:textId="41CFBCF5" w:rsidR="00F70383" w:rsidRPr="00694163" w:rsidRDefault="004B190B" w:rsidP="00DF640B">
            <w:pPr>
              <w:autoSpaceDE w:val="0"/>
              <w:autoSpaceDN w:val="0"/>
              <w:adjustRightInd w:val="0"/>
              <w:spacing w:after="0"/>
              <w:jc w:val="center"/>
              <w:rPr>
                <w:rFonts w:asciiTheme="minorHAnsi" w:hAnsiTheme="minorHAnsi" w:cstheme="minorHAnsi"/>
                <w:szCs w:val="20"/>
              </w:rPr>
            </w:pPr>
            <w:r w:rsidRPr="00694163">
              <w:rPr>
                <w:rFonts w:asciiTheme="minorHAnsi" w:hAnsiTheme="minorHAnsi" w:cstheme="minorHAnsi"/>
                <w:szCs w:val="20"/>
              </w:rPr>
              <w:lastRenderedPageBreak/>
              <w:t>6</w:t>
            </w:r>
            <w:r w:rsidR="00965E8D" w:rsidRPr="00694163">
              <w:rPr>
                <w:rFonts w:asciiTheme="minorHAnsi" w:hAnsiTheme="minorHAnsi" w:cstheme="minorHAnsi"/>
                <w:szCs w:val="20"/>
              </w:rPr>
              <w:t>–</w:t>
            </w:r>
            <w:r w:rsidRPr="00694163">
              <w:rPr>
                <w:rFonts w:asciiTheme="minorHAnsi" w:hAnsiTheme="minorHAnsi" w:cstheme="minorHAnsi"/>
                <w:szCs w:val="20"/>
              </w:rPr>
              <w:t>8</w:t>
            </w:r>
          </w:p>
        </w:tc>
        <w:tc>
          <w:tcPr>
            <w:tcW w:w="4433" w:type="pct"/>
            <w:gridSpan w:val="2"/>
          </w:tcPr>
          <w:p w14:paraId="532920CE" w14:textId="77777777" w:rsidR="00F70383" w:rsidRPr="00694163" w:rsidRDefault="00F70383" w:rsidP="00DF640B">
            <w:pPr>
              <w:pStyle w:val="SCSATableHeadingnospace"/>
              <w:rPr>
                <w:b w:val="0"/>
                <w:szCs w:val="20"/>
              </w:rPr>
            </w:pPr>
            <w:r w:rsidRPr="00694163">
              <w:rPr>
                <w:szCs w:val="20"/>
              </w:rPr>
              <w:t>Management: Strategic management</w:t>
            </w:r>
          </w:p>
          <w:p w14:paraId="6BDC59CC" w14:textId="77777777" w:rsidR="00F70383" w:rsidRPr="00694163" w:rsidRDefault="00F70383" w:rsidP="00DF640B">
            <w:pPr>
              <w:pStyle w:val="ListBullet"/>
              <w:rPr>
                <w:rFonts w:cstheme="minorHAnsi"/>
                <w:szCs w:val="20"/>
              </w:rPr>
            </w:pPr>
            <w:r w:rsidRPr="00694163">
              <w:rPr>
                <w:rFonts w:cstheme="minorHAnsi"/>
                <w:szCs w:val="20"/>
              </w:rPr>
              <w:t>purpose and intent of the strategic planning process</w:t>
            </w:r>
          </w:p>
          <w:p w14:paraId="7F6DD493" w14:textId="77777777" w:rsidR="00F70383" w:rsidRPr="00694163" w:rsidRDefault="00F70383" w:rsidP="00DF640B">
            <w:pPr>
              <w:pStyle w:val="ListBullet"/>
              <w:rPr>
                <w:rFonts w:cstheme="minorHAnsi"/>
                <w:szCs w:val="20"/>
              </w:rPr>
            </w:pPr>
            <w:r w:rsidRPr="00694163">
              <w:rPr>
                <w:rFonts w:cstheme="minorHAnsi"/>
                <w:szCs w:val="20"/>
              </w:rPr>
              <w:t>key features of strategic plans:</w:t>
            </w:r>
          </w:p>
          <w:p w14:paraId="33811A24" w14:textId="77777777" w:rsidR="00F70383" w:rsidRPr="00694163" w:rsidRDefault="00F70383" w:rsidP="00DF640B">
            <w:pPr>
              <w:pStyle w:val="ListBullet2"/>
              <w:rPr>
                <w:rFonts w:cstheme="minorHAnsi"/>
                <w:szCs w:val="20"/>
              </w:rPr>
            </w:pPr>
            <w:r w:rsidRPr="00694163">
              <w:rPr>
                <w:rFonts w:cstheme="minorHAnsi"/>
                <w:szCs w:val="20"/>
              </w:rPr>
              <w:t>mission and objectives</w:t>
            </w:r>
          </w:p>
          <w:p w14:paraId="7AD4B1F6" w14:textId="77777777" w:rsidR="00F70383" w:rsidRPr="00694163" w:rsidRDefault="00F70383" w:rsidP="00DF640B">
            <w:pPr>
              <w:pStyle w:val="ListBullet2"/>
              <w:rPr>
                <w:rFonts w:cstheme="minorHAnsi"/>
                <w:szCs w:val="20"/>
              </w:rPr>
            </w:pPr>
            <w:r w:rsidRPr="00694163">
              <w:rPr>
                <w:rFonts w:cstheme="minorHAnsi"/>
                <w:szCs w:val="20"/>
              </w:rPr>
              <w:t>environmental scan</w:t>
            </w:r>
          </w:p>
          <w:p w14:paraId="4CBC373B" w14:textId="77777777" w:rsidR="00F70383" w:rsidRPr="00694163" w:rsidRDefault="00F70383" w:rsidP="00DF640B">
            <w:pPr>
              <w:pStyle w:val="ListBullet3"/>
              <w:rPr>
                <w:rFonts w:cstheme="minorHAnsi"/>
                <w:szCs w:val="20"/>
              </w:rPr>
            </w:pPr>
            <w:r w:rsidRPr="00694163">
              <w:rPr>
                <w:rFonts w:cstheme="minorHAnsi"/>
                <w:szCs w:val="20"/>
              </w:rPr>
              <w:t>PEST</w:t>
            </w:r>
          </w:p>
          <w:p w14:paraId="6B9FBEDA" w14:textId="77777777" w:rsidR="00F70383" w:rsidRPr="00694163" w:rsidRDefault="00F70383" w:rsidP="00DF640B">
            <w:pPr>
              <w:pStyle w:val="ListBullet3"/>
              <w:rPr>
                <w:rFonts w:cstheme="minorHAnsi"/>
                <w:szCs w:val="20"/>
              </w:rPr>
            </w:pPr>
            <w:r w:rsidRPr="00694163">
              <w:rPr>
                <w:rFonts w:cstheme="minorHAnsi"/>
                <w:szCs w:val="20"/>
              </w:rPr>
              <w:t>Porter’s Five Forces</w:t>
            </w:r>
          </w:p>
          <w:p w14:paraId="6A69AB07" w14:textId="77777777" w:rsidR="00F70383" w:rsidRPr="00694163" w:rsidRDefault="00F70383" w:rsidP="00DF640B">
            <w:pPr>
              <w:pStyle w:val="ListBullet3"/>
              <w:rPr>
                <w:rFonts w:cstheme="minorHAnsi"/>
                <w:szCs w:val="20"/>
              </w:rPr>
            </w:pPr>
            <w:r w:rsidRPr="00694163">
              <w:rPr>
                <w:rFonts w:cstheme="minorHAnsi"/>
                <w:szCs w:val="20"/>
              </w:rPr>
              <w:t>Strengths, Weaknesses, Opportunities, Threats (SWOT) strategies</w:t>
            </w:r>
          </w:p>
          <w:p w14:paraId="72D312DE" w14:textId="77777777" w:rsidR="00F70383" w:rsidRPr="00694163" w:rsidRDefault="00F70383" w:rsidP="00DF640B">
            <w:pPr>
              <w:pStyle w:val="ListBullet2"/>
              <w:rPr>
                <w:rFonts w:cstheme="minorHAnsi"/>
                <w:szCs w:val="20"/>
              </w:rPr>
            </w:pPr>
            <w:r w:rsidRPr="00694163">
              <w:rPr>
                <w:rFonts w:cstheme="minorHAnsi"/>
                <w:szCs w:val="20"/>
              </w:rPr>
              <w:t>strategic formulation</w:t>
            </w:r>
          </w:p>
          <w:p w14:paraId="2687BAFF" w14:textId="77777777" w:rsidR="00F70383" w:rsidRPr="00694163" w:rsidRDefault="00F70383" w:rsidP="00DF640B">
            <w:pPr>
              <w:pStyle w:val="ListBullet2"/>
              <w:rPr>
                <w:rFonts w:cstheme="minorHAnsi"/>
                <w:szCs w:val="20"/>
              </w:rPr>
            </w:pPr>
            <w:r w:rsidRPr="00694163">
              <w:rPr>
                <w:rFonts w:cstheme="minorHAnsi"/>
                <w:szCs w:val="20"/>
              </w:rPr>
              <w:t>strategic implementation</w:t>
            </w:r>
          </w:p>
          <w:p w14:paraId="49F50AC1" w14:textId="2C02A531" w:rsidR="00297D94" w:rsidRPr="00694163" w:rsidRDefault="00F70383" w:rsidP="00DF640B">
            <w:pPr>
              <w:pStyle w:val="ListBullet2"/>
              <w:rPr>
                <w:rFonts w:cstheme="minorHAnsi"/>
                <w:szCs w:val="20"/>
              </w:rPr>
            </w:pPr>
            <w:r w:rsidRPr="00694163">
              <w:rPr>
                <w:rFonts w:cstheme="minorHAnsi"/>
                <w:szCs w:val="20"/>
              </w:rPr>
              <w:t>evaluation and control</w:t>
            </w:r>
          </w:p>
        </w:tc>
      </w:tr>
      <w:tr w:rsidR="00A84FF1" w:rsidRPr="00A84FF1" w14:paraId="1B6CB9A3" w14:textId="77777777" w:rsidTr="00451D64">
        <w:trPr>
          <w:trHeight w:val="20"/>
        </w:trPr>
        <w:tc>
          <w:tcPr>
            <w:tcW w:w="567" w:type="pct"/>
            <w:shd w:val="clear" w:color="auto" w:fill="E4D8EB" w:themeFill="accent4" w:themeFillTint="66"/>
            <w:vAlign w:val="center"/>
            <w:hideMark/>
          </w:tcPr>
          <w:p w14:paraId="1BC7944C" w14:textId="77777777" w:rsidR="004A6BED" w:rsidRPr="00694163" w:rsidRDefault="004B190B" w:rsidP="00DF640B">
            <w:pPr>
              <w:autoSpaceDE w:val="0"/>
              <w:autoSpaceDN w:val="0"/>
              <w:adjustRightInd w:val="0"/>
              <w:spacing w:after="0"/>
              <w:jc w:val="center"/>
              <w:rPr>
                <w:rFonts w:asciiTheme="minorHAnsi" w:hAnsiTheme="minorHAnsi" w:cstheme="minorHAnsi"/>
                <w:b/>
                <w:szCs w:val="20"/>
              </w:rPr>
            </w:pPr>
            <w:r w:rsidRPr="00694163">
              <w:rPr>
                <w:rFonts w:asciiTheme="minorHAnsi" w:hAnsiTheme="minorHAnsi" w:cstheme="minorHAnsi"/>
                <w:szCs w:val="20"/>
              </w:rPr>
              <w:t>9</w:t>
            </w:r>
          </w:p>
        </w:tc>
        <w:tc>
          <w:tcPr>
            <w:tcW w:w="4433" w:type="pct"/>
            <w:gridSpan w:val="2"/>
          </w:tcPr>
          <w:p w14:paraId="5290F95B" w14:textId="77777777" w:rsidR="00286D00" w:rsidRPr="00694163" w:rsidRDefault="00286D00" w:rsidP="00DF640B">
            <w:pPr>
              <w:pStyle w:val="SCSATableHeadingnospace"/>
              <w:rPr>
                <w:b w:val="0"/>
                <w:szCs w:val="20"/>
              </w:rPr>
            </w:pPr>
            <w:r w:rsidRPr="00694163">
              <w:rPr>
                <w:iCs/>
                <w:szCs w:val="20"/>
              </w:rPr>
              <w:t xml:space="preserve">Environments: </w:t>
            </w:r>
            <w:r w:rsidRPr="00694163">
              <w:rPr>
                <w:szCs w:val="20"/>
              </w:rPr>
              <w:t>Political and legal, economic, socio-cultural and technological (PEST)</w:t>
            </w:r>
          </w:p>
          <w:p w14:paraId="1EBAF86B" w14:textId="77777777" w:rsidR="00286D00" w:rsidRPr="00694163" w:rsidRDefault="00286D00" w:rsidP="00DF640B">
            <w:pPr>
              <w:pStyle w:val="ListBullet"/>
              <w:rPr>
                <w:rFonts w:cstheme="minorHAnsi"/>
                <w:szCs w:val="20"/>
              </w:rPr>
            </w:pPr>
            <w:r w:rsidRPr="00694163">
              <w:rPr>
                <w:rFonts w:cstheme="minorHAnsi"/>
                <w:szCs w:val="20"/>
              </w:rPr>
              <w:t>impact of technology on business operation in global markets, including:</w:t>
            </w:r>
          </w:p>
          <w:p w14:paraId="05D8EAFB" w14:textId="77777777" w:rsidR="00286D00" w:rsidRPr="00694163" w:rsidRDefault="00286D00" w:rsidP="00DF640B">
            <w:pPr>
              <w:pStyle w:val="ListBullet2"/>
              <w:rPr>
                <w:rFonts w:cstheme="minorHAnsi"/>
                <w:szCs w:val="20"/>
              </w:rPr>
            </w:pPr>
            <w:r w:rsidRPr="00694163">
              <w:rPr>
                <w:rFonts w:cstheme="minorHAnsi"/>
                <w:szCs w:val="20"/>
              </w:rPr>
              <w:t>technology that assists business in the expansion into global markets</w:t>
            </w:r>
          </w:p>
          <w:p w14:paraId="6DBB44F2" w14:textId="77777777" w:rsidR="00286D00" w:rsidRPr="00694163" w:rsidRDefault="00286D00" w:rsidP="00DF640B">
            <w:pPr>
              <w:pStyle w:val="ListBullet2"/>
              <w:rPr>
                <w:rFonts w:cstheme="minorHAnsi"/>
                <w:szCs w:val="20"/>
              </w:rPr>
            </w:pPr>
            <w:r w:rsidRPr="00694163">
              <w:rPr>
                <w:rFonts w:cstheme="minorHAnsi"/>
                <w:szCs w:val="20"/>
              </w:rPr>
              <w:t>e-commerce, security and privacy issues</w:t>
            </w:r>
          </w:p>
          <w:p w14:paraId="4450E6BC" w14:textId="77777777" w:rsidR="004A6BED" w:rsidRPr="00694163" w:rsidRDefault="004A6BED" w:rsidP="00DF640B">
            <w:pPr>
              <w:pStyle w:val="SCSATableHeading"/>
              <w:rPr>
                <w:b w:val="0"/>
                <w:bCs w:val="0"/>
                <w:szCs w:val="20"/>
              </w:rPr>
            </w:pPr>
            <w:r w:rsidRPr="00694163">
              <w:rPr>
                <w:szCs w:val="20"/>
              </w:rPr>
              <w:t>Management: Marketing</w:t>
            </w:r>
          </w:p>
          <w:p w14:paraId="6EB086A5" w14:textId="77777777" w:rsidR="00E324EA" w:rsidRPr="00694163" w:rsidRDefault="00E324EA" w:rsidP="00DF640B">
            <w:pPr>
              <w:pStyle w:val="ListBullet"/>
              <w:rPr>
                <w:rFonts w:cstheme="minorHAnsi"/>
                <w:szCs w:val="20"/>
              </w:rPr>
            </w:pPr>
            <w:r w:rsidRPr="00694163">
              <w:rPr>
                <w:rFonts w:cstheme="minorHAnsi"/>
                <w:szCs w:val="20"/>
              </w:rPr>
              <w:t>use of technology in global markets, including:</w:t>
            </w:r>
          </w:p>
          <w:p w14:paraId="052A6BAB" w14:textId="77777777" w:rsidR="00E324EA" w:rsidRPr="00694163" w:rsidRDefault="00E324EA" w:rsidP="00DF640B">
            <w:pPr>
              <w:pStyle w:val="ListBullet2"/>
              <w:rPr>
                <w:rFonts w:cstheme="minorHAnsi"/>
                <w:szCs w:val="20"/>
              </w:rPr>
            </w:pPr>
            <w:r w:rsidRPr="00694163">
              <w:rPr>
                <w:rFonts w:cstheme="minorHAnsi"/>
                <w:szCs w:val="20"/>
              </w:rPr>
              <w:t>distribution of products</w:t>
            </w:r>
          </w:p>
          <w:p w14:paraId="47713F2F" w14:textId="77777777" w:rsidR="00E324EA" w:rsidRPr="00694163" w:rsidRDefault="00E324EA" w:rsidP="00DF640B">
            <w:pPr>
              <w:pStyle w:val="ListBullet2"/>
              <w:rPr>
                <w:rFonts w:cstheme="minorHAnsi"/>
                <w:szCs w:val="20"/>
              </w:rPr>
            </w:pPr>
            <w:r w:rsidRPr="00694163">
              <w:rPr>
                <w:rFonts w:cstheme="minorHAnsi"/>
                <w:szCs w:val="20"/>
              </w:rPr>
              <w:t>e-commerce</w:t>
            </w:r>
          </w:p>
          <w:p w14:paraId="5E91D387" w14:textId="77777777" w:rsidR="004A6BED" w:rsidRPr="00694163" w:rsidRDefault="00E324EA" w:rsidP="00DF640B">
            <w:pPr>
              <w:pStyle w:val="ListBullet2"/>
              <w:rPr>
                <w:rFonts w:cstheme="minorHAnsi"/>
                <w:szCs w:val="20"/>
              </w:rPr>
            </w:pPr>
            <w:r w:rsidRPr="00694163">
              <w:rPr>
                <w:rFonts w:cstheme="minorHAnsi"/>
                <w:szCs w:val="20"/>
              </w:rPr>
              <w:t>social media campaigns</w:t>
            </w:r>
            <w:r w:rsidR="0093178A" w:rsidRPr="00694163">
              <w:rPr>
                <w:rFonts w:cstheme="minorHAnsi"/>
                <w:szCs w:val="20"/>
              </w:rPr>
              <w:t xml:space="preserve"> </w:t>
            </w:r>
          </w:p>
        </w:tc>
      </w:tr>
      <w:tr w:rsidR="00A84FF1" w:rsidRPr="00A84FF1" w14:paraId="2F89B997" w14:textId="77777777" w:rsidTr="00451D64">
        <w:trPr>
          <w:trHeight w:val="20"/>
        </w:trPr>
        <w:tc>
          <w:tcPr>
            <w:tcW w:w="567" w:type="pct"/>
            <w:shd w:val="clear" w:color="auto" w:fill="E4D8EB" w:themeFill="accent4" w:themeFillTint="66"/>
            <w:vAlign w:val="center"/>
            <w:hideMark/>
          </w:tcPr>
          <w:p w14:paraId="351A62A7" w14:textId="05D4680D" w:rsidR="009C0C49" w:rsidRPr="00694163" w:rsidRDefault="004C4EB1" w:rsidP="00DF640B">
            <w:pPr>
              <w:autoSpaceDE w:val="0"/>
              <w:autoSpaceDN w:val="0"/>
              <w:adjustRightInd w:val="0"/>
              <w:spacing w:after="0"/>
              <w:jc w:val="center"/>
              <w:rPr>
                <w:rFonts w:asciiTheme="minorHAnsi" w:hAnsiTheme="minorHAnsi" w:cstheme="minorHAnsi"/>
                <w:b/>
                <w:szCs w:val="20"/>
              </w:rPr>
            </w:pPr>
            <w:r w:rsidRPr="00694163">
              <w:rPr>
                <w:rFonts w:asciiTheme="minorHAnsi" w:hAnsiTheme="minorHAnsi" w:cstheme="minorHAnsi"/>
                <w:szCs w:val="20"/>
              </w:rPr>
              <w:t>1</w:t>
            </w:r>
            <w:r w:rsidR="004B190B" w:rsidRPr="00694163">
              <w:rPr>
                <w:rFonts w:asciiTheme="minorHAnsi" w:hAnsiTheme="minorHAnsi" w:cstheme="minorHAnsi"/>
                <w:szCs w:val="20"/>
              </w:rPr>
              <w:t>0</w:t>
            </w:r>
            <w:r w:rsidR="00965E8D" w:rsidRPr="00694163">
              <w:rPr>
                <w:rFonts w:asciiTheme="minorHAnsi" w:hAnsiTheme="minorHAnsi" w:cstheme="minorHAnsi"/>
                <w:szCs w:val="20"/>
              </w:rPr>
              <w:t>–</w:t>
            </w:r>
            <w:r w:rsidR="00434D5F" w:rsidRPr="00694163">
              <w:rPr>
                <w:rFonts w:asciiTheme="minorHAnsi" w:hAnsiTheme="minorHAnsi" w:cstheme="minorHAnsi"/>
                <w:szCs w:val="20"/>
              </w:rPr>
              <w:t>1</w:t>
            </w:r>
            <w:r w:rsidR="004B190B" w:rsidRPr="00694163">
              <w:rPr>
                <w:rFonts w:asciiTheme="minorHAnsi" w:hAnsiTheme="minorHAnsi" w:cstheme="minorHAnsi"/>
                <w:szCs w:val="20"/>
              </w:rPr>
              <w:t>1</w:t>
            </w:r>
          </w:p>
        </w:tc>
        <w:tc>
          <w:tcPr>
            <w:tcW w:w="4433" w:type="pct"/>
            <w:gridSpan w:val="2"/>
          </w:tcPr>
          <w:p w14:paraId="50478299" w14:textId="77777777" w:rsidR="00434D5F" w:rsidRPr="00694163" w:rsidRDefault="00434D5F" w:rsidP="00DF640B">
            <w:pPr>
              <w:pStyle w:val="SCSATableHeadingnospace"/>
              <w:rPr>
                <w:b w:val="0"/>
                <w:szCs w:val="20"/>
              </w:rPr>
            </w:pPr>
            <w:r w:rsidRPr="00694163">
              <w:rPr>
                <w:szCs w:val="20"/>
              </w:rPr>
              <w:t>Management: Operations</w:t>
            </w:r>
          </w:p>
          <w:p w14:paraId="626A10EE" w14:textId="77777777" w:rsidR="00434D5F" w:rsidRPr="00694163" w:rsidRDefault="00434D5F" w:rsidP="00DF640B">
            <w:pPr>
              <w:pStyle w:val="ListBullet"/>
              <w:rPr>
                <w:rFonts w:cstheme="minorHAnsi"/>
                <w:szCs w:val="20"/>
              </w:rPr>
            </w:pPr>
            <w:r w:rsidRPr="00694163">
              <w:rPr>
                <w:rFonts w:cstheme="minorHAnsi"/>
                <w:szCs w:val="20"/>
              </w:rPr>
              <w:t>purpose of production management systems</w:t>
            </w:r>
          </w:p>
          <w:p w14:paraId="1A186323" w14:textId="77777777" w:rsidR="00434D5F" w:rsidRPr="00694163" w:rsidRDefault="00434D5F" w:rsidP="00DF640B">
            <w:pPr>
              <w:pStyle w:val="ListBullet"/>
              <w:rPr>
                <w:rFonts w:cstheme="minorHAnsi"/>
                <w:szCs w:val="20"/>
              </w:rPr>
            </w:pPr>
            <w:r w:rsidRPr="00694163">
              <w:rPr>
                <w:rFonts w:cstheme="minorHAnsi"/>
                <w:szCs w:val="20"/>
              </w:rPr>
              <w:t>features of product development</w:t>
            </w:r>
          </w:p>
          <w:p w14:paraId="34A0060A" w14:textId="77777777" w:rsidR="00434D5F" w:rsidRPr="00694163" w:rsidRDefault="00434D5F" w:rsidP="00DF640B">
            <w:pPr>
              <w:pStyle w:val="ListBullet"/>
              <w:rPr>
                <w:rFonts w:cstheme="minorHAnsi"/>
                <w:szCs w:val="20"/>
              </w:rPr>
            </w:pPr>
            <w:r w:rsidRPr="00694163">
              <w:rPr>
                <w:rFonts w:cstheme="minorHAnsi"/>
                <w:szCs w:val="20"/>
              </w:rPr>
              <w:t>features of quality management</w:t>
            </w:r>
          </w:p>
          <w:p w14:paraId="7A147CAE" w14:textId="77777777" w:rsidR="00434D5F" w:rsidRPr="00694163" w:rsidRDefault="00434D5F" w:rsidP="00DF640B">
            <w:pPr>
              <w:pStyle w:val="ListBullet2"/>
              <w:rPr>
                <w:rFonts w:cstheme="minorHAnsi"/>
                <w:szCs w:val="20"/>
              </w:rPr>
            </w:pPr>
            <w:r w:rsidRPr="00694163">
              <w:rPr>
                <w:rFonts w:cstheme="minorHAnsi"/>
                <w:szCs w:val="20"/>
              </w:rPr>
              <w:t>control</w:t>
            </w:r>
          </w:p>
          <w:p w14:paraId="7F001140" w14:textId="77777777" w:rsidR="00434D5F" w:rsidRPr="00694163" w:rsidRDefault="00434D5F" w:rsidP="00DF640B">
            <w:pPr>
              <w:pStyle w:val="ListBullet2"/>
              <w:rPr>
                <w:rFonts w:cstheme="minorHAnsi"/>
                <w:szCs w:val="20"/>
              </w:rPr>
            </w:pPr>
            <w:r w:rsidRPr="00694163">
              <w:rPr>
                <w:rFonts w:cstheme="minorHAnsi"/>
                <w:szCs w:val="20"/>
              </w:rPr>
              <w:t>assurance</w:t>
            </w:r>
          </w:p>
          <w:p w14:paraId="40A2AFC6" w14:textId="77777777" w:rsidR="00434D5F" w:rsidRPr="00694163" w:rsidRDefault="00434D5F" w:rsidP="00DF640B">
            <w:pPr>
              <w:pStyle w:val="ListBullet2"/>
              <w:rPr>
                <w:rFonts w:cstheme="minorHAnsi"/>
                <w:szCs w:val="20"/>
              </w:rPr>
            </w:pPr>
            <w:r w:rsidRPr="00694163">
              <w:rPr>
                <w:rFonts w:cstheme="minorHAnsi"/>
                <w:szCs w:val="20"/>
              </w:rPr>
              <w:t>improvement</w:t>
            </w:r>
          </w:p>
          <w:p w14:paraId="3C3E0B95" w14:textId="77777777" w:rsidR="00434D5F" w:rsidRPr="00694163" w:rsidRDefault="00434D5F" w:rsidP="00DF640B">
            <w:pPr>
              <w:pStyle w:val="ListBullet"/>
              <w:rPr>
                <w:rFonts w:cstheme="minorHAnsi"/>
                <w:szCs w:val="20"/>
              </w:rPr>
            </w:pPr>
            <w:r w:rsidRPr="00694163">
              <w:rPr>
                <w:rFonts w:cstheme="minorHAnsi"/>
                <w:szCs w:val="20"/>
              </w:rPr>
              <w:t>inventory control techniques</w:t>
            </w:r>
          </w:p>
          <w:p w14:paraId="334F2600" w14:textId="77777777" w:rsidR="00434D5F" w:rsidRPr="00694163" w:rsidRDefault="00434D5F" w:rsidP="00DF640B">
            <w:pPr>
              <w:pStyle w:val="ListBullet2"/>
              <w:rPr>
                <w:rFonts w:cstheme="minorHAnsi"/>
                <w:szCs w:val="20"/>
              </w:rPr>
            </w:pPr>
            <w:r w:rsidRPr="00694163">
              <w:rPr>
                <w:rFonts w:cstheme="minorHAnsi"/>
                <w:szCs w:val="20"/>
              </w:rPr>
              <w:t>just-in-time</w:t>
            </w:r>
          </w:p>
          <w:p w14:paraId="7E71A3CA" w14:textId="77777777" w:rsidR="00B60791" w:rsidRPr="00694163" w:rsidRDefault="00434D5F" w:rsidP="00DF640B">
            <w:pPr>
              <w:pStyle w:val="ListBullet2"/>
              <w:rPr>
                <w:rFonts w:cstheme="minorHAnsi"/>
                <w:szCs w:val="20"/>
              </w:rPr>
            </w:pPr>
            <w:r w:rsidRPr="00694163">
              <w:rPr>
                <w:rFonts w:cstheme="minorHAnsi"/>
                <w:szCs w:val="20"/>
              </w:rPr>
              <w:t>just-in-case</w:t>
            </w:r>
          </w:p>
          <w:p w14:paraId="68A57BC2" w14:textId="7FBA3680" w:rsidR="00297D94" w:rsidRPr="00694163" w:rsidRDefault="00297D94" w:rsidP="00DF640B">
            <w:pPr>
              <w:pStyle w:val="SCSATableHeading"/>
              <w:rPr>
                <w:b w:val="0"/>
                <w:bCs w:val="0"/>
                <w:szCs w:val="20"/>
              </w:rPr>
            </w:pPr>
            <w:r w:rsidRPr="00694163">
              <w:rPr>
                <w:szCs w:val="20"/>
              </w:rPr>
              <w:t xml:space="preserve">Task </w:t>
            </w:r>
            <w:r w:rsidR="00520FC8" w:rsidRPr="00694163">
              <w:rPr>
                <w:szCs w:val="20"/>
              </w:rPr>
              <w:t>6</w:t>
            </w:r>
            <w:r w:rsidRPr="00694163">
              <w:rPr>
                <w:szCs w:val="20"/>
              </w:rPr>
              <w:t>: Business Research (Weeks 1</w:t>
            </w:r>
            <w:r w:rsidR="00520FC8" w:rsidRPr="00694163">
              <w:rPr>
                <w:szCs w:val="20"/>
              </w:rPr>
              <w:t>0</w:t>
            </w:r>
            <w:r w:rsidR="00965E8D" w:rsidRPr="00694163">
              <w:rPr>
                <w:szCs w:val="20"/>
              </w:rPr>
              <w:t>–</w:t>
            </w:r>
            <w:r w:rsidRPr="00694163">
              <w:rPr>
                <w:szCs w:val="20"/>
              </w:rPr>
              <w:t>1</w:t>
            </w:r>
            <w:r w:rsidR="00520FC8" w:rsidRPr="00694163">
              <w:rPr>
                <w:szCs w:val="20"/>
              </w:rPr>
              <w:t>1</w:t>
            </w:r>
            <w:r w:rsidRPr="00694163">
              <w:rPr>
                <w:szCs w:val="20"/>
              </w:rPr>
              <w:t>)</w:t>
            </w:r>
          </w:p>
        </w:tc>
      </w:tr>
      <w:tr w:rsidR="00434D5F" w:rsidRPr="00A84FF1" w14:paraId="51F53F20" w14:textId="77777777" w:rsidTr="00451D64">
        <w:trPr>
          <w:trHeight w:val="20"/>
        </w:trPr>
        <w:tc>
          <w:tcPr>
            <w:tcW w:w="567" w:type="pct"/>
            <w:shd w:val="clear" w:color="auto" w:fill="E4D8EB" w:themeFill="accent4" w:themeFillTint="66"/>
            <w:vAlign w:val="center"/>
          </w:tcPr>
          <w:p w14:paraId="51A18FD9" w14:textId="77777777" w:rsidR="00434D5F" w:rsidRPr="00694163" w:rsidRDefault="00434D5F" w:rsidP="00DF640B">
            <w:pPr>
              <w:spacing w:after="0"/>
              <w:jc w:val="center"/>
              <w:rPr>
                <w:rFonts w:asciiTheme="minorHAnsi" w:hAnsiTheme="minorHAnsi" w:cstheme="minorHAnsi"/>
                <w:szCs w:val="20"/>
              </w:rPr>
            </w:pPr>
            <w:r w:rsidRPr="00694163">
              <w:rPr>
                <w:rFonts w:asciiTheme="minorHAnsi" w:hAnsiTheme="minorHAnsi" w:cstheme="minorHAnsi"/>
                <w:szCs w:val="20"/>
              </w:rPr>
              <w:t>1</w:t>
            </w:r>
            <w:r w:rsidR="004B190B" w:rsidRPr="00694163">
              <w:rPr>
                <w:rFonts w:asciiTheme="minorHAnsi" w:hAnsiTheme="minorHAnsi" w:cstheme="minorHAnsi"/>
                <w:szCs w:val="20"/>
              </w:rPr>
              <w:t>2</w:t>
            </w:r>
          </w:p>
        </w:tc>
        <w:tc>
          <w:tcPr>
            <w:tcW w:w="4433" w:type="pct"/>
            <w:gridSpan w:val="2"/>
          </w:tcPr>
          <w:p w14:paraId="3E18684D" w14:textId="4CF275B0" w:rsidR="00434D5F" w:rsidRPr="00694163" w:rsidRDefault="00434D5F" w:rsidP="00DF640B">
            <w:pPr>
              <w:pStyle w:val="SCSATableHeadingnospace"/>
              <w:rPr>
                <w:szCs w:val="20"/>
              </w:rPr>
            </w:pPr>
            <w:r w:rsidRPr="00694163">
              <w:rPr>
                <w:szCs w:val="20"/>
              </w:rPr>
              <w:t>Environments: Political and legal, economic, socio-cultural and technological (PEST)</w:t>
            </w:r>
          </w:p>
          <w:p w14:paraId="49661E19" w14:textId="77777777" w:rsidR="00434D5F" w:rsidRPr="00694163" w:rsidRDefault="00434D5F" w:rsidP="00DF640B">
            <w:pPr>
              <w:pStyle w:val="ListBullet"/>
              <w:rPr>
                <w:rFonts w:cstheme="minorHAnsi"/>
                <w:szCs w:val="20"/>
              </w:rPr>
            </w:pPr>
            <w:r w:rsidRPr="00694163">
              <w:rPr>
                <w:rFonts w:cstheme="minorHAnsi"/>
                <w:szCs w:val="20"/>
              </w:rPr>
              <w:t>types of financial institutions, including:</w:t>
            </w:r>
          </w:p>
          <w:p w14:paraId="6D9D93E6" w14:textId="77777777" w:rsidR="00434D5F" w:rsidRPr="00694163" w:rsidRDefault="00434D5F" w:rsidP="00DF640B">
            <w:pPr>
              <w:pStyle w:val="ListBullet2"/>
              <w:rPr>
                <w:rFonts w:cstheme="minorHAnsi"/>
                <w:szCs w:val="20"/>
              </w:rPr>
            </w:pPr>
            <w:r w:rsidRPr="00694163">
              <w:rPr>
                <w:rFonts w:cstheme="minorHAnsi"/>
                <w:szCs w:val="20"/>
              </w:rPr>
              <w:t>banks</w:t>
            </w:r>
          </w:p>
          <w:p w14:paraId="513FD132" w14:textId="77777777" w:rsidR="00434D5F" w:rsidRPr="00694163" w:rsidRDefault="00434D5F" w:rsidP="00DF640B">
            <w:pPr>
              <w:pStyle w:val="ListBullet2"/>
              <w:rPr>
                <w:rFonts w:cstheme="minorHAnsi"/>
                <w:szCs w:val="20"/>
              </w:rPr>
            </w:pPr>
            <w:r w:rsidRPr="00694163">
              <w:rPr>
                <w:rFonts w:cstheme="minorHAnsi"/>
                <w:szCs w:val="20"/>
              </w:rPr>
              <w:t>finance companies</w:t>
            </w:r>
          </w:p>
          <w:p w14:paraId="184941B6" w14:textId="77777777" w:rsidR="00434D5F" w:rsidRPr="00694163" w:rsidRDefault="00434D5F" w:rsidP="00DF640B">
            <w:pPr>
              <w:pStyle w:val="ListBullet"/>
              <w:rPr>
                <w:rFonts w:cstheme="minorHAnsi"/>
                <w:szCs w:val="20"/>
              </w:rPr>
            </w:pPr>
            <w:r w:rsidRPr="00694163">
              <w:rPr>
                <w:rFonts w:cstheme="minorHAnsi"/>
                <w:szCs w:val="20"/>
              </w:rPr>
              <w:t>sources of internal funding, including:</w:t>
            </w:r>
          </w:p>
          <w:p w14:paraId="4D6A8EBA" w14:textId="77777777" w:rsidR="00434D5F" w:rsidRPr="00694163" w:rsidRDefault="00434D5F" w:rsidP="00DF640B">
            <w:pPr>
              <w:pStyle w:val="ListBullet2"/>
              <w:rPr>
                <w:rFonts w:cstheme="minorHAnsi"/>
                <w:szCs w:val="20"/>
              </w:rPr>
            </w:pPr>
            <w:r w:rsidRPr="00694163">
              <w:rPr>
                <w:rFonts w:cstheme="minorHAnsi"/>
                <w:szCs w:val="20"/>
              </w:rPr>
              <w:t>retained profits</w:t>
            </w:r>
          </w:p>
          <w:p w14:paraId="0BF24479" w14:textId="77777777" w:rsidR="00434D5F" w:rsidRPr="00694163" w:rsidRDefault="00434D5F" w:rsidP="00DF640B">
            <w:pPr>
              <w:pStyle w:val="ListBullet"/>
              <w:rPr>
                <w:rFonts w:cstheme="minorHAnsi"/>
                <w:szCs w:val="20"/>
              </w:rPr>
            </w:pPr>
            <w:r w:rsidRPr="00694163">
              <w:rPr>
                <w:rFonts w:cstheme="minorHAnsi"/>
                <w:szCs w:val="20"/>
              </w:rPr>
              <w:t>sources of external funding, including:</w:t>
            </w:r>
          </w:p>
          <w:p w14:paraId="683993B2" w14:textId="77777777" w:rsidR="00434D5F" w:rsidRPr="00694163" w:rsidRDefault="00434D5F" w:rsidP="00DF640B">
            <w:pPr>
              <w:pStyle w:val="ListBullet2"/>
              <w:rPr>
                <w:rFonts w:cstheme="minorHAnsi"/>
                <w:szCs w:val="20"/>
              </w:rPr>
            </w:pPr>
            <w:r w:rsidRPr="00694163">
              <w:rPr>
                <w:rFonts w:cstheme="minorHAnsi"/>
                <w:szCs w:val="20"/>
              </w:rPr>
              <w:t>debentures</w:t>
            </w:r>
          </w:p>
          <w:p w14:paraId="03E40748" w14:textId="77777777" w:rsidR="00434D5F" w:rsidRPr="00694163" w:rsidRDefault="00434D5F" w:rsidP="00DF640B">
            <w:pPr>
              <w:pStyle w:val="ListBullet2"/>
              <w:rPr>
                <w:rFonts w:cstheme="minorHAnsi"/>
                <w:szCs w:val="20"/>
              </w:rPr>
            </w:pPr>
            <w:r w:rsidRPr="00694163">
              <w:rPr>
                <w:rFonts w:cstheme="minorHAnsi"/>
                <w:szCs w:val="20"/>
              </w:rPr>
              <w:t>share capital</w:t>
            </w:r>
          </w:p>
          <w:p w14:paraId="5DF8130C" w14:textId="77777777" w:rsidR="00434D5F" w:rsidRPr="00694163" w:rsidRDefault="00434D5F" w:rsidP="00DF640B">
            <w:pPr>
              <w:pStyle w:val="ListBullet2"/>
              <w:rPr>
                <w:rFonts w:cstheme="minorHAnsi"/>
                <w:szCs w:val="20"/>
              </w:rPr>
            </w:pPr>
            <w:r w:rsidRPr="00694163">
              <w:rPr>
                <w:rFonts w:cstheme="minorHAnsi"/>
                <w:szCs w:val="20"/>
              </w:rPr>
              <w:t>trade credit</w:t>
            </w:r>
          </w:p>
          <w:p w14:paraId="10FF8E8D" w14:textId="77777777" w:rsidR="00434D5F" w:rsidRPr="00694163" w:rsidRDefault="00434D5F" w:rsidP="00DF640B">
            <w:pPr>
              <w:pStyle w:val="ListBullet2"/>
              <w:rPr>
                <w:rFonts w:cstheme="minorHAnsi"/>
                <w:szCs w:val="20"/>
              </w:rPr>
            </w:pPr>
            <w:r w:rsidRPr="00694163">
              <w:rPr>
                <w:rFonts w:cstheme="minorHAnsi"/>
                <w:szCs w:val="20"/>
              </w:rPr>
              <w:t>venture capital</w:t>
            </w:r>
          </w:p>
          <w:p w14:paraId="370C6CDF" w14:textId="77777777" w:rsidR="00434D5F" w:rsidRPr="00694163" w:rsidRDefault="00434D5F" w:rsidP="00DF640B">
            <w:pPr>
              <w:pStyle w:val="ListBullet2"/>
              <w:rPr>
                <w:rFonts w:cstheme="minorHAnsi"/>
                <w:szCs w:val="20"/>
              </w:rPr>
            </w:pPr>
            <w:r w:rsidRPr="00694163">
              <w:rPr>
                <w:rFonts w:cstheme="minorHAnsi"/>
                <w:szCs w:val="20"/>
              </w:rPr>
              <w:t>secured loans</w:t>
            </w:r>
          </w:p>
          <w:p w14:paraId="72B982F2" w14:textId="77777777" w:rsidR="00434D5F" w:rsidRPr="00694163" w:rsidRDefault="00434D5F" w:rsidP="00DF640B">
            <w:pPr>
              <w:pStyle w:val="ListBullet2"/>
              <w:rPr>
                <w:rFonts w:cstheme="minorHAnsi"/>
                <w:szCs w:val="20"/>
              </w:rPr>
            </w:pPr>
            <w:r w:rsidRPr="00694163">
              <w:rPr>
                <w:rFonts w:cstheme="minorHAnsi"/>
                <w:szCs w:val="20"/>
              </w:rPr>
              <w:t>financial institutions</w:t>
            </w:r>
          </w:p>
          <w:p w14:paraId="51E1793F" w14:textId="77777777" w:rsidR="00434D5F" w:rsidRPr="00694163" w:rsidRDefault="00434D5F" w:rsidP="00DF640B">
            <w:pPr>
              <w:pStyle w:val="ListBullet2"/>
              <w:rPr>
                <w:rFonts w:cstheme="minorHAnsi"/>
                <w:szCs w:val="20"/>
              </w:rPr>
            </w:pPr>
            <w:r w:rsidRPr="00694163">
              <w:rPr>
                <w:rFonts w:cstheme="minorHAnsi"/>
                <w:szCs w:val="20"/>
              </w:rPr>
              <w:t>government</w:t>
            </w:r>
          </w:p>
        </w:tc>
      </w:tr>
      <w:tr w:rsidR="00A84FF1" w:rsidRPr="00694163" w14:paraId="7E51A212" w14:textId="77777777" w:rsidTr="00451D64">
        <w:trPr>
          <w:gridAfter w:val="1"/>
          <w:wAfter w:w="5" w:type="pct"/>
          <w:trHeight w:val="20"/>
        </w:trPr>
        <w:tc>
          <w:tcPr>
            <w:tcW w:w="567" w:type="pct"/>
            <w:shd w:val="clear" w:color="auto" w:fill="E4D8EB" w:themeFill="accent4" w:themeFillTint="66"/>
            <w:vAlign w:val="center"/>
          </w:tcPr>
          <w:p w14:paraId="1F6E74F3" w14:textId="6172470E" w:rsidR="00A960D1" w:rsidRPr="00694163" w:rsidRDefault="00434D5F" w:rsidP="00DF640B">
            <w:pPr>
              <w:spacing w:after="0"/>
              <w:jc w:val="center"/>
              <w:rPr>
                <w:rFonts w:asciiTheme="minorHAnsi" w:hAnsiTheme="minorHAnsi" w:cstheme="minorHAnsi"/>
                <w:szCs w:val="20"/>
              </w:rPr>
            </w:pPr>
            <w:r w:rsidRPr="00694163">
              <w:rPr>
                <w:rFonts w:asciiTheme="minorHAnsi" w:hAnsiTheme="minorHAnsi" w:cstheme="minorHAnsi"/>
                <w:szCs w:val="20"/>
              </w:rPr>
              <w:t>1</w:t>
            </w:r>
            <w:r w:rsidR="004B190B" w:rsidRPr="00694163">
              <w:rPr>
                <w:rFonts w:asciiTheme="minorHAnsi" w:hAnsiTheme="minorHAnsi" w:cstheme="minorHAnsi"/>
                <w:szCs w:val="20"/>
              </w:rPr>
              <w:t>3</w:t>
            </w:r>
            <w:r w:rsidR="00965E8D" w:rsidRPr="00694163">
              <w:rPr>
                <w:rFonts w:asciiTheme="minorHAnsi" w:hAnsiTheme="minorHAnsi" w:cstheme="minorHAnsi"/>
                <w:szCs w:val="20"/>
              </w:rPr>
              <w:t>–</w:t>
            </w:r>
            <w:r w:rsidRPr="00694163">
              <w:rPr>
                <w:rFonts w:asciiTheme="minorHAnsi" w:hAnsiTheme="minorHAnsi" w:cstheme="minorHAnsi"/>
                <w:szCs w:val="20"/>
              </w:rPr>
              <w:t>1</w:t>
            </w:r>
            <w:r w:rsidR="004B190B" w:rsidRPr="00694163">
              <w:rPr>
                <w:rFonts w:asciiTheme="minorHAnsi" w:hAnsiTheme="minorHAnsi" w:cstheme="minorHAnsi"/>
                <w:szCs w:val="20"/>
              </w:rPr>
              <w:t>4</w:t>
            </w:r>
          </w:p>
        </w:tc>
        <w:tc>
          <w:tcPr>
            <w:tcW w:w="4428" w:type="pct"/>
          </w:tcPr>
          <w:p w14:paraId="6B89602C" w14:textId="77777777" w:rsidR="00434D5F" w:rsidRPr="00694163" w:rsidRDefault="00434D5F" w:rsidP="00DF640B">
            <w:pPr>
              <w:pStyle w:val="SCSATableHeadingnospace"/>
              <w:rPr>
                <w:b w:val="0"/>
                <w:szCs w:val="20"/>
              </w:rPr>
            </w:pPr>
            <w:r w:rsidRPr="00694163">
              <w:rPr>
                <w:szCs w:val="20"/>
              </w:rPr>
              <w:t>Management: Operations</w:t>
            </w:r>
          </w:p>
          <w:p w14:paraId="103B6648" w14:textId="77777777" w:rsidR="001A3C05" w:rsidRPr="00694163" w:rsidRDefault="001A3C05" w:rsidP="00DF640B">
            <w:pPr>
              <w:pStyle w:val="ListBullet"/>
              <w:rPr>
                <w:rFonts w:cstheme="minorHAnsi"/>
                <w:szCs w:val="20"/>
              </w:rPr>
            </w:pPr>
            <w:r w:rsidRPr="00694163">
              <w:rPr>
                <w:rFonts w:cstheme="minorHAnsi"/>
                <w:szCs w:val="20"/>
              </w:rPr>
              <w:t>purpose, features and interpretation of the following basic financial ratios:</w:t>
            </w:r>
          </w:p>
          <w:p w14:paraId="51CF9A04" w14:textId="77777777" w:rsidR="001A3C05" w:rsidRPr="00694163" w:rsidRDefault="001A3C05" w:rsidP="00DF640B">
            <w:pPr>
              <w:pStyle w:val="ListBullet2"/>
              <w:rPr>
                <w:rFonts w:cstheme="minorHAnsi"/>
                <w:szCs w:val="20"/>
              </w:rPr>
            </w:pPr>
            <w:r w:rsidRPr="00694163">
              <w:rPr>
                <w:rFonts w:cstheme="minorHAnsi"/>
                <w:szCs w:val="20"/>
              </w:rPr>
              <w:t>liquidity</w:t>
            </w:r>
          </w:p>
          <w:p w14:paraId="569359E5" w14:textId="77777777" w:rsidR="006552E2" w:rsidRPr="00694163" w:rsidRDefault="001A3C05" w:rsidP="006552E2">
            <w:pPr>
              <w:pStyle w:val="ListBullet3"/>
              <w:rPr>
                <w:rFonts w:cstheme="minorHAnsi"/>
                <w:szCs w:val="20"/>
              </w:rPr>
            </w:pPr>
            <w:r w:rsidRPr="00694163">
              <w:rPr>
                <w:rFonts w:cstheme="minorHAnsi"/>
                <w:szCs w:val="20"/>
              </w:rPr>
              <w:t>current ratio</w:t>
            </w:r>
          </w:p>
          <w:p w14:paraId="588D3413" w14:textId="1F85AAE0" w:rsidR="001A3C05" w:rsidRPr="00694163" w:rsidRDefault="001A3C05" w:rsidP="006552E2">
            <w:pPr>
              <w:pStyle w:val="ListBullet3"/>
              <w:numPr>
                <w:ilvl w:val="3"/>
                <w:numId w:val="2"/>
              </w:numPr>
              <w:tabs>
                <w:tab w:val="left" w:pos="2438"/>
              </w:tabs>
              <w:rPr>
                <w:rFonts w:cstheme="minorHAnsi"/>
                <w:szCs w:val="20"/>
              </w:rPr>
            </w:pPr>
            <w:r w:rsidRPr="00694163">
              <w:rPr>
                <w:rFonts w:cstheme="minorHAnsi"/>
                <w:szCs w:val="20"/>
              </w:rPr>
              <w:t>formula:</w:t>
            </w:r>
            <w:r w:rsidR="006552E2" w:rsidRPr="00694163">
              <w:rPr>
                <w:rFonts w:cstheme="minorHAnsi"/>
                <w:szCs w:val="20"/>
              </w:rPr>
              <w:tab/>
            </w:r>
            <w:r w:rsidRPr="00694163">
              <w:rPr>
                <w:rFonts w:cstheme="minorHAnsi"/>
                <w:szCs w:val="20"/>
                <w:u w:val="single"/>
              </w:rPr>
              <w:t>current assets</w:t>
            </w:r>
          </w:p>
          <w:p w14:paraId="3C13ACB2" w14:textId="7D577573" w:rsidR="001A3C05" w:rsidRPr="00694163" w:rsidRDefault="00A00B77" w:rsidP="006552E2">
            <w:pPr>
              <w:pStyle w:val="csbullet"/>
              <w:numPr>
                <w:ilvl w:val="0"/>
                <w:numId w:val="0"/>
              </w:numPr>
              <w:tabs>
                <w:tab w:val="left" w:pos="2376"/>
                <w:tab w:val="left" w:pos="2835"/>
              </w:tabs>
              <w:spacing w:after="0"/>
              <w:rPr>
                <w:rFonts w:asciiTheme="minorHAnsi" w:hAnsiTheme="minorHAnsi" w:cstheme="minorHAnsi"/>
                <w:noProof/>
              </w:rPr>
            </w:pPr>
            <w:r w:rsidRPr="00694163">
              <w:rPr>
                <w:rFonts w:asciiTheme="minorHAnsi" w:hAnsiTheme="minorHAnsi" w:cstheme="minorHAnsi"/>
                <w:noProof/>
              </w:rPr>
              <w:tab/>
            </w:r>
            <w:r w:rsidR="001A3C05" w:rsidRPr="00694163">
              <w:rPr>
                <w:rFonts w:asciiTheme="minorHAnsi" w:hAnsiTheme="minorHAnsi" w:cstheme="minorHAnsi"/>
                <w:noProof/>
              </w:rPr>
              <w:t>current liabilities</w:t>
            </w:r>
          </w:p>
          <w:p w14:paraId="59D502CD" w14:textId="77777777" w:rsidR="001A3C05" w:rsidRPr="00694163" w:rsidRDefault="001A3C05" w:rsidP="00DF640B">
            <w:pPr>
              <w:pStyle w:val="csbullet"/>
              <w:spacing w:after="0"/>
              <w:rPr>
                <w:rFonts w:asciiTheme="minorHAnsi" w:hAnsiTheme="minorHAnsi" w:cstheme="minorHAnsi"/>
              </w:rPr>
            </w:pPr>
            <w:r w:rsidRPr="00694163">
              <w:rPr>
                <w:rFonts w:asciiTheme="minorHAnsi" w:hAnsiTheme="minorHAnsi" w:cstheme="minorHAnsi"/>
              </w:rPr>
              <w:lastRenderedPageBreak/>
              <w:t>profitability</w:t>
            </w:r>
          </w:p>
          <w:p w14:paraId="5BD96004" w14:textId="77777777" w:rsidR="001A3C05" w:rsidRPr="00694163" w:rsidRDefault="001A3C05" w:rsidP="00451D64">
            <w:pPr>
              <w:pStyle w:val="ListBullet3"/>
              <w:ind w:left="1077"/>
              <w:rPr>
                <w:rFonts w:cstheme="minorHAnsi"/>
                <w:szCs w:val="20"/>
              </w:rPr>
            </w:pPr>
            <w:r w:rsidRPr="00694163">
              <w:rPr>
                <w:rFonts w:cstheme="minorHAnsi"/>
                <w:szCs w:val="20"/>
              </w:rPr>
              <w:t>gross profit ratio</w:t>
            </w:r>
          </w:p>
          <w:p w14:paraId="3D4568B9" w14:textId="30DB583C" w:rsidR="001A3C05" w:rsidRPr="00694163" w:rsidRDefault="001A3C05" w:rsidP="00451D64">
            <w:pPr>
              <w:pStyle w:val="ListBullet4"/>
              <w:tabs>
                <w:tab w:val="clear" w:pos="1951"/>
              </w:tabs>
              <w:ind w:left="1434" w:hanging="357"/>
              <w:rPr>
                <w:rFonts w:asciiTheme="minorHAnsi" w:hAnsiTheme="minorHAnsi" w:cstheme="minorHAnsi"/>
              </w:rPr>
            </w:pPr>
            <w:r w:rsidRPr="00694163">
              <w:rPr>
                <w:rFonts w:asciiTheme="minorHAnsi" w:hAnsiTheme="minorHAnsi" w:cstheme="minorHAnsi"/>
              </w:rPr>
              <w:t>formula:</w:t>
            </w:r>
            <w:r w:rsidRPr="00694163">
              <w:rPr>
                <w:rFonts w:asciiTheme="minorHAnsi" w:hAnsiTheme="minorHAnsi" w:cstheme="minorHAnsi"/>
              </w:rPr>
              <w:tab/>
            </w:r>
            <w:r w:rsidRPr="00694163">
              <w:rPr>
                <w:rFonts w:asciiTheme="minorHAnsi" w:hAnsiTheme="minorHAnsi" w:cstheme="minorHAnsi"/>
                <w:u w:val="single"/>
              </w:rPr>
              <w:t>gross profit</w:t>
            </w:r>
          </w:p>
          <w:p w14:paraId="2ACF50EF" w14:textId="482CA258" w:rsidR="001A3C05" w:rsidRPr="00694163" w:rsidRDefault="00A00B77" w:rsidP="00451D64">
            <w:pPr>
              <w:pStyle w:val="csbullet"/>
              <w:numPr>
                <w:ilvl w:val="0"/>
                <w:numId w:val="0"/>
              </w:numPr>
              <w:tabs>
                <w:tab w:val="left" w:pos="2515"/>
              </w:tabs>
              <w:spacing w:after="0"/>
              <w:rPr>
                <w:rFonts w:asciiTheme="minorHAnsi" w:hAnsiTheme="minorHAnsi" w:cstheme="minorHAnsi"/>
                <w:noProof/>
              </w:rPr>
            </w:pPr>
            <w:r w:rsidRPr="00694163">
              <w:rPr>
                <w:rFonts w:asciiTheme="minorHAnsi" w:hAnsiTheme="minorHAnsi" w:cstheme="minorHAnsi"/>
                <w:noProof/>
              </w:rPr>
              <w:tab/>
            </w:r>
            <w:r w:rsidR="001A3C05" w:rsidRPr="00694163">
              <w:rPr>
                <w:rFonts w:asciiTheme="minorHAnsi" w:hAnsiTheme="minorHAnsi" w:cstheme="minorHAnsi"/>
                <w:noProof/>
              </w:rPr>
              <w:t>net sales</w:t>
            </w:r>
          </w:p>
          <w:p w14:paraId="6E609E7D" w14:textId="77777777" w:rsidR="001A3C05" w:rsidRPr="00694163" w:rsidRDefault="001A3C05" w:rsidP="00451D64">
            <w:pPr>
              <w:pStyle w:val="ListBullet3"/>
              <w:ind w:left="1077"/>
              <w:rPr>
                <w:rFonts w:cstheme="minorHAnsi"/>
                <w:szCs w:val="20"/>
              </w:rPr>
            </w:pPr>
            <w:r w:rsidRPr="00694163">
              <w:rPr>
                <w:rFonts w:cstheme="minorHAnsi"/>
                <w:szCs w:val="20"/>
              </w:rPr>
              <w:br w:type="page"/>
              <w:t>profit ratio</w:t>
            </w:r>
          </w:p>
          <w:p w14:paraId="0BAD0E0F" w14:textId="77777777" w:rsidR="001A3C05" w:rsidRPr="00694163" w:rsidRDefault="001A3C05" w:rsidP="00451D64">
            <w:pPr>
              <w:pStyle w:val="ListBullet4"/>
              <w:tabs>
                <w:tab w:val="clear" w:pos="1951"/>
              </w:tabs>
              <w:ind w:left="1434" w:hanging="357"/>
              <w:rPr>
                <w:rFonts w:asciiTheme="minorHAnsi" w:hAnsiTheme="minorHAnsi" w:cstheme="minorHAnsi"/>
              </w:rPr>
            </w:pPr>
            <w:r w:rsidRPr="00694163">
              <w:rPr>
                <w:rFonts w:asciiTheme="minorHAnsi" w:hAnsiTheme="minorHAnsi" w:cstheme="minorHAnsi"/>
              </w:rPr>
              <w:t xml:space="preserve">formula: </w:t>
            </w:r>
            <w:r w:rsidRPr="00694163">
              <w:rPr>
                <w:rFonts w:asciiTheme="minorHAnsi" w:hAnsiTheme="minorHAnsi" w:cstheme="minorHAnsi"/>
              </w:rPr>
              <w:tab/>
            </w:r>
            <w:r w:rsidRPr="00694163">
              <w:rPr>
                <w:rFonts w:asciiTheme="minorHAnsi" w:hAnsiTheme="minorHAnsi" w:cstheme="minorHAnsi"/>
                <w:u w:val="single"/>
              </w:rPr>
              <w:t>profit</w:t>
            </w:r>
          </w:p>
          <w:p w14:paraId="0901179D" w14:textId="0667962F" w:rsidR="001A3C05" w:rsidRPr="00694163" w:rsidRDefault="00A00B77" w:rsidP="00451D64">
            <w:pPr>
              <w:pStyle w:val="csbullet"/>
              <w:numPr>
                <w:ilvl w:val="0"/>
                <w:numId w:val="0"/>
              </w:numPr>
              <w:tabs>
                <w:tab w:val="left" w:pos="2305"/>
              </w:tabs>
              <w:spacing w:after="0"/>
              <w:rPr>
                <w:rFonts w:asciiTheme="minorHAnsi" w:hAnsiTheme="minorHAnsi" w:cstheme="minorHAnsi"/>
                <w:noProof/>
              </w:rPr>
            </w:pPr>
            <w:r w:rsidRPr="00694163">
              <w:rPr>
                <w:rFonts w:asciiTheme="minorHAnsi" w:hAnsiTheme="minorHAnsi" w:cstheme="minorHAnsi"/>
                <w:noProof/>
              </w:rPr>
              <w:tab/>
            </w:r>
            <w:r w:rsidR="001A3C05" w:rsidRPr="00694163">
              <w:rPr>
                <w:rFonts w:asciiTheme="minorHAnsi" w:hAnsiTheme="minorHAnsi" w:cstheme="minorHAnsi"/>
                <w:noProof/>
              </w:rPr>
              <w:t>net sales</w:t>
            </w:r>
          </w:p>
          <w:p w14:paraId="09F3A46D" w14:textId="77777777" w:rsidR="001A3C05" w:rsidRPr="00694163" w:rsidRDefault="001A3C05" w:rsidP="00451D64">
            <w:pPr>
              <w:pStyle w:val="ListBullet3"/>
              <w:ind w:left="1077"/>
              <w:rPr>
                <w:rFonts w:cstheme="minorHAnsi"/>
                <w:szCs w:val="20"/>
              </w:rPr>
            </w:pPr>
            <w:r w:rsidRPr="00694163">
              <w:rPr>
                <w:rFonts w:cstheme="minorHAnsi"/>
                <w:szCs w:val="20"/>
              </w:rPr>
              <w:t>expense ratio</w:t>
            </w:r>
          </w:p>
          <w:p w14:paraId="62F79A86" w14:textId="77777777" w:rsidR="001A3C05" w:rsidRPr="00694163" w:rsidRDefault="001A3C05" w:rsidP="00451D64">
            <w:pPr>
              <w:pStyle w:val="ListBullet4"/>
              <w:tabs>
                <w:tab w:val="clear" w:pos="1951"/>
              </w:tabs>
              <w:ind w:left="1434" w:hanging="357"/>
              <w:rPr>
                <w:rFonts w:asciiTheme="minorHAnsi" w:hAnsiTheme="minorHAnsi" w:cstheme="minorHAnsi"/>
              </w:rPr>
            </w:pPr>
            <w:r w:rsidRPr="00694163">
              <w:rPr>
                <w:rFonts w:asciiTheme="minorHAnsi" w:hAnsiTheme="minorHAnsi" w:cstheme="minorHAnsi"/>
              </w:rPr>
              <w:t xml:space="preserve">formula: </w:t>
            </w:r>
            <w:r w:rsidRPr="00694163">
              <w:rPr>
                <w:rFonts w:asciiTheme="minorHAnsi" w:hAnsiTheme="minorHAnsi" w:cstheme="minorHAnsi"/>
              </w:rPr>
              <w:tab/>
            </w:r>
            <w:r w:rsidRPr="00694163">
              <w:rPr>
                <w:rFonts w:asciiTheme="minorHAnsi" w:hAnsiTheme="minorHAnsi" w:cstheme="minorHAnsi"/>
                <w:u w:val="single"/>
              </w:rPr>
              <w:t>operating expenses</w:t>
            </w:r>
          </w:p>
          <w:p w14:paraId="4FEFF7F8" w14:textId="79FC1B2F" w:rsidR="001A3C05" w:rsidRPr="00694163" w:rsidRDefault="00A00B77" w:rsidP="00451D64">
            <w:pPr>
              <w:pStyle w:val="csbullet"/>
              <w:numPr>
                <w:ilvl w:val="0"/>
                <w:numId w:val="0"/>
              </w:numPr>
              <w:tabs>
                <w:tab w:val="left" w:pos="2809"/>
              </w:tabs>
              <w:spacing w:after="0"/>
              <w:rPr>
                <w:rFonts w:asciiTheme="minorHAnsi" w:hAnsiTheme="minorHAnsi" w:cstheme="minorHAnsi"/>
                <w:noProof/>
              </w:rPr>
            </w:pPr>
            <w:r w:rsidRPr="00694163">
              <w:rPr>
                <w:rFonts w:asciiTheme="minorHAnsi" w:hAnsiTheme="minorHAnsi" w:cstheme="minorHAnsi"/>
                <w:noProof/>
              </w:rPr>
              <w:tab/>
            </w:r>
            <w:r w:rsidR="001A3C05" w:rsidRPr="00694163">
              <w:rPr>
                <w:rFonts w:asciiTheme="minorHAnsi" w:hAnsiTheme="minorHAnsi" w:cstheme="minorHAnsi"/>
                <w:noProof/>
              </w:rPr>
              <w:t>net sales</w:t>
            </w:r>
          </w:p>
          <w:p w14:paraId="4408D782" w14:textId="77777777" w:rsidR="001A3C05" w:rsidRPr="00694163" w:rsidRDefault="001A3C05" w:rsidP="00451D64">
            <w:pPr>
              <w:pStyle w:val="ListBullet3"/>
              <w:ind w:left="1077"/>
              <w:rPr>
                <w:rFonts w:cstheme="minorHAnsi"/>
                <w:szCs w:val="20"/>
              </w:rPr>
            </w:pPr>
            <w:r w:rsidRPr="00694163">
              <w:rPr>
                <w:rFonts w:cstheme="minorHAnsi"/>
                <w:szCs w:val="20"/>
              </w:rPr>
              <w:t>return on equity ratio</w:t>
            </w:r>
          </w:p>
          <w:p w14:paraId="22407E14" w14:textId="77777777" w:rsidR="001A3C05" w:rsidRPr="00694163" w:rsidRDefault="001A3C05" w:rsidP="00451D64">
            <w:pPr>
              <w:pStyle w:val="ListBullet4"/>
              <w:tabs>
                <w:tab w:val="clear" w:pos="1951"/>
              </w:tabs>
              <w:ind w:left="1434" w:hanging="357"/>
              <w:rPr>
                <w:rFonts w:asciiTheme="minorHAnsi" w:hAnsiTheme="minorHAnsi" w:cstheme="minorHAnsi"/>
                <w:u w:val="single"/>
              </w:rPr>
            </w:pPr>
            <w:r w:rsidRPr="00694163">
              <w:rPr>
                <w:rFonts w:asciiTheme="minorHAnsi" w:hAnsiTheme="minorHAnsi" w:cstheme="minorHAnsi"/>
              </w:rPr>
              <w:t xml:space="preserve">formula: </w:t>
            </w:r>
            <w:r w:rsidRPr="00694163">
              <w:rPr>
                <w:rFonts w:asciiTheme="minorHAnsi" w:hAnsiTheme="minorHAnsi" w:cstheme="minorHAnsi"/>
              </w:rPr>
              <w:tab/>
            </w:r>
            <w:r w:rsidR="00F31E1F" w:rsidRPr="00694163">
              <w:rPr>
                <w:rFonts w:asciiTheme="minorHAnsi" w:hAnsiTheme="minorHAnsi" w:cstheme="minorHAnsi"/>
                <w:u w:val="single"/>
              </w:rPr>
              <w:t>profit</w:t>
            </w:r>
          </w:p>
          <w:p w14:paraId="1F3195AA" w14:textId="392D23DC" w:rsidR="001A3C05" w:rsidRPr="00694163" w:rsidRDefault="00F31E1F" w:rsidP="00451D64">
            <w:pPr>
              <w:pStyle w:val="csbullet"/>
              <w:numPr>
                <w:ilvl w:val="0"/>
                <w:numId w:val="0"/>
              </w:numPr>
              <w:tabs>
                <w:tab w:val="left" w:pos="2161"/>
              </w:tabs>
              <w:spacing w:after="0"/>
              <w:rPr>
                <w:rFonts w:asciiTheme="minorHAnsi" w:hAnsiTheme="minorHAnsi" w:cstheme="minorHAnsi"/>
                <w:noProof/>
              </w:rPr>
            </w:pPr>
            <w:r w:rsidRPr="00694163">
              <w:rPr>
                <w:rFonts w:asciiTheme="minorHAnsi" w:hAnsiTheme="minorHAnsi" w:cstheme="minorHAnsi"/>
                <w:noProof/>
              </w:rPr>
              <w:tab/>
              <w:t>equity at end</w:t>
            </w:r>
          </w:p>
          <w:p w14:paraId="4C4770C6" w14:textId="77777777" w:rsidR="001A3C05" w:rsidRPr="00694163" w:rsidRDefault="001A3C05" w:rsidP="00DF640B">
            <w:pPr>
              <w:pStyle w:val="csbullet"/>
              <w:spacing w:after="0"/>
              <w:rPr>
                <w:rFonts w:asciiTheme="minorHAnsi" w:hAnsiTheme="minorHAnsi" w:cstheme="minorHAnsi"/>
              </w:rPr>
            </w:pPr>
            <w:r w:rsidRPr="00694163">
              <w:rPr>
                <w:rFonts w:asciiTheme="minorHAnsi" w:hAnsiTheme="minorHAnsi" w:cstheme="minorHAnsi"/>
              </w:rPr>
              <w:t>stability</w:t>
            </w:r>
          </w:p>
          <w:p w14:paraId="6BBE49D9" w14:textId="77777777" w:rsidR="001A3C05" w:rsidRPr="00694163" w:rsidRDefault="001A3C05" w:rsidP="00DF640B">
            <w:pPr>
              <w:pStyle w:val="ListParagraph"/>
              <w:spacing w:after="0"/>
              <w:rPr>
                <w:rFonts w:cstheme="minorHAnsi"/>
              </w:rPr>
            </w:pPr>
            <w:r w:rsidRPr="00694163">
              <w:rPr>
                <w:rFonts w:cstheme="minorHAnsi"/>
              </w:rPr>
              <w:t>debt to equity ratio</w:t>
            </w:r>
          </w:p>
          <w:p w14:paraId="7E23F593" w14:textId="77777777" w:rsidR="001A3C05" w:rsidRPr="00694163" w:rsidRDefault="001A3C05" w:rsidP="00451D64">
            <w:pPr>
              <w:pStyle w:val="ListBullet4"/>
              <w:tabs>
                <w:tab w:val="clear" w:pos="1951"/>
              </w:tabs>
              <w:ind w:left="1434" w:hanging="357"/>
              <w:rPr>
                <w:rFonts w:asciiTheme="minorHAnsi" w:hAnsiTheme="minorHAnsi" w:cstheme="minorHAnsi"/>
              </w:rPr>
            </w:pPr>
            <w:r w:rsidRPr="00694163">
              <w:rPr>
                <w:rFonts w:asciiTheme="minorHAnsi" w:hAnsiTheme="minorHAnsi" w:cstheme="minorHAnsi"/>
              </w:rPr>
              <w:t xml:space="preserve">formula: </w:t>
            </w:r>
            <w:r w:rsidRPr="00694163">
              <w:rPr>
                <w:rFonts w:asciiTheme="minorHAnsi" w:hAnsiTheme="minorHAnsi" w:cstheme="minorHAnsi"/>
              </w:rPr>
              <w:tab/>
            </w:r>
            <w:r w:rsidRPr="00694163">
              <w:rPr>
                <w:rFonts w:asciiTheme="minorHAnsi" w:hAnsiTheme="minorHAnsi" w:cstheme="minorHAnsi"/>
                <w:u w:val="single"/>
              </w:rPr>
              <w:t>total liabilities</w:t>
            </w:r>
          </w:p>
          <w:p w14:paraId="44911066" w14:textId="62C1B5EA" w:rsidR="001A3C05" w:rsidRPr="00694163" w:rsidRDefault="001A3C05" w:rsidP="00451D64">
            <w:pPr>
              <w:pStyle w:val="csbullet"/>
              <w:numPr>
                <w:ilvl w:val="0"/>
                <w:numId w:val="0"/>
              </w:numPr>
              <w:tabs>
                <w:tab w:val="left" w:pos="2515"/>
              </w:tabs>
              <w:spacing w:after="0"/>
              <w:rPr>
                <w:rFonts w:asciiTheme="minorHAnsi" w:hAnsiTheme="minorHAnsi" w:cstheme="minorHAnsi"/>
                <w:noProof/>
              </w:rPr>
            </w:pPr>
            <w:r w:rsidRPr="00694163">
              <w:rPr>
                <w:rFonts w:asciiTheme="minorHAnsi" w:hAnsiTheme="minorHAnsi" w:cstheme="minorHAnsi"/>
                <w:noProof/>
              </w:rPr>
              <w:tab/>
              <w:t>total equity</w:t>
            </w:r>
          </w:p>
          <w:p w14:paraId="0C2EE69C" w14:textId="043F74D0" w:rsidR="00297D94" w:rsidRPr="00694163" w:rsidRDefault="00297D94" w:rsidP="00451D64">
            <w:pPr>
              <w:pStyle w:val="SCSATableHeading"/>
              <w:rPr>
                <w:b w:val="0"/>
                <w:bCs w:val="0"/>
                <w:szCs w:val="20"/>
              </w:rPr>
            </w:pPr>
            <w:r w:rsidRPr="00694163">
              <w:rPr>
                <w:szCs w:val="20"/>
              </w:rPr>
              <w:t xml:space="preserve">Task </w:t>
            </w:r>
            <w:r w:rsidR="00D05A88" w:rsidRPr="00694163">
              <w:rPr>
                <w:szCs w:val="20"/>
              </w:rPr>
              <w:t>7</w:t>
            </w:r>
            <w:r w:rsidR="00DF732D" w:rsidRPr="00694163">
              <w:rPr>
                <w:szCs w:val="20"/>
              </w:rPr>
              <w:t xml:space="preserve">: Response </w:t>
            </w:r>
            <w:r w:rsidR="007E7628" w:rsidRPr="00694163">
              <w:rPr>
                <w:szCs w:val="20"/>
              </w:rPr>
              <w:t>(Week 14)</w:t>
            </w:r>
          </w:p>
        </w:tc>
      </w:tr>
      <w:tr w:rsidR="00A84FF1" w:rsidRPr="00694163" w14:paraId="7E7BA602" w14:textId="77777777" w:rsidTr="00451D64">
        <w:trPr>
          <w:gridAfter w:val="1"/>
          <w:wAfter w:w="5" w:type="pct"/>
          <w:trHeight w:val="20"/>
        </w:trPr>
        <w:tc>
          <w:tcPr>
            <w:tcW w:w="567" w:type="pct"/>
            <w:shd w:val="clear" w:color="auto" w:fill="E4D8EB" w:themeFill="accent4" w:themeFillTint="66"/>
            <w:vAlign w:val="center"/>
          </w:tcPr>
          <w:p w14:paraId="1CC37D9C" w14:textId="77777777" w:rsidR="004A6BED" w:rsidRPr="00694163" w:rsidRDefault="004A6BED" w:rsidP="00DF640B">
            <w:pPr>
              <w:spacing w:after="0"/>
              <w:jc w:val="center"/>
              <w:rPr>
                <w:rFonts w:asciiTheme="minorHAnsi" w:hAnsiTheme="minorHAnsi" w:cstheme="minorHAnsi"/>
                <w:szCs w:val="20"/>
              </w:rPr>
            </w:pPr>
            <w:r w:rsidRPr="00694163">
              <w:rPr>
                <w:rFonts w:asciiTheme="minorHAnsi" w:hAnsiTheme="minorHAnsi" w:cstheme="minorHAnsi"/>
                <w:szCs w:val="20"/>
              </w:rPr>
              <w:lastRenderedPageBreak/>
              <w:t>1</w:t>
            </w:r>
            <w:r w:rsidR="004B190B" w:rsidRPr="00694163">
              <w:rPr>
                <w:rFonts w:asciiTheme="minorHAnsi" w:hAnsiTheme="minorHAnsi" w:cstheme="minorHAnsi"/>
                <w:szCs w:val="20"/>
              </w:rPr>
              <w:t>5</w:t>
            </w:r>
          </w:p>
        </w:tc>
        <w:tc>
          <w:tcPr>
            <w:tcW w:w="4428" w:type="pct"/>
            <w:vAlign w:val="center"/>
          </w:tcPr>
          <w:p w14:paraId="12B680E6" w14:textId="59B98C80" w:rsidR="004A6BED" w:rsidRPr="00694163" w:rsidRDefault="00297D94" w:rsidP="00451D64">
            <w:pPr>
              <w:pStyle w:val="SCSATableHeadingnospace"/>
              <w:rPr>
                <w:szCs w:val="20"/>
              </w:rPr>
            </w:pPr>
            <w:r w:rsidRPr="00694163">
              <w:rPr>
                <w:szCs w:val="20"/>
              </w:rPr>
              <w:t xml:space="preserve">Task </w:t>
            </w:r>
            <w:r w:rsidR="00D05A88" w:rsidRPr="00694163">
              <w:rPr>
                <w:szCs w:val="20"/>
              </w:rPr>
              <w:t>8</w:t>
            </w:r>
            <w:r w:rsidRPr="00694163">
              <w:rPr>
                <w:szCs w:val="20"/>
              </w:rPr>
              <w:t xml:space="preserve">: Semester 2 </w:t>
            </w:r>
            <w:r w:rsidR="00694163">
              <w:rPr>
                <w:szCs w:val="20"/>
              </w:rPr>
              <w:t>e</w:t>
            </w:r>
            <w:r w:rsidRPr="00694163">
              <w:rPr>
                <w:szCs w:val="20"/>
              </w:rPr>
              <w:t>xamination</w:t>
            </w:r>
            <w:r w:rsidR="00817058" w:rsidRPr="00694163">
              <w:rPr>
                <w:szCs w:val="20"/>
              </w:rPr>
              <w:t xml:space="preserve"> (Week 15)</w:t>
            </w:r>
          </w:p>
        </w:tc>
      </w:tr>
    </w:tbl>
    <w:p w14:paraId="689C8C3E" w14:textId="77777777" w:rsidR="006A79A7" w:rsidRPr="003B0C79" w:rsidRDefault="006A79A7" w:rsidP="00442F7B">
      <w:pPr>
        <w:ind w:right="-22"/>
        <w:rPr>
          <w:rFonts w:asciiTheme="minorHAnsi" w:hAnsiTheme="minorHAnsi" w:cstheme="minorHAnsi"/>
        </w:rPr>
      </w:pPr>
    </w:p>
    <w:sectPr w:rsidR="006A79A7" w:rsidRPr="003B0C79" w:rsidSect="0032124C">
      <w:headerReference w:type="even" r:id="rId13"/>
      <w:headerReference w:type="default" r:id="rId14"/>
      <w:footerReference w:type="even" r:id="rId15"/>
      <w:footerReference w:type="default" r:id="rId16"/>
      <w:headerReference w:type="first" r:id="rId17"/>
      <w:footerReference w:type="first" r:id="rId18"/>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8A289" w14:textId="77777777" w:rsidR="00106EDF" w:rsidRDefault="00106EDF" w:rsidP="00DB14C9">
      <w:r>
        <w:separator/>
      </w:r>
    </w:p>
  </w:endnote>
  <w:endnote w:type="continuationSeparator" w:id="0">
    <w:p w14:paraId="2AB838CB" w14:textId="77777777" w:rsidR="00106EDF" w:rsidRDefault="00106EDF"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28C2A" w14:textId="25257AB2" w:rsidR="00102431" w:rsidRPr="0032124C" w:rsidRDefault="00CC02E9" w:rsidP="0032124C">
    <w:pPr>
      <w:pStyle w:val="Footereven"/>
    </w:pPr>
    <w:r w:rsidRPr="0032124C">
      <w:t>2022/36010</w:t>
    </w:r>
    <w:r w:rsidR="00817058" w:rsidRPr="0032124C">
      <w:t>[</w:t>
    </w:r>
    <w:r w:rsidRPr="0032124C">
      <w:t>v3</w:t>
    </w:r>
    <w:r w:rsidR="00817058" w:rsidRPr="0032124C">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06A4" w14:textId="77777777" w:rsidR="00102431" w:rsidRPr="009F01EC" w:rsidRDefault="00102431" w:rsidP="009F01EC">
    <w:pPr>
      <w:pStyle w:val="Footer"/>
      <w:pBdr>
        <w:top w:val="single" w:sz="8" w:space="4" w:color="774A92"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Ancient History: Egypt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ATAR Year 11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AE31B" w14:textId="77777777" w:rsidR="005E0267" w:rsidRPr="0032124C" w:rsidRDefault="004A62A3" w:rsidP="0032124C">
    <w:pPr>
      <w:pStyle w:val="Footereven"/>
    </w:pPr>
    <w:r w:rsidRPr="0032124C">
      <w:t xml:space="preserve">Sample course outline | Business Management and Enterprise | ATAR Year </w:t>
    </w:r>
    <w:r w:rsidR="00DC58B1" w:rsidRPr="0032124C">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390B" w14:textId="51491783" w:rsidR="00B70BDC" w:rsidRPr="0032124C" w:rsidRDefault="004A62A3" w:rsidP="0032124C">
    <w:pPr>
      <w:pStyle w:val="Footerodd"/>
    </w:pPr>
    <w:r w:rsidRPr="0032124C">
      <w:t xml:space="preserve">Sample course outline | Business Management and Enterprise | ATAR Year </w:t>
    </w:r>
    <w:r w:rsidR="00DC58B1" w:rsidRPr="0032124C">
      <w:t>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CA730" w14:textId="77777777" w:rsidR="0092418A" w:rsidRPr="007F5BAC" w:rsidRDefault="000A3D2B" w:rsidP="00740E2F">
    <w:pPr>
      <w:pStyle w:val="Footer"/>
      <w:pBdr>
        <w:top w:val="single" w:sz="8" w:space="4" w:color="5C815C"/>
      </w:pBdr>
      <w:tabs>
        <w:tab w:val="clear" w:pos="4513"/>
        <w:tab w:val="clear" w:pos="9026"/>
      </w:tabs>
      <w:jc w:val="right"/>
      <w:rPr>
        <w:rFonts w:ascii="Franklin Gothic Book" w:hAnsi="Franklin Gothic Book"/>
        <w:bCs/>
        <w:color w:val="342568"/>
        <w:sz w:val="18"/>
      </w:rPr>
    </w:pPr>
    <w:r w:rsidRPr="007F5BAC">
      <w:rPr>
        <w:rFonts w:ascii="Franklin Gothic Book" w:hAnsi="Franklin Gothic Book"/>
        <w:bCs/>
        <w:noProof/>
        <w:color w:val="342568"/>
        <w:sz w:val="18"/>
        <w:szCs w:val="18"/>
      </w:rPr>
      <w:t xml:space="preserve">Sample course outline | Business Management and Enterprise | ATAR Year </w:t>
    </w:r>
    <w:r w:rsidR="00DC58B1" w:rsidRPr="007F5BAC">
      <w:rPr>
        <w:rFonts w:ascii="Franklin Gothic Book" w:hAnsi="Franklin Gothic Book"/>
        <w:bCs/>
        <w:noProof/>
        <w:color w:val="342568"/>
        <w:sz w:val="18"/>
        <w:szCs w:val="18"/>
      </w:rPr>
      <w:t>12</w:t>
    </w:r>
    <w:r w:rsidRPr="007F5BAC">
      <w:rPr>
        <w:rFonts w:ascii="Franklin Gothic Book" w:hAnsi="Franklin Gothic Book"/>
        <w:bCs/>
        <w:noProof/>
        <w:color w:val="342568"/>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87660" w14:textId="77777777" w:rsidR="00106EDF" w:rsidRDefault="00106EDF" w:rsidP="00DB14C9">
      <w:r>
        <w:separator/>
      </w:r>
    </w:p>
  </w:footnote>
  <w:footnote w:type="continuationSeparator" w:id="0">
    <w:p w14:paraId="7365BEA2" w14:textId="77777777" w:rsidR="00106EDF" w:rsidRDefault="00106EDF"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C8866" w14:textId="32352873" w:rsidR="00102431" w:rsidRDefault="00D57485" w:rsidP="0032124C">
    <w:pPr>
      <w:pStyle w:val="Header"/>
      <w:ind w:left="-709"/>
    </w:pPr>
    <w:r>
      <w:rPr>
        <w:noProof/>
      </w:rPr>
      <w:drawing>
        <wp:inline distT="0" distB="0" distL="0" distR="0" wp14:anchorId="71B55B6E" wp14:editId="45633FFE">
          <wp:extent cx="4533900" cy="704850"/>
          <wp:effectExtent l="0" t="0" r="0" b="0"/>
          <wp:docPr id="5" name="Picture 5" descr="School Curriculum and Standards Authority header with the Western Australian State Government Badge and agency name. The logo is a combination mark consisting of a pictorial mark and a word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ool Curriculum and Standards Authority header with the Western Australian State Government Badge and agency name. The logo is a combination mark consisting of a pictorial mark and a word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CD5E1" w14:textId="56CCE602" w:rsidR="005E0267" w:rsidRDefault="00346F57" w:rsidP="0032124C">
    <w:pPr>
      <w:pStyle w:val="Headereven"/>
      <w:rPr>
        <w:noProof/>
      </w:rPr>
    </w:pPr>
    <w:r w:rsidRPr="0032124C">
      <w:rPr>
        <w:noProof/>
      </w:rPr>
      <w:fldChar w:fldCharType="begin"/>
    </w:r>
    <w:r w:rsidR="00102431" w:rsidRPr="0032124C">
      <w:rPr>
        <w:noProof/>
      </w:rPr>
      <w:instrText xml:space="preserve"> PAGE   \* MERGEFORMAT </w:instrText>
    </w:r>
    <w:r w:rsidRPr="0032124C">
      <w:rPr>
        <w:noProof/>
      </w:rPr>
      <w:fldChar w:fldCharType="separate"/>
    </w:r>
    <w:r w:rsidR="0089254B" w:rsidRPr="0032124C">
      <w:rPr>
        <w:noProof/>
      </w:rPr>
      <w:t>4</w:t>
    </w:r>
    <w:r w:rsidRPr="0032124C">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D62B6" w14:textId="7F669AE4" w:rsidR="005E0267" w:rsidRPr="0032124C" w:rsidRDefault="00346F57" w:rsidP="0032124C">
    <w:pPr>
      <w:pStyle w:val="Headerodd"/>
    </w:pPr>
    <w:r w:rsidRPr="0032124C">
      <w:fldChar w:fldCharType="begin"/>
    </w:r>
    <w:r w:rsidR="004A62A3" w:rsidRPr="0032124C">
      <w:instrText xml:space="preserve"> PAGE   \* MERGEFORMAT </w:instrText>
    </w:r>
    <w:r w:rsidRPr="0032124C">
      <w:fldChar w:fldCharType="separate"/>
    </w:r>
    <w:r w:rsidR="0089254B" w:rsidRPr="0032124C">
      <w:t>5</w:t>
    </w:r>
    <w:r w:rsidRPr="0032124C">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8B711" w14:textId="50802D1D" w:rsidR="00102431" w:rsidRPr="00847ADC" w:rsidRDefault="00346F57" w:rsidP="007F5BAC">
    <w:pPr>
      <w:pStyle w:val="Header"/>
      <w:pBdr>
        <w:bottom w:val="single" w:sz="8" w:space="1" w:color="5C815C"/>
      </w:pBdr>
      <w:tabs>
        <w:tab w:val="clear" w:pos="4513"/>
        <w:tab w:val="clear" w:pos="9026"/>
      </w:tabs>
      <w:ind w:left="9356" w:right="-1440"/>
      <w:rPr>
        <w:rFonts w:ascii="Franklin Gothic Book" w:hAnsi="Franklin Gothic Book"/>
        <w:bCs/>
        <w:color w:val="46328C"/>
        <w:sz w:val="32"/>
      </w:rPr>
    </w:pPr>
    <w:r w:rsidRPr="00847ADC">
      <w:rPr>
        <w:rFonts w:ascii="Franklin Gothic Book" w:hAnsi="Franklin Gothic Book"/>
        <w:bCs/>
        <w:color w:val="46328C"/>
        <w:sz w:val="32"/>
      </w:rPr>
      <w:fldChar w:fldCharType="begin"/>
    </w:r>
    <w:r w:rsidR="00102431" w:rsidRPr="00847ADC">
      <w:rPr>
        <w:rFonts w:ascii="Franklin Gothic Book" w:hAnsi="Franklin Gothic Book"/>
        <w:bCs/>
        <w:color w:val="46328C"/>
        <w:sz w:val="32"/>
      </w:rPr>
      <w:instrText xml:space="preserve"> PAGE   \* MERGEFORMAT </w:instrText>
    </w:r>
    <w:r w:rsidRPr="00847ADC">
      <w:rPr>
        <w:rFonts w:ascii="Franklin Gothic Book" w:hAnsi="Franklin Gothic Book"/>
        <w:bCs/>
        <w:color w:val="46328C"/>
        <w:sz w:val="32"/>
      </w:rPr>
      <w:fldChar w:fldCharType="separate"/>
    </w:r>
    <w:r w:rsidR="0089254B" w:rsidRPr="00847ADC">
      <w:rPr>
        <w:rFonts w:ascii="Franklin Gothic Book" w:hAnsi="Franklin Gothic Book"/>
        <w:bCs/>
        <w:noProof/>
        <w:color w:val="46328C"/>
        <w:sz w:val="32"/>
      </w:rPr>
      <w:t>1</w:t>
    </w:r>
    <w:r w:rsidRPr="00847ADC">
      <w:rPr>
        <w:rFonts w:ascii="Franklin Gothic Book" w:hAnsi="Franklin Gothic Book"/>
        <w:bCs/>
        <w:noProof/>
        <w:color w:val="46328C"/>
        <w:sz w:val="32"/>
      </w:rPr>
      <w:fldChar w:fldCharType="end"/>
    </w:r>
  </w:p>
  <w:p w14:paraId="0613E3A4" w14:textId="77777777" w:rsidR="0092418A" w:rsidRPr="00102431" w:rsidRDefault="0092418A" w:rsidP="00102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41C0D3F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16CC44A9"/>
    <w:multiLevelType w:val="hybridMultilevel"/>
    <w:tmpl w:val="7A188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6BB0AC4"/>
    <w:multiLevelType w:val="hybridMultilevel"/>
    <w:tmpl w:val="F0FC72EA"/>
    <w:lvl w:ilvl="0" w:tplc="3E107AE2">
      <w:start w:val="1"/>
      <w:numFmt w:val="bullet"/>
      <w:pStyle w:val="contentelab"/>
      <w:lvlText w:val="o"/>
      <w:lvlJc w:val="left"/>
      <w:pPr>
        <w:tabs>
          <w:tab w:val="num" w:pos="523"/>
        </w:tabs>
        <w:ind w:left="523" w:hanging="283"/>
      </w:pPr>
      <w:rPr>
        <w:rFonts w:ascii="Courier New" w:hAnsi="Courier New" w:hint="default"/>
      </w:rPr>
    </w:lvl>
    <w:lvl w:ilvl="1" w:tplc="AE8CD610">
      <w:start w:val="1"/>
      <w:numFmt w:val="bullet"/>
      <w:lvlText w:val="o"/>
      <w:lvlJc w:val="left"/>
      <w:pPr>
        <w:tabs>
          <w:tab w:val="num" w:pos="567"/>
        </w:tabs>
        <w:ind w:left="567" w:hanging="283"/>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76DE1"/>
    <w:multiLevelType w:val="hybridMultilevel"/>
    <w:tmpl w:val="3E5E0A94"/>
    <w:lvl w:ilvl="0" w:tplc="04090001">
      <w:start w:val="1"/>
      <w:numFmt w:val="bullet"/>
      <w:lvlText w:val=""/>
      <w:lvlJc w:val="left"/>
      <w:pPr>
        <w:tabs>
          <w:tab w:val="num" w:pos="360"/>
        </w:tabs>
        <w:ind w:left="360" w:hanging="360"/>
      </w:pPr>
      <w:rPr>
        <w:rFonts w:ascii="Symbol" w:hAnsi="Symbol" w:hint="default"/>
      </w:rPr>
    </w:lvl>
    <w:lvl w:ilvl="1" w:tplc="0C090005">
      <w:start w:val="1"/>
      <w:numFmt w:val="bullet"/>
      <w:lvlText w:val=""/>
      <w:lvlJc w:val="left"/>
      <w:pPr>
        <w:tabs>
          <w:tab w:val="num" w:pos="680"/>
        </w:tabs>
        <w:ind w:left="680" w:hanging="323"/>
      </w:pPr>
      <w:rPr>
        <w:rFonts w:ascii="Wingdings" w:hAnsi="Wingdings" w:hint="default"/>
        <w:color w:val="auto"/>
        <w:sz w:val="18"/>
        <w:szCs w:val="18"/>
      </w:rPr>
    </w:lvl>
    <w:lvl w:ilvl="2" w:tplc="49A48176">
      <w:start w:val="1"/>
      <w:numFmt w:val="bullet"/>
      <w:lvlText w:val="o"/>
      <w:lvlJc w:val="left"/>
      <w:pPr>
        <w:tabs>
          <w:tab w:val="num" w:pos="2160"/>
        </w:tabs>
        <w:ind w:left="2160" w:hanging="360"/>
      </w:pPr>
      <w:rPr>
        <w:rFonts w:ascii="Courier New" w:hAnsi="Courier New" w:hint="default"/>
        <w:sz w:val="18"/>
        <w:szCs w:val="16"/>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416FEF"/>
    <w:multiLevelType w:val="multilevel"/>
    <w:tmpl w:val="AB22C774"/>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6" w15:restartNumberingAfterBreak="0">
    <w:nsid w:val="371156F6"/>
    <w:multiLevelType w:val="hybridMultilevel"/>
    <w:tmpl w:val="54FCD864"/>
    <w:lvl w:ilvl="0" w:tplc="04090001">
      <w:start w:val="1"/>
      <w:numFmt w:val="bullet"/>
      <w:lvlText w:val=""/>
      <w:lvlJc w:val="left"/>
      <w:pPr>
        <w:tabs>
          <w:tab w:val="num" w:pos="360"/>
        </w:tabs>
        <w:ind w:left="360" w:hanging="360"/>
      </w:pPr>
      <w:rPr>
        <w:rFonts w:ascii="Symbol" w:hAnsi="Symbol" w:hint="default"/>
      </w:rPr>
    </w:lvl>
    <w:lvl w:ilvl="1" w:tplc="154A1FBA">
      <w:start w:val="1"/>
      <w:numFmt w:val="bullet"/>
      <w:pStyle w:val="csbullet"/>
      <w:lvlText w:val=""/>
      <w:lvlJc w:val="left"/>
      <w:pPr>
        <w:tabs>
          <w:tab w:val="num" w:pos="680"/>
        </w:tabs>
        <w:ind w:left="680" w:hanging="323"/>
      </w:pPr>
      <w:rPr>
        <w:rFonts w:ascii="Wingdings" w:hAnsi="Wingdings" w:hint="default"/>
        <w:color w:val="auto"/>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BF079F"/>
    <w:multiLevelType w:val="hybridMultilevel"/>
    <w:tmpl w:val="1A7EAE6C"/>
    <w:lvl w:ilvl="0" w:tplc="04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680"/>
        </w:tabs>
        <w:ind w:left="680" w:hanging="323"/>
      </w:pPr>
      <w:rPr>
        <w:rFonts w:ascii="Courier New" w:hAnsi="Courier New" w:cs="Courier New" w:hint="default"/>
        <w:color w:val="auto"/>
        <w:sz w:val="18"/>
        <w:szCs w:val="18"/>
      </w:rPr>
    </w:lvl>
    <w:lvl w:ilvl="2" w:tplc="0C090003">
      <w:start w:val="1"/>
      <w:numFmt w:val="bullet"/>
      <w:lvlText w:val="o"/>
      <w:lvlJc w:val="left"/>
      <w:pPr>
        <w:tabs>
          <w:tab w:val="num" w:pos="2160"/>
        </w:tabs>
        <w:ind w:left="2160" w:hanging="360"/>
      </w:pPr>
      <w:rPr>
        <w:rFonts w:ascii="Courier New" w:hAnsi="Courier New" w:hint="default"/>
        <w:sz w:val="16"/>
        <w:szCs w:val="16"/>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004530"/>
    <w:multiLevelType w:val="hybridMultilevel"/>
    <w:tmpl w:val="A5181530"/>
    <w:lvl w:ilvl="0" w:tplc="13A28866">
      <w:start w:val="1"/>
      <w:numFmt w:val="bullet"/>
      <w:pStyle w:val="ListParagraph"/>
      <w:lvlText w:val="o"/>
      <w:lvlJc w:val="left"/>
      <w:pPr>
        <w:ind w:left="1013" w:hanging="360"/>
      </w:pPr>
      <w:rPr>
        <w:rFonts w:ascii="Courier New" w:hAnsi="Courier New" w:cs="Courier New" w:hint="default"/>
      </w:rPr>
    </w:lvl>
    <w:lvl w:ilvl="1" w:tplc="0C090003" w:tentative="1">
      <w:start w:val="1"/>
      <w:numFmt w:val="bullet"/>
      <w:lvlText w:val="o"/>
      <w:lvlJc w:val="left"/>
      <w:pPr>
        <w:ind w:left="1733" w:hanging="360"/>
      </w:pPr>
      <w:rPr>
        <w:rFonts w:ascii="Courier New" w:hAnsi="Courier New" w:cs="Courier New" w:hint="default"/>
      </w:rPr>
    </w:lvl>
    <w:lvl w:ilvl="2" w:tplc="0C090005" w:tentative="1">
      <w:start w:val="1"/>
      <w:numFmt w:val="bullet"/>
      <w:lvlText w:val=""/>
      <w:lvlJc w:val="left"/>
      <w:pPr>
        <w:ind w:left="2453" w:hanging="360"/>
      </w:pPr>
      <w:rPr>
        <w:rFonts w:ascii="Wingdings" w:hAnsi="Wingdings" w:hint="default"/>
      </w:rPr>
    </w:lvl>
    <w:lvl w:ilvl="3" w:tplc="0C090001" w:tentative="1">
      <w:start w:val="1"/>
      <w:numFmt w:val="bullet"/>
      <w:lvlText w:val=""/>
      <w:lvlJc w:val="left"/>
      <w:pPr>
        <w:ind w:left="3173" w:hanging="360"/>
      </w:pPr>
      <w:rPr>
        <w:rFonts w:ascii="Symbol" w:hAnsi="Symbol" w:hint="default"/>
      </w:rPr>
    </w:lvl>
    <w:lvl w:ilvl="4" w:tplc="0C090003" w:tentative="1">
      <w:start w:val="1"/>
      <w:numFmt w:val="bullet"/>
      <w:lvlText w:val="o"/>
      <w:lvlJc w:val="left"/>
      <w:pPr>
        <w:ind w:left="3893" w:hanging="360"/>
      </w:pPr>
      <w:rPr>
        <w:rFonts w:ascii="Courier New" w:hAnsi="Courier New" w:cs="Courier New" w:hint="default"/>
      </w:rPr>
    </w:lvl>
    <w:lvl w:ilvl="5" w:tplc="0C090005" w:tentative="1">
      <w:start w:val="1"/>
      <w:numFmt w:val="bullet"/>
      <w:lvlText w:val=""/>
      <w:lvlJc w:val="left"/>
      <w:pPr>
        <w:ind w:left="4613" w:hanging="360"/>
      </w:pPr>
      <w:rPr>
        <w:rFonts w:ascii="Wingdings" w:hAnsi="Wingdings" w:hint="default"/>
      </w:rPr>
    </w:lvl>
    <w:lvl w:ilvl="6" w:tplc="0C090001" w:tentative="1">
      <w:start w:val="1"/>
      <w:numFmt w:val="bullet"/>
      <w:lvlText w:val=""/>
      <w:lvlJc w:val="left"/>
      <w:pPr>
        <w:ind w:left="5333" w:hanging="360"/>
      </w:pPr>
      <w:rPr>
        <w:rFonts w:ascii="Symbol" w:hAnsi="Symbol" w:hint="default"/>
      </w:rPr>
    </w:lvl>
    <w:lvl w:ilvl="7" w:tplc="0C090003" w:tentative="1">
      <w:start w:val="1"/>
      <w:numFmt w:val="bullet"/>
      <w:lvlText w:val="o"/>
      <w:lvlJc w:val="left"/>
      <w:pPr>
        <w:ind w:left="6053" w:hanging="360"/>
      </w:pPr>
      <w:rPr>
        <w:rFonts w:ascii="Courier New" w:hAnsi="Courier New" w:cs="Courier New" w:hint="default"/>
      </w:rPr>
    </w:lvl>
    <w:lvl w:ilvl="8" w:tplc="0C090005" w:tentative="1">
      <w:start w:val="1"/>
      <w:numFmt w:val="bullet"/>
      <w:lvlText w:val=""/>
      <w:lvlJc w:val="left"/>
      <w:pPr>
        <w:ind w:left="6773" w:hanging="360"/>
      </w:pPr>
      <w:rPr>
        <w:rFonts w:ascii="Wingdings" w:hAnsi="Wingdings" w:hint="default"/>
      </w:rPr>
    </w:lvl>
  </w:abstractNum>
  <w:abstractNum w:abstractNumId="9"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10" w15:restartNumberingAfterBreak="0">
    <w:nsid w:val="6CBF2513"/>
    <w:multiLevelType w:val="multilevel"/>
    <w:tmpl w:val="3042D872"/>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Wingdings" w:hAnsi="Wingdings" w:hint="default"/>
      </w:rPr>
    </w:lvl>
    <w:lvl w:ilvl="2">
      <w:start w:val="1"/>
      <w:numFmt w:val="bullet"/>
      <w:pStyle w:val="ListBullet3"/>
      <w:lvlText w:val="o"/>
      <w:lvlJc w:val="left"/>
      <w:pPr>
        <w:ind w:left="1071" w:hanging="357"/>
      </w:pPr>
      <w:rPr>
        <w:rFonts w:ascii="Courier New" w:hAnsi="Courier New" w:hint="default"/>
      </w:rPr>
    </w:lvl>
    <w:lvl w:ilvl="3">
      <w:start w:val="1"/>
      <w:numFmt w:val="bullet"/>
      <w:lvlText w:val="-"/>
      <w:lvlJc w:val="left"/>
      <w:pPr>
        <w:ind w:left="1428" w:hanging="357"/>
      </w:pPr>
      <w:rPr>
        <w:rFonts w:ascii="Calibri" w:hAnsi="Calibri"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 w15:restartNumberingAfterBreak="0">
    <w:nsid w:val="77490680"/>
    <w:multiLevelType w:val="hybridMultilevel"/>
    <w:tmpl w:val="D6E48850"/>
    <w:lvl w:ilvl="0" w:tplc="0C090003">
      <w:start w:val="1"/>
      <w:numFmt w:val="bullet"/>
      <w:lvlText w:val="o"/>
      <w:lvlJc w:val="left"/>
      <w:pPr>
        <w:tabs>
          <w:tab w:val="num" w:pos="738"/>
        </w:tabs>
        <w:ind w:left="738" w:hanging="227"/>
      </w:pPr>
      <w:rPr>
        <w:rFonts w:ascii="Courier New" w:hAnsi="Courier New" w:cs="Courier New" w:hint="default"/>
        <w:color w:val="auto"/>
        <w:sz w:val="20"/>
      </w:rPr>
    </w:lvl>
    <w:lvl w:ilvl="1" w:tplc="C97EA2C4">
      <w:start w:val="1"/>
      <w:numFmt w:val="bullet"/>
      <w:pStyle w:val="ListBullet4"/>
      <w:lvlText w:val="-"/>
      <w:lvlJc w:val="left"/>
      <w:pPr>
        <w:tabs>
          <w:tab w:val="num" w:pos="1951"/>
        </w:tabs>
        <w:ind w:left="1951" w:hanging="360"/>
      </w:pPr>
      <w:rPr>
        <w:rFonts w:ascii="Courier New" w:hAnsi="Courier New" w:hint="default"/>
        <w:sz w:val="18"/>
      </w:rPr>
    </w:lvl>
    <w:lvl w:ilvl="2" w:tplc="92FEB358">
      <w:start w:val="1"/>
      <w:numFmt w:val="bullet"/>
      <w:lvlText w:val=""/>
      <w:lvlJc w:val="left"/>
      <w:pPr>
        <w:tabs>
          <w:tab w:val="num" w:pos="2424"/>
        </w:tabs>
        <w:ind w:left="2424" w:hanging="113"/>
      </w:pPr>
      <w:rPr>
        <w:rFonts w:ascii="Symbol" w:hAnsi="Symbol" w:hint="default"/>
        <w:sz w:val="20"/>
      </w:rPr>
    </w:lvl>
    <w:lvl w:ilvl="3" w:tplc="04090001" w:tentative="1">
      <w:start w:val="1"/>
      <w:numFmt w:val="bullet"/>
      <w:lvlText w:val=""/>
      <w:lvlJc w:val="left"/>
      <w:pPr>
        <w:tabs>
          <w:tab w:val="num" w:pos="3391"/>
        </w:tabs>
        <w:ind w:left="3391" w:hanging="360"/>
      </w:pPr>
      <w:rPr>
        <w:rFonts w:ascii="Symbol" w:hAnsi="Symbol" w:hint="default"/>
      </w:rPr>
    </w:lvl>
    <w:lvl w:ilvl="4" w:tplc="04090003" w:tentative="1">
      <w:start w:val="1"/>
      <w:numFmt w:val="bullet"/>
      <w:lvlText w:val="o"/>
      <w:lvlJc w:val="left"/>
      <w:pPr>
        <w:tabs>
          <w:tab w:val="num" w:pos="4111"/>
        </w:tabs>
        <w:ind w:left="4111" w:hanging="360"/>
      </w:pPr>
      <w:rPr>
        <w:rFonts w:ascii="Courier New" w:hAnsi="Courier New" w:hint="default"/>
      </w:rPr>
    </w:lvl>
    <w:lvl w:ilvl="5" w:tplc="04090005" w:tentative="1">
      <w:start w:val="1"/>
      <w:numFmt w:val="bullet"/>
      <w:lvlText w:val=""/>
      <w:lvlJc w:val="left"/>
      <w:pPr>
        <w:tabs>
          <w:tab w:val="num" w:pos="4831"/>
        </w:tabs>
        <w:ind w:left="4831" w:hanging="360"/>
      </w:pPr>
      <w:rPr>
        <w:rFonts w:ascii="Wingdings" w:hAnsi="Wingdings" w:hint="default"/>
      </w:rPr>
    </w:lvl>
    <w:lvl w:ilvl="6" w:tplc="04090001" w:tentative="1">
      <w:start w:val="1"/>
      <w:numFmt w:val="bullet"/>
      <w:lvlText w:val=""/>
      <w:lvlJc w:val="left"/>
      <w:pPr>
        <w:tabs>
          <w:tab w:val="num" w:pos="5551"/>
        </w:tabs>
        <w:ind w:left="5551" w:hanging="360"/>
      </w:pPr>
      <w:rPr>
        <w:rFonts w:ascii="Symbol" w:hAnsi="Symbol" w:hint="default"/>
      </w:rPr>
    </w:lvl>
    <w:lvl w:ilvl="7" w:tplc="04090003" w:tentative="1">
      <w:start w:val="1"/>
      <w:numFmt w:val="bullet"/>
      <w:lvlText w:val="o"/>
      <w:lvlJc w:val="left"/>
      <w:pPr>
        <w:tabs>
          <w:tab w:val="num" w:pos="6271"/>
        </w:tabs>
        <w:ind w:left="6271" w:hanging="360"/>
      </w:pPr>
      <w:rPr>
        <w:rFonts w:ascii="Courier New" w:hAnsi="Courier New" w:hint="default"/>
      </w:rPr>
    </w:lvl>
    <w:lvl w:ilvl="8" w:tplc="04090005" w:tentative="1">
      <w:start w:val="1"/>
      <w:numFmt w:val="bullet"/>
      <w:lvlText w:val=""/>
      <w:lvlJc w:val="left"/>
      <w:pPr>
        <w:tabs>
          <w:tab w:val="num" w:pos="6991"/>
        </w:tabs>
        <w:ind w:left="6991" w:hanging="360"/>
      </w:pPr>
      <w:rPr>
        <w:rFonts w:ascii="Wingdings" w:hAnsi="Wingdings" w:hint="default"/>
      </w:rPr>
    </w:lvl>
  </w:abstractNum>
  <w:num w:numId="1" w16cid:durableId="1823345512">
    <w:abstractNumId w:val="9"/>
  </w:num>
  <w:num w:numId="2" w16cid:durableId="1120957621">
    <w:abstractNumId w:val="10"/>
  </w:num>
  <w:num w:numId="3" w16cid:durableId="399717556">
    <w:abstractNumId w:val="5"/>
  </w:num>
  <w:num w:numId="4" w16cid:durableId="84227297">
    <w:abstractNumId w:val="3"/>
  </w:num>
  <w:num w:numId="5" w16cid:durableId="1843618719">
    <w:abstractNumId w:val="6"/>
  </w:num>
  <w:num w:numId="6" w16cid:durableId="1079255349">
    <w:abstractNumId w:val="4"/>
  </w:num>
  <w:num w:numId="7" w16cid:durableId="769425300">
    <w:abstractNumId w:val="11"/>
  </w:num>
  <w:num w:numId="8" w16cid:durableId="461311956">
    <w:abstractNumId w:val="10"/>
  </w:num>
  <w:num w:numId="9" w16cid:durableId="1362197519">
    <w:abstractNumId w:val="10"/>
  </w:num>
  <w:num w:numId="10" w16cid:durableId="1929340931">
    <w:abstractNumId w:val="1"/>
  </w:num>
  <w:num w:numId="11" w16cid:durableId="1891110621">
    <w:abstractNumId w:val="7"/>
  </w:num>
  <w:num w:numId="12" w16cid:durableId="1780875636">
    <w:abstractNumId w:val="8"/>
  </w:num>
  <w:num w:numId="13" w16cid:durableId="408771932">
    <w:abstractNumId w:val="0"/>
  </w:num>
  <w:num w:numId="14" w16cid:durableId="1410031774">
    <w:abstractNumId w:val="6"/>
  </w:num>
  <w:num w:numId="15" w16cid:durableId="777793596">
    <w:abstractNumId w:val="11"/>
  </w:num>
  <w:num w:numId="16" w16cid:durableId="160630209">
    <w:abstractNumId w:val="11"/>
  </w:num>
  <w:num w:numId="17" w16cid:durableId="1625623369">
    <w:abstractNumId w:val="11"/>
  </w:num>
  <w:num w:numId="18" w16cid:durableId="1971980111">
    <w:abstractNumId w:val="11"/>
  </w:num>
  <w:num w:numId="19" w16cid:durableId="1505315125">
    <w:abstractNumId w:val="6"/>
  </w:num>
  <w:num w:numId="20" w16cid:durableId="1171723682">
    <w:abstractNumId w:val="10"/>
  </w:num>
  <w:num w:numId="21" w16cid:durableId="1992514781">
    <w:abstractNumId w:val="10"/>
  </w:num>
  <w:num w:numId="22" w16cid:durableId="1493376641">
    <w:abstractNumId w:val="10"/>
  </w:num>
  <w:num w:numId="23" w16cid:durableId="184440446">
    <w:abstractNumId w:val="10"/>
  </w:num>
  <w:num w:numId="24" w16cid:durableId="989671030">
    <w:abstractNumId w:val="6"/>
  </w:num>
  <w:num w:numId="25" w16cid:durableId="1862939180">
    <w:abstractNumId w:val="6"/>
  </w:num>
  <w:num w:numId="26" w16cid:durableId="1070539546">
    <w:abstractNumId w:val="11"/>
  </w:num>
  <w:num w:numId="27" w16cid:durableId="427389226">
    <w:abstractNumId w:val="6"/>
  </w:num>
  <w:num w:numId="28" w16cid:durableId="152254968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1DFF"/>
    <w:rsid w:val="00003FFC"/>
    <w:rsid w:val="00012935"/>
    <w:rsid w:val="0002786C"/>
    <w:rsid w:val="00027893"/>
    <w:rsid w:val="00027F08"/>
    <w:rsid w:val="00040AEB"/>
    <w:rsid w:val="0006233F"/>
    <w:rsid w:val="00070EA4"/>
    <w:rsid w:val="00072F3C"/>
    <w:rsid w:val="000917AF"/>
    <w:rsid w:val="000A3D2B"/>
    <w:rsid w:val="000B44AD"/>
    <w:rsid w:val="000B5AB4"/>
    <w:rsid w:val="000C6ED2"/>
    <w:rsid w:val="000D71FE"/>
    <w:rsid w:val="000E456C"/>
    <w:rsid w:val="000F04D9"/>
    <w:rsid w:val="00101A35"/>
    <w:rsid w:val="00102431"/>
    <w:rsid w:val="00106EDF"/>
    <w:rsid w:val="00121794"/>
    <w:rsid w:val="001261B7"/>
    <w:rsid w:val="00126596"/>
    <w:rsid w:val="001314CC"/>
    <w:rsid w:val="001334EF"/>
    <w:rsid w:val="00133A9D"/>
    <w:rsid w:val="00135B31"/>
    <w:rsid w:val="001433AC"/>
    <w:rsid w:val="001444D2"/>
    <w:rsid w:val="00145187"/>
    <w:rsid w:val="00147708"/>
    <w:rsid w:val="001566DF"/>
    <w:rsid w:val="00161358"/>
    <w:rsid w:val="0016334C"/>
    <w:rsid w:val="00176E72"/>
    <w:rsid w:val="001809AE"/>
    <w:rsid w:val="001847D3"/>
    <w:rsid w:val="001A065F"/>
    <w:rsid w:val="001A3C05"/>
    <w:rsid w:val="001B2D81"/>
    <w:rsid w:val="001B50C9"/>
    <w:rsid w:val="001F27FC"/>
    <w:rsid w:val="00202454"/>
    <w:rsid w:val="00207224"/>
    <w:rsid w:val="00213FDB"/>
    <w:rsid w:val="00220BDA"/>
    <w:rsid w:val="0022159F"/>
    <w:rsid w:val="00231CEB"/>
    <w:rsid w:val="00240545"/>
    <w:rsid w:val="002431C9"/>
    <w:rsid w:val="0025108A"/>
    <w:rsid w:val="00286D00"/>
    <w:rsid w:val="0029491E"/>
    <w:rsid w:val="00297D94"/>
    <w:rsid w:val="002A3316"/>
    <w:rsid w:val="002A73D6"/>
    <w:rsid w:val="002B0B63"/>
    <w:rsid w:val="002B2CF2"/>
    <w:rsid w:val="002B409E"/>
    <w:rsid w:val="002B7552"/>
    <w:rsid w:val="002C6E9C"/>
    <w:rsid w:val="002E0A5F"/>
    <w:rsid w:val="002E2336"/>
    <w:rsid w:val="002E4C5C"/>
    <w:rsid w:val="0030477B"/>
    <w:rsid w:val="0032124C"/>
    <w:rsid w:val="00327DC8"/>
    <w:rsid w:val="00346F57"/>
    <w:rsid w:val="00351EFA"/>
    <w:rsid w:val="00356766"/>
    <w:rsid w:val="00357CDA"/>
    <w:rsid w:val="003942C5"/>
    <w:rsid w:val="003A22AE"/>
    <w:rsid w:val="003A43D5"/>
    <w:rsid w:val="003A4A99"/>
    <w:rsid w:val="003B0C79"/>
    <w:rsid w:val="003C03AA"/>
    <w:rsid w:val="003C5A53"/>
    <w:rsid w:val="003C6117"/>
    <w:rsid w:val="003E3A89"/>
    <w:rsid w:val="00400420"/>
    <w:rsid w:val="00400844"/>
    <w:rsid w:val="00405F1E"/>
    <w:rsid w:val="00427587"/>
    <w:rsid w:val="00434D5F"/>
    <w:rsid w:val="004362F8"/>
    <w:rsid w:val="004417B3"/>
    <w:rsid w:val="00442F7B"/>
    <w:rsid w:val="00451D64"/>
    <w:rsid w:val="00456849"/>
    <w:rsid w:val="00461FC2"/>
    <w:rsid w:val="004709D7"/>
    <w:rsid w:val="004814F0"/>
    <w:rsid w:val="00483CF5"/>
    <w:rsid w:val="00485DA7"/>
    <w:rsid w:val="004863E5"/>
    <w:rsid w:val="00496290"/>
    <w:rsid w:val="00497DC0"/>
    <w:rsid w:val="004A62A3"/>
    <w:rsid w:val="004A6BED"/>
    <w:rsid w:val="004B190B"/>
    <w:rsid w:val="004B38DD"/>
    <w:rsid w:val="004C4EB1"/>
    <w:rsid w:val="004C7024"/>
    <w:rsid w:val="004E1286"/>
    <w:rsid w:val="004E4AFA"/>
    <w:rsid w:val="005178AA"/>
    <w:rsid w:val="00520FC8"/>
    <w:rsid w:val="00522484"/>
    <w:rsid w:val="005239AE"/>
    <w:rsid w:val="005460C4"/>
    <w:rsid w:val="00557F6E"/>
    <w:rsid w:val="00562606"/>
    <w:rsid w:val="00563E1F"/>
    <w:rsid w:val="0056726D"/>
    <w:rsid w:val="005735BF"/>
    <w:rsid w:val="00597DE5"/>
    <w:rsid w:val="005A2EE5"/>
    <w:rsid w:val="005C3A04"/>
    <w:rsid w:val="005D7ADC"/>
    <w:rsid w:val="005D7DAD"/>
    <w:rsid w:val="005E0267"/>
    <w:rsid w:val="005E0A20"/>
    <w:rsid w:val="005E7B8B"/>
    <w:rsid w:val="005F406D"/>
    <w:rsid w:val="005F5E76"/>
    <w:rsid w:val="00613B9E"/>
    <w:rsid w:val="006222FB"/>
    <w:rsid w:val="00623B11"/>
    <w:rsid w:val="0063023E"/>
    <w:rsid w:val="0064077F"/>
    <w:rsid w:val="006552E2"/>
    <w:rsid w:val="00655E3E"/>
    <w:rsid w:val="00663095"/>
    <w:rsid w:val="006639C9"/>
    <w:rsid w:val="00665255"/>
    <w:rsid w:val="0067138A"/>
    <w:rsid w:val="00671F5C"/>
    <w:rsid w:val="00694163"/>
    <w:rsid w:val="006A5982"/>
    <w:rsid w:val="006A79A7"/>
    <w:rsid w:val="006B03D7"/>
    <w:rsid w:val="006B5BD7"/>
    <w:rsid w:val="006C19A6"/>
    <w:rsid w:val="006D1481"/>
    <w:rsid w:val="006D4C1B"/>
    <w:rsid w:val="006E2506"/>
    <w:rsid w:val="006F06CF"/>
    <w:rsid w:val="006F4F57"/>
    <w:rsid w:val="00712F82"/>
    <w:rsid w:val="00713378"/>
    <w:rsid w:val="0073436D"/>
    <w:rsid w:val="00737E4B"/>
    <w:rsid w:val="00740E2F"/>
    <w:rsid w:val="00742B1D"/>
    <w:rsid w:val="00744CEA"/>
    <w:rsid w:val="00761A56"/>
    <w:rsid w:val="00766C4B"/>
    <w:rsid w:val="007711AF"/>
    <w:rsid w:val="0077587A"/>
    <w:rsid w:val="00780FB8"/>
    <w:rsid w:val="007839B0"/>
    <w:rsid w:val="00792645"/>
    <w:rsid w:val="007949BF"/>
    <w:rsid w:val="007965F2"/>
    <w:rsid w:val="007B26F7"/>
    <w:rsid w:val="007D7C15"/>
    <w:rsid w:val="007E3CE0"/>
    <w:rsid w:val="007E7628"/>
    <w:rsid w:val="007F0B29"/>
    <w:rsid w:val="007F16B5"/>
    <w:rsid w:val="007F5BAC"/>
    <w:rsid w:val="00801383"/>
    <w:rsid w:val="0081275A"/>
    <w:rsid w:val="00813360"/>
    <w:rsid w:val="00817058"/>
    <w:rsid w:val="00840722"/>
    <w:rsid w:val="00841392"/>
    <w:rsid w:val="00847ADC"/>
    <w:rsid w:val="00856529"/>
    <w:rsid w:val="0087066C"/>
    <w:rsid w:val="00872772"/>
    <w:rsid w:val="00877BE8"/>
    <w:rsid w:val="00881396"/>
    <w:rsid w:val="0089254B"/>
    <w:rsid w:val="008935E0"/>
    <w:rsid w:val="008958C9"/>
    <w:rsid w:val="008A3A76"/>
    <w:rsid w:val="008B70EA"/>
    <w:rsid w:val="008D2F4E"/>
    <w:rsid w:val="008D59FB"/>
    <w:rsid w:val="008E25A0"/>
    <w:rsid w:val="008E5571"/>
    <w:rsid w:val="008E629A"/>
    <w:rsid w:val="008F5536"/>
    <w:rsid w:val="0091337F"/>
    <w:rsid w:val="009142B1"/>
    <w:rsid w:val="00920DF9"/>
    <w:rsid w:val="0092418A"/>
    <w:rsid w:val="00930B42"/>
    <w:rsid w:val="00930FD4"/>
    <w:rsid w:val="0093178A"/>
    <w:rsid w:val="0094233C"/>
    <w:rsid w:val="00945268"/>
    <w:rsid w:val="00946E27"/>
    <w:rsid w:val="00951F3A"/>
    <w:rsid w:val="00952C6D"/>
    <w:rsid w:val="00952D80"/>
    <w:rsid w:val="00962C83"/>
    <w:rsid w:val="00965E8D"/>
    <w:rsid w:val="009717E4"/>
    <w:rsid w:val="009813B2"/>
    <w:rsid w:val="00981553"/>
    <w:rsid w:val="009A12E4"/>
    <w:rsid w:val="009A730F"/>
    <w:rsid w:val="009B14B1"/>
    <w:rsid w:val="009B3514"/>
    <w:rsid w:val="009C0C49"/>
    <w:rsid w:val="009D521D"/>
    <w:rsid w:val="009E2730"/>
    <w:rsid w:val="009F688F"/>
    <w:rsid w:val="00A00B77"/>
    <w:rsid w:val="00A21311"/>
    <w:rsid w:val="00A2164A"/>
    <w:rsid w:val="00A22441"/>
    <w:rsid w:val="00A46F13"/>
    <w:rsid w:val="00A57719"/>
    <w:rsid w:val="00A612D1"/>
    <w:rsid w:val="00A7005D"/>
    <w:rsid w:val="00A72E30"/>
    <w:rsid w:val="00A84FF1"/>
    <w:rsid w:val="00A91E09"/>
    <w:rsid w:val="00A960D1"/>
    <w:rsid w:val="00AA5815"/>
    <w:rsid w:val="00AA5FB7"/>
    <w:rsid w:val="00AC0B0D"/>
    <w:rsid w:val="00AC35C5"/>
    <w:rsid w:val="00AC40DD"/>
    <w:rsid w:val="00AD0E2A"/>
    <w:rsid w:val="00AF2260"/>
    <w:rsid w:val="00AF317D"/>
    <w:rsid w:val="00AF4452"/>
    <w:rsid w:val="00AF5CB0"/>
    <w:rsid w:val="00B00B36"/>
    <w:rsid w:val="00B133FD"/>
    <w:rsid w:val="00B20BCC"/>
    <w:rsid w:val="00B23E3A"/>
    <w:rsid w:val="00B2665F"/>
    <w:rsid w:val="00B41E34"/>
    <w:rsid w:val="00B44EEC"/>
    <w:rsid w:val="00B45E1B"/>
    <w:rsid w:val="00B52BFC"/>
    <w:rsid w:val="00B60791"/>
    <w:rsid w:val="00B70BDC"/>
    <w:rsid w:val="00B7102F"/>
    <w:rsid w:val="00B820DB"/>
    <w:rsid w:val="00BA0BD3"/>
    <w:rsid w:val="00BA1247"/>
    <w:rsid w:val="00BB1EB5"/>
    <w:rsid w:val="00BB4677"/>
    <w:rsid w:val="00BD09D0"/>
    <w:rsid w:val="00BD14ED"/>
    <w:rsid w:val="00BD3A3E"/>
    <w:rsid w:val="00BD7930"/>
    <w:rsid w:val="00BD7C4A"/>
    <w:rsid w:val="00BE5F07"/>
    <w:rsid w:val="00BF03B0"/>
    <w:rsid w:val="00BF60A9"/>
    <w:rsid w:val="00C10727"/>
    <w:rsid w:val="00C10A2E"/>
    <w:rsid w:val="00C26A1A"/>
    <w:rsid w:val="00C514CD"/>
    <w:rsid w:val="00C64855"/>
    <w:rsid w:val="00C77872"/>
    <w:rsid w:val="00C83A26"/>
    <w:rsid w:val="00C857C7"/>
    <w:rsid w:val="00C95068"/>
    <w:rsid w:val="00CA02D8"/>
    <w:rsid w:val="00CA07B8"/>
    <w:rsid w:val="00CA6A77"/>
    <w:rsid w:val="00CC02E9"/>
    <w:rsid w:val="00CD4798"/>
    <w:rsid w:val="00CF6337"/>
    <w:rsid w:val="00D05367"/>
    <w:rsid w:val="00D05A88"/>
    <w:rsid w:val="00D17255"/>
    <w:rsid w:val="00D23B1C"/>
    <w:rsid w:val="00D32E27"/>
    <w:rsid w:val="00D3715A"/>
    <w:rsid w:val="00D47F40"/>
    <w:rsid w:val="00D57485"/>
    <w:rsid w:val="00D711B3"/>
    <w:rsid w:val="00D75490"/>
    <w:rsid w:val="00D75DFD"/>
    <w:rsid w:val="00D75EE9"/>
    <w:rsid w:val="00D81254"/>
    <w:rsid w:val="00D946BC"/>
    <w:rsid w:val="00D95795"/>
    <w:rsid w:val="00DA3FA9"/>
    <w:rsid w:val="00DB14C9"/>
    <w:rsid w:val="00DC3E3C"/>
    <w:rsid w:val="00DC58B1"/>
    <w:rsid w:val="00DC6A0B"/>
    <w:rsid w:val="00DC7512"/>
    <w:rsid w:val="00DD08EF"/>
    <w:rsid w:val="00DD63ED"/>
    <w:rsid w:val="00DE19D1"/>
    <w:rsid w:val="00DF4C0D"/>
    <w:rsid w:val="00DF640B"/>
    <w:rsid w:val="00DF6C3B"/>
    <w:rsid w:val="00DF732D"/>
    <w:rsid w:val="00E0130E"/>
    <w:rsid w:val="00E01837"/>
    <w:rsid w:val="00E04422"/>
    <w:rsid w:val="00E05E16"/>
    <w:rsid w:val="00E17F81"/>
    <w:rsid w:val="00E31272"/>
    <w:rsid w:val="00E324EA"/>
    <w:rsid w:val="00E4001F"/>
    <w:rsid w:val="00E400A3"/>
    <w:rsid w:val="00E444CE"/>
    <w:rsid w:val="00E57339"/>
    <w:rsid w:val="00E64FC1"/>
    <w:rsid w:val="00E749C0"/>
    <w:rsid w:val="00E80001"/>
    <w:rsid w:val="00E91654"/>
    <w:rsid w:val="00EA35D1"/>
    <w:rsid w:val="00EB04A3"/>
    <w:rsid w:val="00EB16D7"/>
    <w:rsid w:val="00EB794A"/>
    <w:rsid w:val="00EC7FF6"/>
    <w:rsid w:val="00EF7B93"/>
    <w:rsid w:val="00F20263"/>
    <w:rsid w:val="00F22808"/>
    <w:rsid w:val="00F31E1F"/>
    <w:rsid w:val="00F35889"/>
    <w:rsid w:val="00F457E4"/>
    <w:rsid w:val="00F53533"/>
    <w:rsid w:val="00F56F87"/>
    <w:rsid w:val="00F6432D"/>
    <w:rsid w:val="00F65E13"/>
    <w:rsid w:val="00F667AA"/>
    <w:rsid w:val="00F70383"/>
    <w:rsid w:val="00F730AD"/>
    <w:rsid w:val="00F7346B"/>
    <w:rsid w:val="00F74339"/>
    <w:rsid w:val="00F82CAD"/>
    <w:rsid w:val="00F853E0"/>
    <w:rsid w:val="00F97266"/>
    <w:rsid w:val="00F97A09"/>
    <w:rsid w:val="00FB0B9B"/>
    <w:rsid w:val="00FB2087"/>
    <w:rsid w:val="00FC4EFB"/>
    <w:rsid w:val="00FC75AF"/>
    <w:rsid w:val="00FD3D0B"/>
    <w:rsid w:val="00FE6C34"/>
    <w:rsid w:val="00FF24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AECBEC"/>
  <w15:docId w15:val="{FD0B20F5-B883-441C-8891-1912D8CE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24C"/>
    <w:pPr>
      <w:spacing w:after="120"/>
    </w:pPr>
  </w:style>
  <w:style w:type="paragraph" w:styleId="Heading1">
    <w:name w:val="heading 1"/>
    <w:basedOn w:val="Normal"/>
    <w:next w:val="Normal"/>
    <w:link w:val="Heading1Char"/>
    <w:uiPriority w:val="9"/>
    <w:qFormat/>
    <w:rsid w:val="00962C83"/>
    <w:pPr>
      <w:keepNext/>
      <w:keepLines/>
      <w:spacing w:before="480" w:line="264" w:lineRule="auto"/>
      <w:contextualSpacing/>
      <w:outlineLvl w:val="0"/>
    </w:pPr>
    <w:rPr>
      <w:rFonts w:asciiTheme="majorHAnsi" w:eastAsiaTheme="majorEastAsia" w:hAnsiTheme="majorHAnsi" w:cstheme="majorBidi"/>
      <w:b/>
      <w:bCs/>
      <w:color w:val="1E1226" w:themeColor="accent1" w:themeShade="BF"/>
      <w:sz w:val="40"/>
      <w:szCs w:val="28"/>
    </w:rPr>
  </w:style>
  <w:style w:type="paragraph" w:styleId="Heading2">
    <w:name w:val="heading 2"/>
    <w:basedOn w:val="Heading4"/>
    <w:next w:val="Normal"/>
    <w:link w:val="Heading2Char"/>
    <w:uiPriority w:val="9"/>
    <w:unhideWhenUsed/>
    <w:qFormat/>
    <w:rsid w:val="00102431"/>
    <w:pPr>
      <w:keepNext w:val="0"/>
      <w:spacing w:line="276" w:lineRule="auto"/>
      <w:outlineLvl w:val="1"/>
    </w:pPr>
    <w:rPr>
      <w:rFonts w:eastAsia="MS Mincho" w:cs="Calibri"/>
      <w:b w:val="0"/>
      <w:color w:val="000000" w:themeColor="text1"/>
      <w:sz w:val="22"/>
      <w:lang w:val="en-GB" w:eastAsia="ja-JP"/>
    </w:rPr>
  </w:style>
  <w:style w:type="paragraph" w:styleId="Heading3">
    <w:name w:val="heading 3"/>
    <w:basedOn w:val="Normal"/>
    <w:next w:val="Normal"/>
    <w:link w:val="Heading3Char"/>
    <w:uiPriority w:val="9"/>
    <w:unhideWhenUsed/>
    <w:qFormat/>
    <w:rsid w:val="00962C83"/>
    <w:pPr>
      <w:spacing w:before="240" w:after="60" w:line="264" w:lineRule="auto"/>
      <w:outlineLvl w:val="2"/>
    </w:pPr>
    <w:rPr>
      <w:rFonts w:ascii="Calibri" w:eastAsiaTheme="minorEastAsia" w:hAnsi="Calibri" w:cstheme="minorBidi"/>
      <w:b/>
      <w:bCs/>
      <w:color w:val="595959" w:themeColor="text1" w:themeTint="A6"/>
      <w:sz w:val="26"/>
      <w:szCs w:val="26"/>
    </w:rPr>
  </w:style>
  <w:style w:type="paragraph" w:styleId="Heading4">
    <w:name w:val="heading 4"/>
    <w:basedOn w:val="Subtitle"/>
    <w:next w:val="Normal"/>
    <w:link w:val="Heading4Char"/>
    <w:uiPriority w:val="9"/>
    <w:unhideWhenUsed/>
    <w:qFormat/>
    <w:rsid w:val="006A79A7"/>
    <w:pPr>
      <w:outlineLvl w:val="3"/>
    </w:pPr>
  </w:style>
  <w:style w:type="paragraph" w:styleId="Heading5">
    <w:name w:val="heading 5"/>
    <w:basedOn w:val="Normal"/>
    <w:next w:val="Normal"/>
    <w:link w:val="Heading5Char"/>
    <w:uiPriority w:val="9"/>
    <w:semiHidden/>
    <w:unhideWhenUsed/>
    <w:qFormat/>
    <w:rsid w:val="006A79A7"/>
    <w:pPr>
      <w:keepNext/>
      <w:keepLines/>
      <w:spacing w:before="200" w:line="264" w:lineRule="auto"/>
      <w:outlineLvl w:val="4"/>
    </w:pPr>
    <w:rPr>
      <w:rFonts w:asciiTheme="majorHAnsi" w:eastAsiaTheme="majorEastAsia" w:hAnsiTheme="majorHAnsi" w:cstheme="majorBidi"/>
      <w:color w:val="140C19" w:themeColor="accent1" w:themeShade="7F"/>
    </w:rPr>
  </w:style>
  <w:style w:type="paragraph" w:styleId="Heading6">
    <w:name w:val="heading 6"/>
    <w:basedOn w:val="Normal"/>
    <w:next w:val="Normal"/>
    <w:link w:val="Heading6Char"/>
    <w:uiPriority w:val="9"/>
    <w:semiHidden/>
    <w:unhideWhenUsed/>
    <w:qFormat/>
    <w:rsid w:val="006A79A7"/>
    <w:pPr>
      <w:keepNext/>
      <w:keepLines/>
      <w:spacing w:before="200" w:line="264" w:lineRule="auto"/>
      <w:outlineLvl w:val="5"/>
    </w:pPr>
    <w:rPr>
      <w:rFonts w:asciiTheme="majorHAnsi" w:eastAsiaTheme="majorEastAsia" w:hAnsiTheme="majorHAnsi" w:cstheme="majorBidi"/>
      <w:i/>
      <w:iCs/>
      <w:color w:val="140C19" w:themeColor="accent1" w:themeShade="7F"/>
    </w:rPr>
  </w:style>
  <w:style w:type="paragraph" w:styleId="Heading7">
    <w:name w:val="heading 7"/>
    <w:basedOn w:val="Normal"/>
    <w:next w:val="Normal"/>
    <w:link w:val="Heading7Char"/>
    <w:uiPriority w:val="9"/>
    <w:semiHidden/>
    <w:unhideWhenUsed/>
    <w:qFormat/>
    <w:rsid w:val="006A79A7"/>
    <w:pPr>
      <w:keepNext/>
      <w:keepLines/>
      <w:spacing w:before="200" w:line="264"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79A7"/>
    <w:pPr>
      <w:keepNext/>
      <w:keepLines/>
      <w:spacing w:before="200" w:line="264" w:lineRule="auto"/>
      <w:outlineLvl w:val="7"/>
    </w:pPr>
    <w:rPr>
      <w:rFonts w:asciiTheme="majorHAnsi" w:eastAsiaTheme="majorEastAsia" w:hAnsiTheme="majorHAnsi" w:cstheme="majorBidi"/>
      <w:color w:val="291933" w:themeColor="accent1"/>
      <w:szCs w:val="20"/>
    </w:rPr>
  </w:style>
  <w:style w:type="paragraph" w:styleId="Heading9">
    <w:name w:val="heading 9"/>
    <w:basedOn w:val="Normal"/>
    <w:next w:val="Normal"/>
    <w:link w:val="Heading9Char"/>
    <w:uiPriority w:val="9"/>
    <w:semiHidden/>
    <w:unhideWhenUsed/>
    <w:qFormat/>
    <w:rsid w:val="006A79A7"/>
    <w:pPr>
      <w:keepNext/>
      <w:keepLines/>
      <w:spacing w:before="200" w:line="264"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D0B"/>
    <w:pPr>
      <w:numPr>
        <w:numId w:val="12"/>
      </w:numPr>
      <w:ind w:left="1077" w:hanging="357"/>
      <w:contextualSpacing/>
      <w:jc w:val="both"/>
    </w:pPr>
    <w:rPr>
      <w:rFonts w:asciiTheme="minorHAnsi" w:hAnsiTheme="minorHAnsi" w:cs="Calibri"/>
      <w:sz w:val="20"/>
      <w:szCs w:val="20"/>
    </w:rPr>
  </w:style>
  <w:style w:type="paragraph" w:customStyle="1" w:styleId="csbullet">
    <w:name w:val="csbullet"/>
    <w:basedOn w:val="Normal"/>
    <w:rsid w:val="00881396"/>
    <w:pPr>
      <w:numPr>
        <w:ilvl w:val="1"/>
        <w:numId w:val="5"/>
      </w:numPr>
      <w:adjustRightInd w:val="0"/>
    </w:pPr>
    <w:rPr>
      <w:rFonts w:ascii="Calibri" w:hAnsi="Calibri"/>
      <w:sz w:val="20"/>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962C83"/>
    <w:rPr>
      <w:rFonts w:asciiTheme="majorHAnsi" w:eastAsiaTheme="majorEastAsia" w:hAnsiTheme="majorHAnsi" w:cstheme="majorBidi"/>
      <w:b/>
      <w:bCs/>
      <w:color w:val="1E1226" w:themeColor="accent1" w:themeShade="BF"/>
      <w:sz w:val="40"/>
      <w:szCs w:val="28"/>
      <w:lang w:val="en-AU"/>
    </w:rPr>
  </w:style>
  <w:style w:type="character" w:customStyle="1" w:styleId="Heading2Char">
    <w:name w:val="Heading 2 Char"/>
    <w:basedOn w:val="DefaultParagraphFont"/>
    <w:link w:val="Heading2"/>
    <w:uiPriority w:val="9"/>
    <w:rsid w:val="00102431"/>
    <w:rPr>
      <w:rFonts w:ascii="Franklin Gothic Book" w:eastAsia="MS Mincho" w:hAnsi="Franklin Gothic Book" w:cs="Calibri"/>
      <w:color w:val="404040" w:themeColor="text1" w:themeTint="BF"/>
      <w:szCs w:val="22"/>
      <w:lang w:val="en-GB" w:eastAsia="ja-JP"/>
    </w:rPr>
  </w:style>
  <w:style w:type="character" w:customStyle="1" w:styleId="Heading3Char">
    <w:name w:val="Heading 3 Char"/>
    <w:basedOn w:val="DefaultParagraphFont"/>
    <w:link w:val="Heading3"/>
    <w:uiPriority w:val="9"/>
    <w:rsid w:val="00962C83"/>
    <w:rPr>
      <w:rFonts w:ascii="Calibri" w:eastAsiaTheme="minorEastAsia" w:hAnsi="Calibri" w:cstheme="minorBidi"/>
      <w:b/>
      <w:bCs/>
      <w:color w:val="595959" w:themeColor="text1" w:themeTint="A6"/>
      <w:sz w:val="26"/>
      <w:szCs w:val="26"/>
      <w:lang w:val="en-AU"/>
    </w:rPr>
  </w:style>
  <w:style w:type="paragraph" w:styleId="NoSpacing">
    <w:name w:val="No Spacing"/>
    <w:basedOn w:val="Normal"/>
    <w:uiPriority w:val="1"/>
    <w:qFormat/>
    <w:rsid w:val="00962C83"/>
    <w:pPr>
      <w:keepNext/>
      <w:spacing w:line="264" w:lineRule="auto"/>
    </w:pPr>
    <w:rPr>
      <w:rFonts w:ascii="Calibri" w:eastAsiaTheme="minorEastAsia" w:hAnsi="Calibri" w:cstheme="minorBidi"/>
    </w:rPr>
  </w:style>
  <w:style w:type="paragraph" w:customStyle="1" w:styleId="Paragraph">
    <w:name w:val="Paragraph"/>
    <w:basedOn w:val="Normal"/>
    <w:link w:val="ParagraphChar"/>
    <w:qFormat/>
    <w:rsid w:val="00962C83"/>
    <w:pPr>
      <w:spacing w:before="120"/>
    </w:pPr>
    <w:rPr>
      <w:rFonts w:ascii="Calibri" w:hAnsi="Calibri" w:cs="Calibri"/>
    </w:rPr>
  </w:style>
  <w:style w:type="character" w:customStyle="1" w:styleId="ParagraphChar">
    <w:name w:val="Paragraph Char"/>
    <w:basedOn w:val="DefaultParagraphFont"/>
    <w:link w:val="Paragraph"/>
    <w:locked/>
    <w:rsid w:val="00962C83"/>
    <w:rPr>
      <w:rFonts w:ascii="Calibri" w:hAnsi="Calibri" w:cs="Calibri"/>
      <w:szCs w:val="22"/>
      <w:lang w:val="en-AU" w:eastAsia="en-AU"/>
    </w:rPr>
  </w:style>
  <w:style w:type="paragraph" w:customStyle="1" w:styleId="ListItem">
    <w:name w:val="List Item"/>
    <w:basedOn w:val="Paragraph"/>
    <w:link w:val="ListItemChar"/>
    <w:qFormat/>
    <w:rsid w:val="00962C83"/>
    <w:rPr>
      <w:iCs/>
    </w:rPr>
  </w:style>
  <w:style w:type="character" w:customStyle="1" w:styleId="ListItemChar">
    <w:name w:val="List Item Char"/>
    <w:basedOn w:val="DefaultParagraphFont"/>
    <w:link w:val="ListItem"/>
    <w:rsid w:val="00962C83"/>
    <w:rPr>
      <w:rFonts w:ascii="Calibri" w:hAnsi="Calibri" w:cs="Calibri"/>
      <w:iCs/>
      <w:szCs w:val="22"/>
      <w:lang w:val="en-AU" w:eastAsia="en-AU"/>
    </w:rPr>
  </w:style>
  <w:style w:type="paragraph" w:customStyle="1" w:styleId="Char">
    <w:name w:val="Char"/>
    <w:basedOn w:val="Normal"/>
    <w:rsid w:val="005E7B8B"/>
    <w:rPr>
      <w:szCs w:val="20"/>
    </w:rPr>
  </w:style>
  <w:style w:type="paragraph" w:styleId="Title">
    <w:name w:val="Title"/>
    <w:basedOn w:val="Normal"/>
    <w:link w:val="TitleChar"/>
    <w:qFormat/>
    <w:rsid w:val="005E7B8B"/>
    <w:pPr>
      <w:jc w:val="center"/>
    </w:pPr>
    <w:rPr>
      <w:b/>
      <w:bCs/>
    </w:rPr>
  </w:style>
  <w:style w:type="character" w:customStyle="1" w:styleId="TitleChar">
    <w:name w:val="Title Char"/>
    <w:basedOn w:val="DefaultParagraphFont"/>
    <w:link w:val="Title"/>
    <w:rsid w:val="005E7B8B"/>
    <w:rPr>
      <w:rFonts w:ascii="Times New Roman" w:eastAsia="Times New Roman" w:hAnsi="Times New Roman" w:cs="Times New Roman"/>
      <w:b/>
      <w:bCs/>
      <w:sz w:val="24"/>
    </w:rPr>
  </w:style>
  <w:style w:type="paragraph" w:customStyle="1" w:styleId="contentBullet">
    <w:name w:val="contentBullet"/>
    <w:basedOn w:val="Normal"/>
    <w:rsid w:val="005E7B8B"/>
  </w:style>
  <w:style w:type="character" w:customStyle="1" w:styleId="Heading4Char">
    <w:name w:val="Heading 4 Char"/>
    <w:basedOn w:val="DefaultParagraphFont"/>
    <w:link w:val="Heading4"/>
    <w:uiPriority w:val="9"/>
    <w:rsid w:val="006A79A7"/>
    <w:rPr>
      <w:rFonts w:ascii="Franklin Gothic Book" w:eastAsiaTheme="minorEastAsia" w:hAnsi="Franklin Gothic Book" w:cstheme="minorBidi"/>
      <w:b/>
      <w:color w:val="C9C2D1" w:themeColor="background2"/>
      <w:sz w:val="28"/>
      <w:szCs w:val="22"/>
      <w:lang w:val="en-AU"/>
    </w:rPr>
  </w:style>
  <w:style w:type="character" w:customStyle="1" w:styleId="Heading5Char">
    <w:name w:val="Heading 5 Char"/>
    <w:basedOn w:val="DefaultParagraphFont"/>
    <w:link w:val="Heading5"/>
    <w:uiPriority w:val="9"/>
    <w:semiHidden/>
    <w:rsid w:val="006A79A7"/>
    <w:rPr>
      <w:rFonts w:asciiTheme="majorHAnsi" w:eastAsiaTheme="majorEastAsia" w:hAnsiTheme="majorHAnsi" w:cstheme="majorBidi"/>
      <w:color w:val="140C19" w:themeColor="accent1" w:themeShade="7F"/>
      <w:szCs w:val="22"/>
      <w:lang w:val="en-AU"/>
    </w:rPr>
  </w:style>
  <w:style w:type="character" w:customStyle="1" w:styleId="Heading6Char">
    <w:name w:val="Heading 6 Char"/>
    <w:basedOn w:val="DefaultParagraphFont"/>
    <w:link w:val="Heading6"/>
    <w:uiPriority w:val="9"/>
    <w:semiHidden/>
    <w:rsid w:val="006A79A7"/>
    <w:rPr>
      <w:rFonts w:asciiTheme="majorHAnsi" w:eastAsiaTheme="majorEastAsia" w:hAnsiTheme="majorHAnsi" w:cstheme="majorBidi"/>
      <w:i/>
      <w:iCs/>
      <w:color w:val="140C19" w:themeColor="accent1" w:themeShade="7F"/>
      <w:szCs w:val="22"/>
      <w:lang w:val="en-AU"/>
    </w:rPr>
  </w:style>
  <w:style w:type="character" w:customStyle="1" w:styleId="Heading7Char">
    <w:name w:val="Heading 7 Char"/>
    <w:basedOn w:val="DefaultParagraphFont"/>
    <w:link w:val="Heading7"/>
    <w:uiPriority w:val="9"/>
    <w:semiHidden/>
    <w:rsid w:val="006A79A7"/>
    <w:rPr>
      <w:rFonts w:asciiTheme="majorHAnsi" w:eastAsiaTheme="majorEastAsia" w:hAnsiTheme="majorHAnsi" w:cstheme="majorBidi"/>
      <w:i/>
      <w:iCs/>
      <w:color w:val="404040" w:themeColor="text1" w:themeTint="BF"/>
      <w:szCs w:val="22"/>
      <w:lang w:val="en-AU"/>
    </w:rPr>
  </w:style>
  <w:style w:type="character" w:customStyle="1" w:styleId="Heading8Char">
    <w:name w:val="Heading 8 Char"/>
    <w:basedOn w:val="DefaultParagraphFont"/>
    <w:link w:val="Heading8"/>
    <w:uiPriority w:val="9"/>
    <w:semiHidden/>
    <w:rsid w:val="006A79A7"/>
    <w:rPr>
      <w:rFonts w:asciiTheme="majorHAnsi" w:eastAsiaTheme="majorEastAsia" w:hAnsiTheme="majorHAnsi" w:cstheme="majorBidi"/>
      <w:color w:val="291933" w:themeColor="accent1"/>
      <w:szCs w:val="20"/>
      <w:lang w:val="en-AU"/>
    </w:rPr>
  </w:style>
  <w:style w:type="character" w:customStyle="1" w:styleId="Heading9Char">
    <w:name w:val="Heading 9 Char"/>
    <w:basedOn w:val="DefaultParagraphFont"/>
    <w:link w:val="Heading9"/>
    <w:uiPriority w:val="9"/>
    <w:semiHidden/>
    <w:rsid w:val="006A79A7"/>
    <w:rPr>
      <w:rFonts w:asciiTheme="majorHAnsi" w:eastAsiaTheme="majorEastAsia" w:hAnsiTheme="majorHAnsi" w:cstheme="majorBidi"/>
      <w:i/>
      <w:iCs/>
      <w:color w:val="404040" w:themeColor="text1" w:themeTint="BF"/>
      <w:szCs w:val="20"/>
      <w:lang w:val="en-AU"/>
    </w:rPr>
  </w:style>
  <w:style w:type="paragraph" w:styleId="Caption">
    <w:name w:val="caption"/>
    <w:basedOn w:val="Normal"/>
    <w:next w:val="Normal"/>
    <w:uiPriority w:val="35"/>
    <w:semiHidden/>
    <w:unhideWhenUsed/>
    <w:qFormat/>
    <w:rsid w:val="006A79A7"/>
    <w:rPr>
      <w:rFonts w:ascii="Calibri" w:eastAsiaTheme="minorEastAsia" w:hAnsi="Calibri" w:cstheme="minorBidi"/>
      <w:b/>
      <w:bCs/>
      <w:color w:val="291933" w:themeColor="accent1"/>
      <w:sz w:val="18"/>
      <w:szCs w:val="18"/>
    </w:rPr>
  </w:style>
  <w:style w:type="paragraph" w:styleId="Subtitle">
    <w:name w:val="Subtitle"/>
    <w:basedOn w:val="Normal"/>
    <w:next w:val="Normal"/>
    <w:link w:val="SubtitleChar"/>
    <w:uiPriority w:val="11"/>
    <w:qFormat/>
    <w:rsid w:val="006A79A7"/>
    <w:pPr>
      <w:keepNext/>
      <w:spacing w:line="264" w:lineRule="auto"/>
    </w:pPr>
    <w:rPr>
      <w:rFonts w:ascii="Franklin Gothic Book" w:eastAsiaTheme="minorEastAsia" w:hAnsi="Franklin Gothic Book" w:cstheme="minorBidi"/>
      <w:b/>
      <w:color w:val="C9C2D1" w:themeColor="background2"/>
      <w:sz w:val="28"/>
    </w:rPr>
  </w:style>
  <w:style w:type="character" w:customStyle="1" w:styleId="SubtitleChar">
    <w:name w:val="Subtitle Char"/>
    <w:basedOn w:val="DefaultParagraphFont"/>
    <w:link w:val="Subtitle"/>
    <w:uiPriority w:val="11"/>
    <w:rsid w:val="006A79A7"/>
    <w:rPr>
      <w:rFonts w:ascii="Franklin Gothic Book" w:eastAsiaTheme="minorEastAsia" w:hAnsi="Franklin Gothic Book" w:cstheme="minorBidi"/>
      <w:b/>
      <w:color w:val="C9C2D1" w:themeColor="background2"/>
      <w:sz w:val="28"/>
      <w:szCs w:val="22"/>
      <w:lang w:val="en-AU"/>
    </w:rPr>
  </w:style>
  <w:style w:type="character" w:styleId="Strong">
    <w:name w:val="Strong"/>
    <w:basedOn w:val="DefaultParagraphFont"/>
    <w:uiPriority w:val="22"/>
    <w:qFormat/>
    <w:rsid w:val="006A79A7"/>
    <w:rPr>
      <w:b/>
      <w:bCs/>
    </w:rPr>
  </w:style>
  <w:style w:type="character" w:styleId="Emphasis">
    <w:name w:val="Emphasis"/>
    <w:basedOn w:val="DefaultParagraphFont"/>
    <w:uiPriority w:val="20"/>
    <w:qFormat/>
    <w:rsid w:val="006A79A7"/>
    <w:rPr>
      <w:i/>
      <w:iCs/>
    </w:rPr>
  </w:style>
  <w:style w:type="paragraph" w:styleId="Quote">
    <w:name w:val="Quote"/>
    <w:basedOn w:val="Normal"/>
    <w:next w:val="Normal"/>
    <w:link w:val="QuoteChar"/>
    <w:uiPriority w:val="29"/>
    <w:rsid w:val="006A79A7"/>
    <w:pPr>
      <w:spacing w:line="264" w:lineRule="auto"/>
    </w:pPr>
    <w:rPr>
      <w:rFonts w:ascii="Calibri" w:eastAsiaTheme="minorEastAsia" w:hAnsi="Calibri" w:cstheme="minorBidi"/>
      <w:i/>
      <w:iCs/>
      <w:color w:val="000000" w:themeColor="text1"/>
    </w:rPr>
  </w:style>
  <w:style w:type="character" w:customStyle="1" w:styleId="QuoteChar">
    <w:name w:val="Quote Char"/>
    <w:basedOn w:val="DefaultParagraphFont"/>
    <w:link w:val="Quote"/>
    <w:uiPriority w:val="29"/>
    <w:rsid w:val="006A79A7"/>
    <w:rPr>
      <w:rFonts w:ascii="Calibri" w:eastAsiaTheme="minorEastAsia" w:hAnsi="Calibri" w:cstheme="minorBidi"/>
      <w:i/>
      <w:iCs/>
      <w:color w:val="000000" w:themeColor="text1"/>
      <w:szCs w:val="22"/>
      <w:lang w:val="en-AU"/>
    </w:rPr>
  </w:style>
  <w:style w:type="paragraph" w:styleId="IntenseQuote">
    <w:name w:val="Intense Quote"/>
    <w:basedOn w:val="Normal"/>
    <w:next w:val="Normal"/>
    <w:link w:val="IntenseQuoteChar"/>
    <w:uiPriority w:val="30"/>
    <w:rsid w:val="006A79A7"/>
    <w:pPr>
      <w:pBdr>
        <w:bottom w:val="single" w:sz="4" w:space="4" w:color="291933" w:themeColor="accent1"/>
      </w:pBdr>
      <w:spacing w:before="200" w:after="280" w:line="264" w:lineRule="auto"/>
      <w:ind w:left="936" w:right="936"/>
    </w:pPr>
    <w:rPr>
      <w:rFonts w:ascii="Calibri" w:eastAsiaTheme="minorEastAsia" w:hAnsi="Calibri" w:cstheme="minorBidi"/>
      <w:b/>
      <w:bCs/>
      <w:i/>
      <w:iCs/>
      <w:color w:val="291933" w:themeColor="accent1"/>
    </w:rPr>
  </w:style>
  <w:style w:type="character" w:customStyle="1" w:styleId="IntenseQuoteChar">
    <w:name w:val="Intense Quote Char"/>
    <w:basedOn w:val="DefaultParagraphFont"/>
    <w:link w:val="IntenseQuote"/>
    <w:uiPriority w:val="30"/>
    <w:rsid w:val="006A79A7"/>
    <w:rPr>
      <w:rFonts w:ascii="Calibri" w:eastAsiaTheme="minorEastAsia" w:hAnsi="Calibri" w:cstheme="minorBidi"/>
      <w:b/>
      <w:bCs/>
      <w:i/>
      <w:iCs/>
      <w:color w:val="291933" w:themeColor="accent1"/>
      <w:szCs w:val="22"/>
      <w:lang w:val="en-AU"/>
    </w:rPr>
  </w:style>
  <w:style w:type="character" w:styleId="SubtleEmphasis">
    <w:name w:val="Subtle Emphasis"/>
    <w:basedOn w:val="DefaultParagraphFont"/>
    <w:uiPriority w:val="19"/>
    <w:qFormat/>
    <w:rsid w:val="006A79A7"/>
    <w:rPr>
      <w:i/>
      <w:iCs/>
      <w:color w:val="808080" w:themeColor="text1" w:themeTint="7F"/>
    </w:rPr>
  </w:style>
  <w:style w:type="character" w:styleId="IntenseEmphasis">
    <w:name w:val="Intense Emphasis"/>
    <w:basedOn w:val="DefaultParagraphFont"/>
    <w:uiPriority w:val="21"/>
    <w:qFormat/>
    <w:rsid w:val="006A79A7"/>
    <w:rPr>
      <w:b/>
      <w:bCs/>
      <w:i/>
      <w:iCs/>
      <w:color w:val="291933" w:themeColor="accent1"/>
    </w:rPr>
  </w:style>
  <w:style w:type="character" w:styleId="SubtleReference">
    <w:name w:val="Subtle Reference"/>
    <w:basedOn w:val="DefaultParagraphFont"/>
    <w:uiPriority w:val="31"/>
    <w:rsid w:val="006A79A7"/>
    <w:rPr>
      <w:smallCaps/>
      <w:color w:val="5D3972" w:themeColor="accent2"/>
      <w:u w:val="single"/>
    </w:rPr>
  </w:style>
  <w:style w:type="character" w:styleId="IntenseReference">
    <w:name w:val="Intense Reference"/>
    <w:basedOn w:val="DefaultParagraphFont"/>
    <w:uiPriority w:val="32"/>
    <w:rsid w:val="006A79A7"/>
    <w:rPr>
      <w:b/>
      <w:bCs/>
      <w:smallCaps/>
      <w:color w:val="5D3972" w:themeColor="accent2"/>
      <w:spacing w:val="5"/>
      <w:u w:val="single"/>
    </w:rPr>
  </w:style>
  <w:style w:type="character" w:styleId="BookTitle">
    <w:name w:val="Book Title"/>
    <w:basedOn w:val="DefaultParagraphFont"/>
    <w:uiPriority w:val="33"/>
    <w:rsid w:val="006A79A7"/>
    <w:rPr>
      <w:b/>
      <w:bCs/>
      <w:smallCaps/>
      <w:spacing w:val="5"/>
    </w:rPr>
  </w:style>
  <w:style w:type="paragraph" w:styleId="TOCHeading">
    <w:name w:val="TOC Heading"/>
    <w:basedOn w:val="Heading1"/>
    <w:next w:val="Normal"/>
    <w:uiPriority w:val="39"/>
    <w:unhideWhenUsed/>
    <w:qFormat/>
    <w:rsid w:val="006A79A7"/>
  </w:style>
  <w:style w:type="paragraph" w:styleId="ListBullet">
    <w:name w:val="List Bullet"/>
    <w:basedOn w:val="SCSATableListParagraph"/>
    <w:uiPriority w:val="99"/>
    <w:unhideWhenUsed/>
    <w:qFormat/>
    <w:rsid w:val="0032124C"/>
    <w:pPr>
      <w:numPr>
        <w:numId w:val="2"/>
      </w:numPr>
      <w:ind w:left="360" w:hanging="360"/>
    </w:pPr>
  </w:style>
  <w:style w:type="paragraph" w:styleId="BodyText">
    <w:name w:val="Body Text"/>
    <w:basedOn w:val="Normal"/>
    <w:link w:val="BodyTextChar"/>
    <w:rsid w:val="006A79A7"/>
    <w:pPr>
      <w:widowControl w:val="0"/>
      <w:spacing w:before="120" w:after="60"/>
    </w:pPr>
    <w:rPr>
      <w:szCs w:val="20"/>
    </w:rPr>
  </w:style>
  <w:style w:type="character" w:customStyle="1" w:styleId="BodyTextChar">
    <w:name w:val="Body Text Char"/>
    <w:basedOn w:val="DefaultParagraphFont"/>
    <w:link w:val="BodyText"/>
    <w:rsid w:val="006A79A7"/>
    <w:rPr>
      <w:rFonts w:ascii="Times New Roman" w:eastAsia="Times New Roman" w:hAnsi="Times New Roman" w:cs="Times New Roman"/>
      <w:sz w:val="24"/>
      <w:szCs w:val="20"/>
    </w:rPr>
  </w:style>
  <w:style w:type="table" w:styleId="LightList-Accent4">
    <w:name w:val="Light List Accent 4"/>
    <w:aliases w:val="Syllabus tables"/>
    <w:basedOn w:val="TableNormal"/>
    <w:uiPriority w:val="61"/>
    <w:rsid w:val="006A79A7"/>
    <w:pPr>
      <w:spacing w:after="0" w:line="240" w:lineRule="auto"/>
    </w:pPr>
    <w:rPr>
      <w:rFonts w:eastAsiaTheme="minorEastAsia" w:cstheme="minorBidi"/>
      <w:sz w:val="18"/>
      <w:lang w:val="en-AU"/>
    </w:r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wordWrap/>
        <w:spacing w:beforeLines="0" w:beforeAutospacing="0" w:afterLines="0" w:afterAutospacing="0" w:line="240" w:lineRule="auto"/>
        <w:jc w:val="left"/>
      </w:pPr>
      <w:rPr>
        <w:rFonts w:ascii="Arial" w:hAnsi="Arial"/>
        <w:b/>
        <w:bCs/>
        <w:color w:val="FFFFFF" w:themeColor="background1"/>
        <w:sz w:val="20"/>
      </w:rPr>
      <w:tblPr/>
      <w:tcPr>
        <w:shd w:val="clear" w:color="auto" w:fill="BD9FCF" w:themeFill="accent4"/>
        <w:vAlign w:val="center"/>
      </w:tcPr>
    </w:tblStylePr>
    <w:tblStylePr w:type="lastRow">
      <w:pPr>
        <w:wordWrap/>
        <w:spacing w:beforeLines="0" w:beforeAutospacing="0" w:afterLines="0" w:afterAutospacing="0" w:line="240" w:lineRule="auto"/>
        <w:jc w:val="left"/>
      </w:pPr>
      <w:rPr>
        <w:rFonts w:ascii="Arial" w:hAnsi="Arial"/>
        <w:b/>
        <w:bCs/>
        <w:sz w:val="20"/>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pPr>
        <w:wordWrap/>
        <w:spacing w:beforeLines="0" w:beforeAutospacing="0" w:afterLines="0" w:afterAutospacing="0" w:line="240" w:lineRule="auto"/>
        <w:jc w:val="center"/>
      </w:pPr>
      <w:rPr>
        <w:rFonts w:ascii="Arial" w:hAnsi="Arial"/>
        <w:b/>
        <w:bCs/>
        <w:sz w:val="18"/>
      </w:rPr>
      <w:tblPr/>
      <w:tcPr>
        <w:vAlign w:val="center"/>
      </w:tcPr>
    </w:tblStylePr>
    <w:tblStylePr w:type="lastCol">
      <w:pPr>
        <w:wordWrap/>
        <w:spacing w:beforeLines="0" w:beforeAutospacing="0" w:afterLines="0" w:afterAutospacing="0" w:line="240" w:lineRule="auto"/>
        <w:jc w:val="center"/>
      </w:pPr>
      <w:rPr>
        <w:rFonts w:ascii="Arial" w:hAnsi="Arial"/>
        <w:b/>
        <w:bCs/>
        <w:sz w:val="20"/>
      </w:rPr>
      <w:tblPr/>
      <w:tcPr>
        <w:vAlign w:val="center"/>
      </w:tcPr>
    </w:tblStylePr>
    <w:tblStylePr w:type="band1Vert">
      <w:pPr>
        <w:wordWrap/>
        <w:spacing w:beforeLines="0" w:beforeAutospacing="0" w:afterLines="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Vert">
      <w:pPr>
        <w:wordWrap/>
        <w:spacing w:beforeLines="0" w:beforeAutospacing="0" w:afterLines="0" w:afterAutospacing="0" w:line="240" w:lineRule="auto"/>
        <w:jc w:val="left"/>
      </w:pPr>
    </w:tblStylePr>
    <w:tblStylePr w:type="band1Horz">
      <w:pPr>
        <w:wordWrap/>
        <w:spacing w:beforeLines="0" w:beforeAutospacing="0" w:afterLines="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Horz">
      <w:pPr>
        <w:wordWrap/>
        <w:spacing w:beforeLines="0" w:beforeAutospacing="0" w:afterLines="0" w:afterAutospacing="0" w:line="240" w:lineRule="auto"/>
        <w:jc w:val="left"/>
      </w:pPr>
    </w:tblStylePr>
  </w:style>
  <w:style w:type="character" w:styleId="Hyperlink">
    <w:name w:val="Hyperlink"/>
    <w:basedOn w:val="DefaultParagraphFont"/>
    <w:uiPriority w:val="99"/>
    <w:unhideWhenUsed/>
    <w:rsid w:val="006A79A7"/>
    <w:rPr>
      <w:color w:val="410082" w:themeColor="hyperlink"/>
      <w:u w:val="none"/>
    </w:rPr>
  </w:style>
  <w:style w:type="table" w:styleId="LightList-Accent5">
    <w:name w:val="Light List Accent 5"/>
    <w:basedOn w:val="TableNormal"/>
    <w:uiPriority w:val="61"/>
    <w:rsid w:val="006A79A7"/>
    <w:pPr>
      <w:spacing w:after="0" w:line="240" w:lineRule="auto"/>
    </w:pPr>
    <w:rPr>
      <w:rFonts w:ascii="Calibri" w:eastAsiaTheme="minorEastAsia" w:hAnsi="Calibri" w:cstheme="minorBidi"/>
      <w:lang w:val="en-AU"/>
    </w:rPr>
    <w:tblPr>
      <w:tblStyleRowBandSize w:val="1"/>
      <w:tblStyleColBandSize w:val="1"/>
      <w:tblBorders>
        <w:top w:val="single" w:sz="8" w:space="0" w:color="DECFE7" w:themeColor="accent5"/>
        <w:left w:val="single" w:sz="8" w:space="0" w:color="DECFE7" w:themeColor="accent5"/>
        <w:bottom w:val="single" w:sz="8" w:space="0" w:color="DECFE7" w:themeColor="accent5"/>
        <w:right w:val="single" w:sz="8" w:space="0" w:color="DECFE7" w:themeColor="accent5"/>
      </w:tblBorders>
    </w:tblPr>
    <w:tblStylePr w:type="firstRow">
      <w:pPr>
        <w:spacing w:before="0" w:after="0" w:line="240" w:lineRule="auto"/>
      </w:pPr>
      <w:rPr>
        <w:b/>
        <w:bCs/>
        <w:color w:val="FFFFFF" w:themeColor="background1"/>
      </w:rPr>
      <w:tblPr/>
      <w:tcPr>
        <w:shd w:val="clear" w:color="auto" w:fill="DECFE7" w:themeFill="accent5"/>
      </w:tcPr>
    </w:tblStylePr>
    <w:tblStylePr w:type="lastRow">
      <w:pPr>
        <w:spacing w:before="0" w:after="0" w:line="240" w:lineRule="auto"/>
      </w:pPr>
      <w:rPr>
        <w:b/>
        <w:bCs/>
      </w:rPr>
      <w:tblPr/>
      <w:tcPr>
        <w:tcBorders>
          <w:top w:val="double" w:sz="6" w:space="0" w:color="DECFE7" w:themeColor="accent5"/>
          <w:left w:val="single" w:sz="8" w:space="0" w:color="DECFE7" w:themeColor="accent5"/>
          <w:bottom w:val="single" w:sz="8" w:space="0" w:color="DECFE7" w:themeColor="accent5"/>
          <w:right w:val="single" w:sz="8" w:space="0" w:color="DECFE7" w:themeColor="accent5"/>
        </w:tcBorders>
      </w:tcPr>
    </w:tblStylePr>
    <w:tblStylePr w:type="firstCol">
      <w:rPr>
        <w:b/>
        <w:bCs/>
      </w:rPr>
    </w:tblStylePr>
    <w:tblStylePr w:type="lastCol">
      <w:rPr>
        <w:b/>
        <w:bCs/>
      </w:rPr>
    </w:tblStylePr>
    <w:tblStylePr w:type="band1Vert">
      <w:tblPr/>
      <w:tcPr>
        <w:tcBorders>
          <w:top w:val="single" w:sz="8" w:space="0" w:color="DECFE7" w:themeColor="accent5"/>
          <w:left w:val="single" w:sz="8" w:space="0" w:color="DECFE7" w:themeColor="accent5"/>
          <w:bottom w:val="single" w:sz="8" w:space="0" w:color="DECFE7" w:themeColor="accent5"/>
          <w:right w:val="single" w:sz="8" w:space="0" w:color="DECFE7" w:themeColor="accent5"/>
        </w:tcBorders>
      </w:tcPr>
    </w:tblStylePr>
    <w:tblStylePr w:type="band1Horz">
      <w:tblPr/>
      <w:tcPr>
        <w:tcBorders>
          <w:top w:val="single" w:sz="8" w:space="0" w:color="DECFE7" w:themeColor="accent5"/>
          <w:left w:val="single" w:sz="8" w:space="0" w:color="DECFE7" w:themeColor="accent5"/>
          <w:bottom w:val="single" w:sz="8" w:space="0" w:color="DECFE7" w:themeColor="accent5"/>
          <w:right w:val="single" w:sz="8" w:space="0" w:color="DECFE7" w:themeColor="accent5"/>
        </w:tcBorders>
      </w:tcPr>
    </w:tblStylePr>
  </w:style>
  <w:style w:type="table" w:styleId="MediumGrid3-Accent4">
    <w:name w:val="Medium Grid 3 Accent 4"/>
    <w:basedOn w:val="TableNormal"/>
    <w:uiPriority w:val="69"/>
    <w:rsid w:val="006A79A7"/>
    <w:pPr>
      <w:spacing w:after="0" w:line="240" w:lineRule="auto"/>
    </w:pPr>
    <w:rPr>
      <w:rFonts w:ascii="Calibri" w:eastAsiaTheme="minorEastAsia" w:hAnsi="Calibr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7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9FC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9FC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9FC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9FC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CF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CFE7" w:themeFill="accent4" w:themeFillTint="7F"/>
      </w:tcPr>
    </w:tblStylePr>
  </w:style>
  <w:style w:type="table" w:styleId="MediumGrid3-Accent5">
    <w:name w:val="Medium Grid 3 Accent 5"/>
    <w:basedOn w:val="TableNormal"/>
    <w:uiPriority w:val="69"/>
    <w:rsid w:val="006A79A7"/>
    <w:pPr>
      <w:spacing w:after="0" w:line="240" w:lineRule="auto"/>
    </w:pPr>
    <w:rPr>
      <w:rFonts w:ascii="Calibri" w:eastAsiaTheme="minorEastAsia" w:hAnsi="Calibri" w:cstheme="minorBidi"/>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3F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CFE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CFE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CFE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CFE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7F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7F3" w:themeFill="accent5" w:themeFillTint="7F"/>
      </w:tcPr>
    </w:tblStylePr>
  </w:style>
  <w:style w:type="table" w:styleId="MediumShading1-Accent4">
    <w:name w:val="Medium Shading 1 Accent 4"/>
    <w:basedOn w:val="TableNormal"/>
    <w:uiPriority w:val="63"/>
    <w:rsid w:val="006A79A7"/>
    <w:pPr>
      <w:spacing w:after="0" w:line="240" w:lineRule="auto"/>
    </w:pPr>
    <w:rPr>
      <w:rFonts w:ascii="Calibri" w:eastAsiaTheme="minorEastAsia" w:hAnsi="Calibri" w:cstheme="minorBidi"/>
      <w:lang w:val="en-AU"/>
    </w:rPr>
    <w:tblPr>
      <w:tblStyleRowBandSize w:val="1"/>
      <w:tblStyleColBandSize w:val="1"/>
      <w:tblBorders>
        <w:top w:val="single" w:sz="8"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single" w:sz="8" w:space="0" w:color="CDB7DB" w:themeColor="accent4" w:themeTint="BF"/>
      </w:tblBorders>
    </w:tblPr>
    <w:tblStylePr w:type="firstRow">
      <w:pPr>
        <w:spacing w:before="0" w:after="0" w:line="240" w:lineRule="auto"/>
      </w:pPr>
      <w:rPr>
        <w:b/>
        <w:bCs/>
        <w:color w:val="FFFFFF" w:themeColor="background1"/>
      </w:rPr>
      <w:tblPr/>
      <w:tcPr>
        <w:tcBorders>
          <w:top w:val="single" w:sz="8"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nil"/>
          <w:insideV w:val="nil"/>
        </w:tcBorders>
        <w:shd w:val="clear" w:color="auto" w:fill="BD9FCF" w:themeFill="accent4"/>
      </w:tcPr>
    </w:tblStylePr>
    <w:tblStylePr w:type="lastRow">
      <w:pPr>
        <w:spacing w:before="0" w:after="0" w:line="240" w:lineRule="auto"/>
      </w:pPr>
      <w:rPr>
        <w:b/>
        <w:bCs/>
      </w:rPr>
      <w:tblPr/>
      <w:tcPr>
        <w:tcBorders>
          <w:top w:val="double" w:sz="6"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E7F3" w:themeFill="accent4" w:themeFillTint="3F"/>
      </w:tcPr>
    </w:tblStylePr>
    <w:tblStylePr w:type="band1Horz">
      <w:tblPr/>
      <w:tcPr>
        <w:tcBorders>
          <w:insideH w:val="nil"/>
          <w:insideV w:val="nil"/>
        </w:tcBorders>
        <w:shd w:val="clear" w:color="auto" w:fill="EEE7F3"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A79A7"/>
    <w:pPr>
      <w:spacing w:after="0" w:line="240" w:lineRule="auto"/>
    </w:pPr>
    <w:rPr>
      <w:rFonts w:ascii="Calibri" w:eastAsiaTheme="minorEastAsia" w:hAnsi="Calibri" w:cstheme="minorBidi"/>
      <w:lang w:val="en-AU"/>
    </w:r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insideH w:val="single" w:sz="8" w:space="0" w:color="BD9FCF" w:themeColor="accent4"/>
        <w:insideV w:val="single" w:sz="8" w:space="0" w:color="BD9FC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18" w:space="0" w:color="BD9FCF" w:themeColor="accent4"/>
          <w:right w:val="single" w:sz="8" w:space="0" w:color="BD9FCF" w:themeColor="accent4"/>
          <w:insideH w:val="nil"/>
          <w:insideV w:val="single" w:sz="8" w:space="0" w:color="BD9FC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insideH w:val="nil"/>
          <w:insideV w:val="single" w:sz="8" w:space="0" w:color="BD9FC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shd w:val="clear" w:color="auto" w:fill="EEE7F3" w:themeFill="accent4" w:themeFillTint="3F"/>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shd w:val="clear" w:color="auto" w:fill="EEE7F3" w:themeFill="accent4" w:themeFillTint="3F"/>
      </w:tcPr>
    </w:tblStylePr>
    <w:tblStylePr w:type="band2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tcPr>
    </w:tblStylePr>
  </w:style>
  <w:style w:type="paragraph" w:customStyle="1" w:styleId="Title2">
    <w:name w:val="Title2"/>
    <w:next w:val="Heading2"/>
    <w:qFormat/>
    <w:rsid w:val="006A79A7"/>
    <w:pPr>
      <w:pBdr>
        <w:bottom w:val="single" w:sz="8" w:space="1" w:color="BD9FCF" w:themeColor="accent4"/>
      </w:pBdr>
      <w:spacing w:before="5500" w:after="120"/>
    </w:pPr>
    <w:rPr>
      <w:rFonts w:asciiTheme="majorHAnsi" w:eastAsiaTheme="majorEastAsia" w:hAnsiTheme="majorHAnsi" w:cstheme="majorBidi"/>
      <w:smallCaps/>
      <w:color w:val="4E4D51" w:themeColor="text2" w:themeShade="BF"/>
      <w:spacing w:val="5"/>
      <w:kern w:val="28"/>
      <w:sz w:val="60"/>
      <w:szCs w:val="52"/>
      <w:lang w:val="en-AU"/>
    </w:rPr>
  </w:style>
  <w:style w:type="paragraph" w:customStyle="1" w:styleId="NoSpaceBold">
    <w:name w:val="NoSpace Bold"/>
    <w:basedOn w:val="Normal"/>
    <w:qFormat/>
    <w:rsid w:val="006A79A7"/>
    <w:pPr>
      <w:keepNext/>
      <w:spacing w:line="264" w:lineRule="auto"/>
    </w:pPr>
    <w:rPr>
      <w:rFonts w:ascii="Calibri" w:eastAsiaTheme="minorEastAsia" w:hAnsi="Calibri" w:cstheme="minorBidi"/>
      <w:b/>
    </w:rPr>
  </w:style>
  <w:style w:type="paragraph" w:styleId="ListBullet2">
    <w:name w:val="List Bullet 2"/>
    <w:basedOn w:val="ListBullet"/>
    <w:uiPriority w:val="99"/>
    <w:unhideWhenUsed/>
    <w:rsid w:val="0032124C"/>
    <w:pPr>
      <w:numPr>
        <w:ilvl w:val="1"/>
      </w:numPr>
      <w:ind w:left="717" w:hanging="360"/>
    </w:pPr>
  </w:style>
  <w:style w:type="numbering" w:customStyle="1" w:styleId="ListBullets">
    <w:name w:val="ListBullets"/>
    <w:uiPriority w:val="99"/>
    <w:rsid w:val="006A79A7"/>
    <w:pPr>
      <w:numPr>
        <w:numId w:val="3"/>
      </w:numPr>
    </w:pPr>
  </w:style>
  <w:style w:type="paragraph" w:styleId="List2">
    <w:name w:val="List 2"/>
    <w:basedOn w:val="Normal"/>
    <w:uiPriority w:val="99"/>
    <w:unhideWhenUsed/>
    <w:rsid w:val="006A79A7"/>
    <w:pPr>
      <w:spacing w:line="264" w:lineRule="auto"/>
      <w:ind w:left="566" w:hanging="283"/>
      <w:contextualSpacing/>
    </w:pPr>
    <w:rPr>
      <w:rFonts w:ascii="Calibri" w:eastAsiaTheme="minorEastAsia" w:hAnsi="Calibri" w:cstheme="minorBidi"/>
    </w:rPr>
  </w:style>
  <w:style w:type="paragraph" w:styleId="ListBullet3">
    <w:name w:val="List Bullet 3"/>
    <w:basedOn w:val="ListBullet2"/>
    <w:uiPriority w:val="99"/>
    <w:unhideWhenUsed/>
    <w:rsid w:val="00DF640B"/>
    <w:pPr>
      <w:numPr>
        <w:ilvl w:val="2"/>
      </w:numPr>
    </w:pPr>
  </w:style>
  <w:style w:type="paragraph" w:styleId="List4">
    <w:name w:val="List 4"/>
    <w:basedOn w:val="Normal"/>
    <w:uiPriority w:val="99"/>
    <w:semiHidden/>
    <w:unhideWhenUsed/>
    <w:rsid w:val="006A79A7"/>
    <w:pPr>
      <w:numPr>
        <w:ilvl w:val="3"/>
        <w:numId w:val="3"/>
      </w:numPr>
      <w:spacing w:line="264" w:lineRule="auto"/>
      <w:contextualSpacing/>
    </w:pPr>
    <w:rPr>
      <w:rFonts w:ascii="Calibri" w:eastAsiaTheme="minorEastAsia" w:hAnsi="Calibri" w:cstheme="minorBidi"/>
    </w:rPr>
  </w:style>
  <w:style w:type="paragraph" w:styleId="ListBullet5">
    <w:name w:val="List Bullet 5"/>
    <w:basedOn w:val="Normal"/>
    <w:uiPriority w:val="99"/>
    <w:semiHidden/>
    <w:unhideWhenUsed/>
    <w:rsid w:val="006A79A7"/>
    <w:pPr>
      <w:numPr>
        <w:ilvl w:val="4"/>
        <w:numId w:val="3"/>
      </w:numPr>
      <w:spacing w:line="264" w:lineRule="auto"/>
      <w:contextualSpacing/>
    </w:pPr>
    <w:rPr>
      <w:rFonts w:ascii="Calibri" w:eastAsiaTheme="minorEastAsia" w:hAnsi="Calibri" w:cstheme="minorBidi"/>
    </w:rPr>
  </w:style>
  <w:style w:type="paragraph" w:styleId="TOC3">
    <w:name w:val="toc 3"/>
    <w:basedOn w:val="Normal"/>
    <w:next w:val="Normal"/>
    <w:autoRedefine/>
    <w:uiPriority w:val="39"/>
    <w:unhideWhenUsed/>
    <w:qFormat/>
    <w:rsid w:val="006A79A7"/>
    <w:pPr>
      <w:spacing w:line="264" w:lineRule="auto"/>
      <w:ind w:left="442"/>
    </w:pPr>
    <w:rPr>
      <w:rFonts w:ascii="Calibri" w:eastAsiaTheme="minorEastAsia" w:hAnsi="Calibri" w:cstheme="minorBidi"/>
      <w:sz w:val="20"/>
    </w:rPr>
  </w:style>
  <w:style w:type="paragraph" w:styleId="TOC1">
    <w:name w:val="toc 1"/>
    <w:basedOn w:val="Normal"/>
    <w:next w:val="Normal"/>
    <w:autoRedefine/>
    <w:uiPriority w:val="39"/>
    <w:unhideWhenUsed/>
    <w:qFormat/>
    <w:rsid w:val="006A79A7"/>
    <w:pPr>
      <w:tabs>
        <w:tab w:val="right" w:leader="dot" w:pos="9736"/>
      </w:tabs>
      <w:spacing w:line="360" w:lineRule="auto"/>
      <w:contextualSpacing/>
    </w:pPr>
    <w:rPr>
      <w:rFonts w:ascii="Calibri" w:eastAsiaTheme="minorEastAsia" w:hAnsi="Calibri" w:cstheme="minorBidi"/>
      <w:b/>
      <w:sz w:val="20"/>
    </w:rPr>
  </w:style>
  <w:style w:type="paragraph" w:styleId="TOC2">
    <w:name w:val="toc 2"/>
    <w:basedOn w:val="Normal"/>
    <w:next w:val="Normal"/>
    <w:autoRedefine/>
    <w:uiPriority w:val="39"/>
    <w:unhideWhenUsed/>
    <w:qFormat/>
    <w:rsid w:val="006A79A7"/>
    <w:pPr>
      <w:spacing w:line="360" w:lineRule="auto"/>
      <w:ind w:left="221"/>
      <w:contextualSpacing/>
    </w:pPr>
    <w:rPr>
      <w:rFonts w:ascii="Calibri" w:eastAsiaTheme="minorEastAsia" w:hAnsi="Calibri" w:cstheme="minorBidi"/>
      <w:sz w:val="20"/>
    </w:rPr>
  </w:style>
  <w:style w:type="paragraph" w:customStyle="1" w:styleId="CharCharCharCharCharCharCharCharCharCharCharCharCharCharCharChar">
    <w:name w:val="Char Char Char Char Char Char Char Char Char Char Char Char Char Char Char Char"/>
    <w:basedOn w:val="Normal"/>
    <w:rsid w:val="006A79A7"/>
    <w:rPr>
      <w:szCs w:val="20"/>
    </w:rPr>
  </w:style>
  <w:style w:type="paragraph" w:customStyle="1" w:styleId="contentelab">
    <w:name w:val="contentelab"/>
    <w:basedOn w:val="Normal"/>
    <w:rsid w:val="006A79A7"/>
    <w:pPr>
      <w:numPr>
        <w:numId w:val="4"/>
      </w:numPr>
    </w:pPr>
  </w:style>
  <w:style w:type="paragraph" w:styleId="NormalWeb">
    <w:name w:val="Normal (Web)"/>
    <w:basedOn w:val="Normal"/>
    <w:uiPriority w:val="99"/>
    <w:unhideWhenUsed/>
    <w:rsid w:val="00FF241A"/>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5239AE"/>
    <w:rPr>
      <w:sz w:val="16"/>
      <w:szCs w:val="16"/>
    </w:rPr>
  </w:style>
  <w:style w:type="paragraph" w:styleId="CommentText">
    <w:name w:val="annotation text"/>
    <w:basedOn w:val="Normal"/>
    <w:link w:val="CommentTextChar"/>
    <w:uiPriority w:val="99"/>
    <w:unhideWhenUsed/>
    <w:rsid w:val="005239AE"/>
    <w:rPr>
      <w:sz w:val="20"/>
      <w:szCs w:val="20"/>
    </w:rPr>
  </w:style>
  <w:style w:type="character" w:customStyle="1" w:styleId="CommentTextChar">
    <w:name w:val="Comment Text Char"/>
    <w:basedOn w:val="DefaultParagraphFont"/>
    <w:link w:val="CommentText"/>
    <w:uiPriority w:val="99"/>
    <w:rsid w:val="005239AE"/>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5239AE"/>
    <w:rPr>
      <w:b/>
      <w:bCs/>
    </w:rPr>
  </w:style>
  <w:style w:type="character" w:customStyle="1" w:styleId="CommentSubjectChar">
    <w:name w:val="Comment Subject Char"/>
    <w:basedOn w:val="CommentTextChar"/>
    <w:link w:val="CommentSubject"/>
    <w:uiPriority w:val="99"/>
    <w:semiHidden/>
    <w:rsid w:val="005239AE"/>
    <w:rPr>
      <w:rFonts w:ascii="Times New Roman" w:eastAsia="Times New Roman" w:hAnsi="Times New Roman" w:cs="Times New Roman"/>
      <w:b/>
      <w:bCs/>
      <w:sz w:val="20"/>
      <w:szCs w:val="20"/>
      <w:lang w:val="en-AU" w:eastAsia="en-AU"/>
    </w:rPr>
  </w:style>
  <w:style w:type="paragraph" w:customStyle="1" w:styleId="SCSATitle1">
    <w:name w:val="SCSA Title 1"/>
    <w:basedOn w:val="Normal"/>
    <w:qFormat/>
    <w:rsid w:val="00F730AD"/>
    <w:pPr>
      <w:keepNext/>
      <w:spacing w:before="3500" w:after="0"/>
      <w:jc w:val="center"/>
    </w:pPr>
    <w:rPr>
      <w:rFonts w:asciiTheme="minorHAnsi" w:eastAsiaTheme="minorEastAsia" w:hAnsiTheme="minorHAnsi" w:cs="Times New Roman"/>
      <w:b/>
      <w:smallCaps/>
      <w:color w:val="580F8B"/>
      <w:sz w:val="40"/>
      <w:szCs w:val="52"/>
      <w:lang w:val="en-AU" w:eastAsia="en-AU"/>
    </w:rPr>
  </w:style>
  <w:style w:type="paragraph" w:customStyle="1" w:styleId="SCSATitle2">
    <w:name w:val="SCSA Title 2"/>
    <w:basedOn w:val="Normal"/>
    <w:qFormat/>
    <w:rsid w:val="00F730AD"/>
    <w:pPr>
      <w:keepNext/>
      <w:pBdr>
        <w:top w:val="single" w:sz="8" w:space="3" w:color="580F8B"/>
      </w:pBdr>
      <w:spacing w:after="0"/>
      <w:ind w:left="1701" w:right="1701"/>
      <w:jc w:val="center"/>
    </w:pPr>
    <w:rPr>
      <w:rFonts w:asciiTheme="minorHAnsi" w:eastAsiaTheme="minorEastAsia" w:hAnsiTheme="minorHAnsi" w:cs="Times New Roman"/>
      <w:b/>
      <w:smallCaps/>
      <w:color w:val="580F8B"/>
      <w:sz w:val="32"/>
      <w:szCs w:val="28"/>
      <w:lang w:val="en-AU" w:eastAsia="x-none"/>
    </w:rPr>
  </w:style>
  <w:style w:type="paragraph" w:customStyle="1" w:styleId="SCSATitle3">
    <w:name w:val="SCSA Title 3"/>
    <w:basedOn w:val="Normal"/>
    <w:qFormat/>
    <w:rsid w:val="00F730AD"/>
    <w:pPr>
      <w:keepNext/>
      <w:pBdr>
        <w:bottom w:val="single" w:sz="8" w:space="3" w:color="580F8B"/>
      </w:pBdr>
      <w:spacing w:after="0"/>
      <w:ind w:left="1701" w:right="1701"/>
      <w:jc w:val="center"/>
    </w:pPr>
    <w:rPr>
      <w:rFonts w:asciiTheme="minorHAnsi" w:eastAsiaTheme="minorEastAsia" w:hAnsiTheme="minorHAnsi" w:cs="Times New Roman"/>
      <w:b/>
      <w:smallCaps/>
      <w:color w:val="580F8B"/>
      <w:sz w:val="32"/>
      <w:szCs w:val="28"/>
      <w:lang w:val="en-AU" w:eastAsia="x-none"/>
    </w:rPr>
  </w:style>
  <w:style w:type="paragraph" w:customStyle="1" w:styleId="Footereven">
    <w:name w:val="Footer even"/>
    <w:basedOn w:val="Normal"/>
    <w:qFormat/>
    <w:rsid w:val="00F730AD"/>
    <w:pPr>
      <w:pBdr>
        <w:top w:val="single" w:sz="4" w:space="4" w:color="580F8B"/>
      </w:pBdr>
      <w:spacing w:after="0" w:line="240" w:lineRule="auto"/>
    </w:pPr>
    <w:rPr>
      <w:rFonts w:asciiTheme="minorHAnsi" w:eastAsiaTheme="minorEastAsia" w:hAnsiTheme="minorHAnsi" w:cs="Times New Roman"/>
      <w:b/>
      <w:noProof/>
      <w:color w:val="580F8B"/>
      <w:sz w:val="18"/>
      <w:szCs w:val="18"/>
      <w:lang w:val="en-AU" w:eastAsia="en-AU"/>
    </w:rPr>
  </w:style>
  <w:style w:type="paragraph" w:customStyle="1" w:styleId="Headerodd">
    <w:name w:val="Header odd"/>
    <w:basedOn w:val="Normal"/>
    <w:qFormat/>
    <w:rsid w:val="00F730AD"/>
    <w:pPr>
      <w:pBdr>
        <w:bottom w:val="single" w:sz="8" w:space="1" w:color="580F8B"/>
      </w:pBdr>
      <w:spacing w:after="0" w:line="240" w:lineRule="auto"/>
      <w:ind w:left="9356" w:right="-1134"/>
    </w:pPr>
    <w:rPr>
      <w:rFonts w:asciiTheme="minorHAnsi" w:eastAsiaTheme="minorEastAsia" w:hAnsiTheme="minorHAnsi" w:cs="Times New Roman"/>
      <w:b/>
      <w:noProof/>
      <w:color w:val="580F8B"/>
      <w:sz w:val="36"/>
      <w:szCs w:val="24"/>
      <w:lang w:val="en-AU" w:eastAsia="en-AU"/>
    </w:rPr>
  </w:style>
  <w:style w:type="paragraph" w:customStyle="1" w:styleId="Footerodd">
    <w:name w:val="Footer odd"/>
    <w:basedOn w:val="Normal"/>
    <w:qFormat/>
    <w:rsid w:val="00F730AD"/>
    <w:pPr>
      <w:pBdr>
        <w:top w:val="single" w:sz="4" w:space="4" w:color="580F8B"/>
      </w:pBdr>
      <w:spacing w:after="0" w:line="240" w:lineRule="auto"/>
      <w:jc w:val="right"/>
    </w:pPr>
    <w:rPr>
      <w:rFonts w:asciiTheme="minorHAnsi" w:eastAsiaTheme="minorEastAsia" w:hAnsiTheme="minorHAnsi" w:cs="Times New Roman"/>
      <w:b/>
      <w:noProof/>
      <w:color w:val="580F8B"/>
      <w:sz w:val="18"/>
      <w:szCs w:val="18"/>
      <w:lang w:val="en-AU" w:eastAsia="en-AU"/>
    </w:rPr>
  </w:style>
  <w:style w:type="paragraph" w:customStyle="1" w:styleId="Headereven">
    <w:name w:val="Header even"/>
    <w:basedOn w:val="Normal"/>
    <w:qFormat/>
    <w:rsid w:val="00F730AD"/>
    <w:pPr>
      <w:pBdr>
        <w:bottom w:val="single" w:sz="8" w:space="1" w:color="580F8B"/>
      </w:pBdr>
      <w:spacing w:after="0" w:line="240" w:lineRule="auto"/>
      <w:ind w:left="-1134" w:right="9356"/>
      <w:jc w:val="right"/>
    </w:pPr>
    <w:rPr>
      <w:rFonts w:asciiTheme="minorHAnsi" w:eastAsiaTheme="minorEastAsia" w:hAnsiTheme="minorHAnsi" w:cs="Times New Roman"/>
      <w:b/>
      <w:color w:val="580F8B"/>
      <w:sz w:val="36"/>
      <w:lang w:val="en-AU" w:eastAsia="en-AU"/>
    </w:rPr>
  </w:style>
  <w:style w:type="paragraph" w:customStyle="1" w:styleId="SCSAHeading1">
    <w:name w:val="SCSA Heading 1"/>
    <w:basedOn w:val="Heading1"/>
    <w:qFormat/>
    <w:rsid w:val="00F730AD"/>
    <w:pPr>
      <w:keepNext w:val="0"/>
      <w:keepLines w:val="0"/>
      <w:spacing w:before="0" w:after="0" w:line="276" w:lineRule="auto"/>
      <w:contextualSpacing w:val="0"/>
    </w:pPr>
    <w:rPr>
      <w:rFonts w:asciiTheme="minorHAnsi" w:hAnsiTheme="minorHAnsi"/>
      <w:b w:val="0"/>
      <w:bCs w:val="0"/>
      <w:color w:val="580F8B"/>
      <w:sz w:val="32"/>
      <w:szCs w:val="32"/>
      <w:lang w:val="en-AU" w:eastAsia="en-AU"/>
    </w:rPr>
  </w:style>
  <w:style w:type="paragraph" w:customStyle="1" w:styleId="SCSAHeading2">
    <w:name w:val="SCSA Heading 2"/>
    <w:basedOn w:val="Heading2"/>
    <w:qFormat/>
    <w:rsid w:val="00F730AD"/>
    <w:rPr>
      <w:rFonts w:asciiTheme="minorHAnsi" w:eastAsiaTheme="majorEastAsia" w:hAnsiTheme="minorHAnsi" w:cstheme="majorBidi"/>
      <w:color w:val="580F8B"/>
      <w:sz w:val="28"/>
      <w:szCs w:val="26"/>
      <w:lang w:val="en-AU" w:eastAsia="en-AU"/>
    </w:rPr>
  </w:style>
  <w:style w:type="paragraph" w:customStyle="1" w:styleId="SCSATableHeadingnospace">
    <w:name w:val="SCSA Table Heading no space"/>
    <w:basedOn w:val="Normal"/>
    <w:qFormat/>
    <w:rsid w:val="0032124C"/>
    <w:pPr>
      <w:keepNext/>
      <w:spacing w:after="0" w:line="240" w:lineRule="auto"/>
    </w:pPr>
    <w:rPr>
      <w:rFonts w:asciiTheme="minorHAnsi" w:eastAsiaTheme="minorEastAsia" w:hAnsiTheme="minorHAnsi" w:cstheme="minorHAnsi"/>
      <w:b/>
      <w:bCs/>
      <w:sz w:val="20"/>
      <w:szCs w:val="28"/>
    </w:rPr>
  </w:style>
  <w:style w:type="paragraph" w:styleId="ListBullet4">
    <w:name w:val="List Bullet 4"/>
    <w:basedOn w:val="csbullet"/>
    <w:uiPriority w:val="99"/>
    <w:unhideWhenUsed/>
    <w:rsid w:val="00451D64"/>
    <w:pPr>
      <w:numPr>
        <w:numId w:val="7"/>
      </w:numPr>
      <w:tabs>
        <w:tab w:val="left" w:pos="2401"/>
      </w:tabs>
      <w:spacing w:after="0" w:line="240" w:lineRule="auto"/>
    </w:pPr>
    <w:rPr>
      <w:rFonts w:eastAsia="Times New Roman"/>
      <w:noProof/>
    </w:rPr>
  </w:style>
  <w:style w:type="paragraph" w:customStyle="1" w:styleId="SCSATableListParagraph">
    <w:name w:val="SCSA Table List Paragraph"/>
    <w:basedOn w:val="ListParagraph"/>
    <w:qFormat/>
    <w:rsid w:val="0032124C"/>
    <w:pPr>
      <w:numPr>
        <w:numId w:val="0"/>
      </w:numPr>
      <w:spacing w:after="0" w:line="240" w:lineRule="auto"/>
      <w:jc w:val="left"/>
    </w:pPr>
    <w:rPr>
      <w:rFonts w:eastAsiaTheme="minorEastAsia" w:cs="Times New Roman"/>
      <w:szCs w:val="22"/>
      <w:lang w:val="en-AU" w:eastAsia="en-AU"/>
    </w:rPr>
  </w:style>
  <w:style w:type="paragraph" w:customStyle="1" w:styleId="SCSATableHeading">
    <w:name w:val="SCSA Table Heading"/>
    <w:basedOn w:val="Normal"/>
    <w:qFormat/>
    <w:rsid w:val="0032124C"/>
    <w:pPr>
      <w:keepNext/>
      <w:spacing w:before="120" w:after="0" w:line="240" w:lineRule="auto"/>
    </w:pPr>
    <w:rPr>
      <w:rFonts w:asciiTheme="minorHAnsi" w:eastAsiaTheme="minorEastAsia" w:hAnsiTheme="minorHAnsi" w:cstheme="minorHAnsi"/>
      <w:b/>
      <w:bCs/>
      <w:sz w:val="20"/>
      <w:szCs w:val="28"/>
      <w:lang w:val="en-AU" w:eastAsia="en-AU"/>
    </w:rPr>
  </w:style>
  <w:style w:type="numbering" w:customStyle="1" w:styleId="SCSABulletList">
    <w:name w:val="SCSA Bullet List"/>
    <w:uiPriority w:val="99"/>
    <w:rsid w:val="00F730AD"/>
    <w:pPr>
      <w:numPr>
        <w:numId w:val="28"/>
      </w:numPr>
    </w:pPr>
  </w:style>
  <w:style w:type="table" w:customStyle="1" w:styleId="SCSATable">
    <w:name w:val="SCSA Table"/>
    <w:basedOn w:val="TableNormal"/>
    <w:uiPriority w:val="99"/>
    <w:rsid w:val="00F730AD"/>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324647">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1407415664">
      <w:bodyDiv w:val="1"/>
      <w:marLeft w:val="0"/>
      <w:marRight w:val="0"/>
      <w:marTop w:val="0"/>
      <w:marBottom w:val="0"/>
      <w:divBdr>
        <w:top w:val="none" w:sz="0" w:space="0" w:color="auto"/>
        <w:left w:val="none" w:sz="0" w:space="0" w:color="auto"/>
        <w:bottom w:val="none" w:sz="0" w:space="0" w:color="auto"/>
        <w:right w:val="none" w:sz="0" w:space="0" w:color="auto"/>
      </w:divBdr>
    </w:div>
    <w:div w:id="187893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D48A2-27E3-4CD5-BE45-4469D1F9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Giles</dc:creator>
  <cp:lastModifiedBy>Jeni Jakovleva</cp:lastModifiedBy>
  <cp:revision>10</cp:revision>
  <cp:lastPrinted>2023-02-14T08:38:00Z</cp:lastPrinted>
  <dcterms:created xsi:type="dcterms:W3CDTF">2024-04-03T04:13:00Z</dcterms:created>
  <dcterms:modified xsi:type="dcterms:W3CDTF">2024-07-02T00:30:00Z</dcterms:modified>
</cp:coreProperties>
</file>