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D079" w14:textId="3DE0E38C" w:rsidR="003B10BB" w:rsidRPr="00A84441" w:rsidRDefault="003B10BB" w:rsidP="00880481">
      <w:pPr>
        <w:pStyle w:val="SCSAY11-12Title1"/>
      </w:pPr>
      <w:r w:rsidRPr="00A84441">
        <w:t>Sample Assessment Outline</w:t>
      </w:r>
    </w:p>
    <w:p w14:paraId="57F157CB" w14:textId="77777777" w:rsidR="003B10BB" w:rsidRPr="00A84441" w:rsidRDefault="003B10BB" w:rsidP="00880481">
      <w:pPr>
        <w:pStyle w:val="SCSAY11-12Title2"/>
      </w:pPr>
      <w:r w:rsidRPr="00A84441">
        <w:t>Business Management and Enterprise</w:t>
      </w:r>
    </w:p>
    <w:p w14:paraId="60C1FC88" w14:textId="173B0FCE" w:rsidR="003B10BB" w:rsidRPr="00A84441" w:rsidRDefault="00201159" w:rsidP="00880481">
      <w:pPr>
        <w:pStyle w:val="SCSAY11-12Title3"/>
      </w:pPr>
      <w:r w:rsidRPr="00A84441">
        <w:t>General</w:t>
      </w:r>
      <w:r w:rsidR="003B10BB" w:rsidRPr="00A84441">
        <w:t xml:space="preserve"> Year 1</w:t>
      </w:r>
      <w:r w:rsidRPr="00A84441">
        <w:t>2</w:t>
      </w:r>
    </w:p>
    <w:p w14:paraId="0D01DBEE" w14:textId="77777777" w:rsidR="003B10BB" w:rsidRPr="00A84441" w:rsidRDefault="003B10BB" w:rsidP="0039713D">
      <w:pPr>
        <w:spacing w:line="264" w:lineRule="auto"/>
      </w:pPr>
      <w:r w:rsidRPr="00A84441">
        <w:br w:type="page"/>
      </w:r>
    </w:p>
    <w:p w14:paraId="3DE0B324" w14:textId="77777777" w:rsidR="00880481" w:rsidRPr="00A84441" w:rsidRDefault="00880481" w:rsidP="00080EDB">
      <w:pPr>
        <w:keepNext/>
        <w:rPr>
          <w:rFonts w:eastAsia="SimHei" w:cs="Calibri"/>
          <w:b/>
        </w:rPr>
      </w:pPr>
      <w:bookmarkStart w:id="0" w:name="_Hlk175573159"/>
      <w:r w:rsidRPr="00A84441">
        <w:rPr>
          <w:rFonts w:eastAsia="SimHei" w:cs="Calibri"/>
          <w:b/>
        </w:rPr>
        <w:lastRenderedPageBreak/>
        <w:t>Acknowledgement of Country</w:t>
      </w:r>
    </w:p>
    <w:p w14:paraId="70454BE9" w14:textId="77777777" w:rsidR="00880481" w:rsidRPr="00A84441" w:rsidRDefault="00880481" w:rsidP="00CC0CEC">
      <w:pPr>
        <w:spacing w:after="6480"/>
        <w:rPr>
          <w:b/>
          <w:sz w:val="16"/>
        </w:rPr>
      </w:pPr>
      <w:r w:rsidRPr="00A84441">
        <w:rPr>
          <w:rFonts w:eastAsia="SimHei" w:cs="Calibri"/>
        </w:rPr>
        <w:t xml:space="preserve">Kaya. The School Curriculum and Standards Authority (the Authority) acknowledges that our offices are on Whadjuk Noongar </w:t>
      </w:r>
      <w:proofErr w:type="spellStart"/>
      <w:r w:rsidRPr="00A84441">
        <w:rPr>
          <w:rFonts w:eastAsia="SimHei" w:cs="Calibri"/>
        </w:rPr>
        <w:t>boodjar</w:t>
      </w:r>
      <w:proofErr w:type="spellEnd"/>
      <w:r w:rsidRPr="00A84441">
        <w:rPr>
          <w:rFonts w:eastAsia="SimHei" w:cs="Calibr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bookmarkEnd w:id="0"/>
    <w:p w14:paraId="16640220" w14:textId="77777777" w:rsidR="00880481" w:rsidRPr="00A84441" w:rsidRDefault="00880481" w:rsidP="00080EDB">
      <w:pPr>
        <w:jc w:val="both"/>
        <w:rPr>
          <w:rFonts w:cstheme="minorHAnsi"/>
          <w:b/>
          <w:sz w:val="20"/>
          <w:szCs w:val="20"/>
        </w:rPr>
      </w:pPr>
      <w:r w:rsidRPr="00A84441">
        <w:rPr>
          <w:rFonts w:cstheme="minorHAnsi"/>
          <w:b/>
          <w:sz w:val="20"/>
          <w:szCs w:val="20"/>
        </w:rPr>
        <w:t>Copyright</w:t>
      </w:r>
    </w:p>
    <w:p w14:paraId="15B23F3F" w14:textId="2128C562" w:rsidR="00880481" w:rsidRPr="00A84441" w:rsidRDefault="00880481" w:rsidP="003D3610">
      <w:pPr>
        <w:jc w:val="both"/>
        <w:rPr>
          <w:rFonts w:cstheme="minorHAnsi"/>
          <w:sz w:val="20"/>
          <w:szCs w:val="20"/>
        </w:rPr>
      </w:pPr>
      <w:r w:rsidRPr="00A84441">
        <w:rPr>
          <w:rFonts w:cstheme="minorHAnsi"/>
          <w:sz w:val="20"/>
          <w:szCs w:val="20"/>
        </w:rPr>
        <w:t>© School Curriculum and Standards Authority, 2024</w:t>
      </w:r>
    </w:p>
    <w:p w14:paraId="72312182" w14:textId="77777777" w:rsidR="00880481" w:rsidRPr="00A84441" w:rsidRDefault="00880481" w:rsidP="003D3610">
      <w:pPr>
        <w:rPr>
          <w:rFonts w:cstheme="minorHAnsi"/>
          <w:sz w:val="20"/>
          <w:szCs w:val="20"/>
        </w:rPr>
      </w:pPr>
      <w:r w:rsidRPr="00A84441">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1DF7F52" w14:textId="77777777" w:rsidR="00880481" w:rsidRPr="00A84441" w:rsidRDefault="00880481" w:rsidP="003D3610">
      <w:pPr>
        <w:rPr>
          <w:rFonts w:cstheme="minorHAnsi"/>
          <w:sz w:val="20"/>
          <w:szCs w:val="20"/>
        </w:rPr>
      </w:pPr>
      <w:r w:rsidRPr="00A84441">
        <w:rPr>
          <w:rFonts w:cstheme="minorHAnsi"/>
          <w:sz w:val="20"/>
          <w:szCs w:val="20"/>
        </w:rPr>
        <w:t>Copying or communication for any other purpose can be done only within the terms of the</w:t>
      </w:r>
      <w:r w:rsidRPr="00A84441">
        <w:rPr>
          <w:rFonts w:cstheme="minorHAnsi"/>
          <w:i/>
          <w:iCs/>
          <w:sz w:val="20"/>
          <w:szCs w:val="20"/>
        </w:rPr>
        <w:t xml:space="preserve"> Copyright Act 1968</w:t>
      </w:r>
      <w:r w:rsidRPr="00A84441">
        <w:rPr>
          <w:rFonts w:cstheme="minorHAnsi"/>
          <w:sz w:val="20"/>
          <w:szCs w:val="20"/>
        </w:rPr>
        <w:t xml:space="preserve"> or with prior written permission of the Authority. Copying or communication of any third-party copyright material can be done only within the terms of the </w:t>
      </w:r>
      <w:r w:rsidRPr="00A84441">
        <w:rPr>
          <w:rFonts w:cstheme="minorHAnsi"/>
          <w:i/>
          <w:iCs/>
          <w:sz w:val="20"/>
          <w:szCs w:val="20"/>
        </w:rPr>
        <w:t>Copyright Act 1968</w:t>
      </w:r>
      <w:r w:rsidRPr="00A84441">
        <w:rPr>
          <w:rFonts w:cstheme="minorHAnsi"/>
          <w:sz w:val="20"/>
          <w:szCs w:val="20"/>
        </w:rPr>
        <w:t xml:space="preserve"> or with permission of the copyright owners.</w:t>
      </w:r>
    </w:p>
    <w:p w14:paraId="562459CF" w14:textId="69D41D9A" w:rsidR="00880481" w:rsidRPr="00A84441" w:rsidRDefault="00880481" w:rsidP="003D3610">
      <w:pPr>
        <w:rPr>
          <w:rFonts w:cstheme="minorHAnsi"/>
          <w:sz w:val="20"/>
          <w:szCs w:val="20"/>
        </w:rPr>
      </w:pPr>
      <w:r w:rsidRPr="00A84441">
        <w:rPr>
          <w:rFonts w:cstheme="minorHAnsi"/>
          <w:sz w:val="20"/>
          <w:szCs w:val="20"/>
        </w:rPr>
        <w:t xml:space="preserve">Any content in this document that has been derived from the Australian Curriculum may be used under the terms of the </w:t>
      </w:r>
      <w:hyperlink r:id="rId11" w:tgtFrame="_blank" w:history="1">
        <w:r w:rsidRPr="00A84441">
          <w:rPr>
            <w:rFonts w:cstheme="minorHAnsi"/>
            <w:color w:val="580F8B"/>
            <w:sz w:val="20"/>
            <w:szCs w:val="20"/>
            <w:u w:val="single"/>
          </w:rPr>
          <w:t>Creative Commons Attribution 4.0 International licence</w:t>
        </w:r>
      </w:hyperlink>
      <w:r w:rsidRPr="00A84441">
        <w:rPr>
          <w:rFonts w:cstheme="minorHAnsi"/>
          <w:sz w:val="20"/>
          <w:szCs w:val="20"/>
        </w:rPr>
        <w:t>.</w:t>
      </w:r>
    </w:p>
    <w:p w14:paraId="4B963F0D" w14:textId="77777777" w:rsidR="00880481" w:rsidRPr="00A84441" w:rsidRDefault="00880481" w:rsidP="003D3610">
      <w:pPr>
        <w:jc w:val="both"/>
        <w:rPr>
          <w:rFonts w:cstheme="minorHAnsi"/>
          <w:b/>
          <w:sz w:val="20"/>
          <w:szCs w:val="20"/>
        </w:rPr>
      </w:pPr>
      <w:r w:rsidRPr="00A84441">
        <w:rPr>
          <w:rFonts w:cstheme="minorHAnsi"/>
          <w:b/>
          <w:sz w:val="20"/>
          <w:szCs w:val="20"/>
        </w:rPr>
        <w:t>Disclaimer</w:t>
      </w:r>
    </w:p>
    <w:p w14:paraId="5DFDC24B" w14:textId="77777777" w:rsidR="00880481" w:rsidRPr="00A84441" w:rsidRDefault="00880481" w:rsidP="003D3610">
      <w:pPr>
        <w:rPr>
          <w:rFonts w:cstheme="minorHAnsi"/>
          <w:sz w:val="20"/>
          <w:szCs w:val="20"/>
        </w:rPr>
      </w:pPr>
      <w:r w:rsidRPr="00A84441">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C42C65E" w14:textId="77777777" w:rsidR="003B10BB" w:rsidRPr="00A84441" w:rsidRDefault="003B10BB" w:rsidP="0039713D">
      <w:pPr>
        <w:spacing w:line="264" w:lineRule="auto"/>
        <w:ind w:right="68"/>
        <w:jc w:val="both"/>
        <w:rPr>
          <w:sz w:val="16"/>
        </w:rPr>
        <w:sectPr w:rsidR="003B10BB" w:rsidRPr="00A84441" w:rsidSect="00E44935">
          <w:footerReference w:type="even" r:id="rId12"/>
          <w:footerReference w:type="default" r:id="rId13"/>
          <w:headerReference w:type="first" r:id="rId14"/>
          <w:pgSz w:w="11906" w:h="16838" w:code="9"/>
          <w:pgMar w:top="1440" w:right="1440" w:bottom="1440" w:left="1440" w:header="680" w:footer="567" w:gutter="0"/>
          <w:pgNumType w:start="1"/>
          <w:cols w:space="708"/>
          <w:titlePg/>
          <w:docGrid w:linePitch="360"/>
        </w:sectPr>
      </w:pPr>
    </w:p>
    <w:p w14:paraId="105D9C09" w14:textId="1B5C4656" w:rsidR="003B10BB" w:rsidRPr="00A84441" w:rsidRDefault="003B10BB" w:rsidP="00D20CF4">
      <w:pPr>
        <w:pStyle w:val="SCSAY11-12Heading1"/>
      </w:pPr>
      <w:r w:rsidRPr="00A84441">
        <w:lastRenderedPageBreak/>
        <w:t>Sample assessment outline</w:t>
      </w:r>
      <w:r w:rsidR="00D20CF4">
        <w:t xml:space="preserve"> – </w:t>
      </w:r>
      <w:r w:rsidRPr="00A84441">
        <w:t xml:space="preserve">Business </w:t>
      </w:r>
      <w:r w:rsidRPr="00D20CF4">
        <w:t>Management</w:t>
      </w:r>
      <w:r w:rsidRPr="00A84441">
        <w:t xml:space="preserve"> and Enterprise </w:t>
      </w:r>
      <w:r w:rsidR="004E5B6C" w:rsidRPr="00A84441">
        <w:t>–</w:t>
      </w:r>
      <w:r w:rsidRPr="00A84441">
        <w:t xml:space="preserve"> </w:t>
      </w:r>
      <w:r w:rsidR="00201159" w:rsidRPr="00A84441">
        <w:t>General</w:t>
      </w:r>
      <w:r w:rsidRPr="00A84441">
        <w:t xml:space="preserve"> Year 1</w:t>
      </w:r>
      <w:r w:rsidR="00201159" w:rsidRPr="00A84441">
        <w:t>2</w:t>
      </w:r>
    </w:p>
    <w:p w14:paraId="7237AE2D" w14:textId="6ED384BC" w:rsidR="003B3E18" w:rsidRPr="00D20CF4" w:rsidRDefault="003B3E18" w:rsidP="00D20CF4">
      <w:pPr>
        <w:pStyle w:val="SCSAY11-12Heading2"/>
      </w:pPr>
      <w:r w:rsidRPr="00A84441">
        <w:t xml:space="preserve">Units </w:t>
      </w:r>
      <w:r w:rsidR="00F10D3F" w:rsidRPr="00A84441">
        <w:t>3</w:t>
      </w:r>
      <w:r w:rsidRPr="00A84441">
        <w:t xml:space="preserve"> and </w:t>
      </w:r>
      <w:r w:rsidR="00F10D3F" w:rsidRPr="00A84441">
        <w:t>4</w:t>
      </w:r>
    </w:p>
    <w:tbl>
      <w:tblPr>
        <w:tblStyle w:val="SCSATable"/>
        <w:tblW w:w="5000" w:type="pct"/>
        <w:tblLayout w:type="fixed"/>
        <w:tblCellMar>
          <w:top w:w="28" w:type="dxa"/>
          <w:bottom w:w="28" w:type="dxa"/>
        </w:tblCellMar>
        <w:tblLook w:val="04A0" w:firstRow="1" w:lastRow="0" w:firstColumn="1" w:lastColumn="0" w:noHBand="0" w:noVBand="1"/>
      </w:tblPr>
      <w:tblGrid>
        <w:gridCol w:w="1127"/>
        <w:gridCol w:w="1416"/>
        <w:gridCol w:w="1562"/>
        <w:gridCol w:w="1276"/>
        <w:gridCol w:w="8611"/>
      </w:tblGrid>
      <w:tr w:rsidR="000C77AD" w:rsidRPr="00A84441" w14:paraId="04CD5B92" w14:textId="77777777" w:rsidTr="009861BD">
        <w:trPr>
          <w:cnfStyle w:val="100000000000" w:firstRow="1" w:lastRow="0" w:firstColumn="0" w:lastColumn="0" w:oddVBand="0" w:evenVBand="0" w:oddHBand="0" w:evenHBand="0" w:firstRowFirstColumn="0" w:firstRowLastColumn="0" w:lastRowFirstColumn="0" w:lastRowLastColumn="0"/>
        </w:trPr>
        <w:tc>
          <w:tcPr>
            <w:tcW w:w="403" w:type="pct"/>
            <w:tcMar>
              <w:left w:w="57" w:type="dxa"/>
              <w:right w:w="57" w:type="dxa"/>
            </w:tcMar>
            <w:vAlign w:val="center"/>
            <w:hideMark/>
          </w:tcPr>
          <w:p w14:paraId="5D21FB4B" w14:textId="40AC76DC" w:rsidR="00821845" w:rsidRPr="00A84441" w:rsidRDefault="00821845" w:rsidP="009861BD">
            <w:pPr>
              <w:spacing w:line="240" w:lineRule="auto"/>
              <w:jc w:val="center"/>
            </w:pPr>
            <w:r w:rsidRPr="00A84441">
              <w:t>Assessment type</w:t>
            </w:r>
          </w:p>
        </w:tc>
        <w:tc>
          <w:tcPr>
            <w:tcW w:w="506" w:type="pct"/>
            <w:tcMar>
              <w:left w:w="57" w:type="dxa"/>
              <w:right w:w="57" w:type="dxa"/>
            </w:tcMar>
            <w:vAlign w:val="center"/>
          </w:tcPr>
          <w:p w14:paraId="7BB24B54" w14:textId="74376B88" w:rsidR="00821845" w:rsidRPr="00A84441" w:rsidRDefault="00821845" w:rsidP="009861BD">
            <w:pPr>
              <w:spacing w:line="240" w:lineRule="auto"/>
              <w:jc w:val="center"/>
            </w:pPr>
            <w:r w:rsidRPr="00A84441">
              <w:t xml:space="preserve">Assessment </w:t>
            </w:r>
            <w:r w:rsidRPr="00A84441">
              <w:br/>
              <w:t>type weighting</w:t>
            </w:r>
          </w:p>
        </w:tc>
        <w:tc>
          <w:tcPr>
            <w:tcW w:w="558" w:type="pct"/>
            <w:tcMar>
              <w:left w:w="57" w:type="dxa"/>
              <w:right w:w="57" w:type="dxa"/>
            </w:tcMar>
            <w:vAlign w:val="center"/>
          </w:tcPr>
          <w:p w14:paraId="0200C29E" w14:textId="77777777" w:rsidR="00821845" w:rsidRPr="00A84441" w:rsidRDefault="00821845" w:rsidP="009861BD">
            <w:pPr>
              <w:spacing w:line="240" w:lineRule="auto"/>
              <w:jc w:val="center"/>
            </w:pPr>
            <w:r w:rsidRPr="00A84441">
              <w:t xml:space="preserve">Assessment task </w:t>
            </w:r>
            <w:r w:rsidRPr="00A84441">
              <w:br/>
              <w:t>weighting</w:t>
            </w:r>
          </w:p>
        </w:tc>
        <w:tc>
          <w:tcPr>
            <w:tcW w:w="456" w:type="pct"/>
            <w:tcMar>
              <w:left w:w="57" w:type="dxa"/>
              <w:right w:w="57" w:type="dxa"/>
            </w:tcMar>
            <w:vAlign w:val="center"/>
          </w:tcPr>
          <w:p w14:paraId="7236C67E" w14:textId="77777777" w:rsidR="00821845" w:rsidRPr="00A84441" w:rsidRDefault="00821845" w:rsidP="009861BD">
            <w:pPr>
              <w:spacing w:line="240" w:lineRule="auto"/>
              <w:jc w:val="center"/>
            </w:pPr>
            <w:r w:rsidRPr="00A84441">
              <w:t>When</w:t>
            </w:r>
          </w:p>
        </w:tc>
        <w:tc>
          <w:tcPr>
            <w:tcW w:w="3077" w:type="pct"/>
            <w:vAlign w:val="center"/>
            <w:hideMark/>
          </w:tcPr>
          <w:p w14:paraId="3A69B83A" w14:textId="77777777" w:rsidR="00821845" w:rsidRPr="00A84441" w:rsidRDefault="00821845" w:rsidP="009861BD">
            <w:pPr>
              <w:spacing w:line="240" w:lineRule="auto"/>
            </w:pPr>
            <w:r w:rsidRPr="00A84441">
              <w:t>Assessment task</w:t>
            </w:r>
          </w:p>
        </w:tc>
      </w:tr>
      <w:tr w:rsidR="000C77AD" w:rsidRPr="00A84441" w14:paraId="2F1BD957" w14:textId="77777777" w:rsidTr="009861BD">
        <w:tc>
          <w:tcPr>
            <w:tcW w:w="403" w:type="pct"/>
            <w:vMerge w:val="restart"/>
            <w:tcMar>
              <w:left w:w="57" w:type="dxa"/>
              <w:right w:w="57" w:type="dxa"/>
            </w:tcMar>
            <w:vAlign w:val="center"/>
          </w:tcPr>
          <w:p w14:paraId="553EA2FD" w14:textId="77777777" w:rsidR="00C90A5C" w:rsidRPr="00A84441" w:rsidRDefault="00C90A5C" w:rsidP="009861BD">
            <w:pPr>
              <w:spacing w:line="240" w:lineRule="auto"/>
              <w:jc w:val="center"/>
              <w:rPr>
                <w:b/>
                <w:bCs/>
              </w:rPr>
            </w:pPr>
            <w:r w:rsidRPr="00A84441">
              <w:rPr>
                <w:b/>
                <w:bCs/>
              </w:rPr>
              <w:t>Business research</w:t>
            </w:r>
          </w:p>
        </w:tc>
        <w:tc>
          <w:tcPr>
            <w:tcW w:w="506" w:type="pct"/>
            <w:vMerge w:val="restart"/>
            <w:tcMar>
              <w:left w:w="57" w:type="dxa"/>
              <w:right w:w="57" w:type="dxa"/>
            </w:tcMar>
            <w:vAlign w:val="center"/>
          </w:tcPr>
          <w:p w14:paraId="5EFFB187" w14:textId="77777777" w:rsidR="00C90A5C" w:rsidRPr="00A84441" w:rsidRDefault="00C90A5C" w:rsidP="009861BD">
            <w:pPr>
              <w:spacing w:line="240" w:lineRule="auto"/>
              <w:jc w:val="center"/>
              <w:rPr>
                <w:lang w:eastAsia="en-US"/>
              </w:rPr>
            </w:pPr>
            <w:r w:rsidRPr="00A84441">
              <w:rPr>
                <w:lang w:eastAsia="en-US"/>
              </w:rPr>
              <w:t>30%</w:t>
            </w:r>
          </w:p>
        </w:tc>
        <w:tc>
          <w:tcPr>
            <w:tcW w:w="558" w:type="pct"/>
            <w:tcMar>
              <w:left w:w="57" w:type="dxa"/>
              <w:right w:w="57" w:type="dxa"/>
            </w:tcMar>
            <w:vAlign w:val="center"/>
          </w:tcPr>
          <w:p w14:paraId="4EDB5BC2" w14:textId="2D14969B" w:rsidR="00C90A5C" w:rsidRPr="00A84441" w:rsidRDefault="002D2E41" w:rsidP="009861BD">
            <w:pPr>
              <w:spacing w:line="240" w:lineRule="auto"/>
              <w:jc w:val="center"/>
            </w:pPr>
            <w:r w:rsidRPr="00A84441">
              <w:t>15</w:t>
            </w:r>
            <w:r w:rsidR="00C90A5C" w:rsidRPr="00A84441">
              <w:t>%</w:t>
            </w:r>
          </w:p>
        </w:tc>
        <w:tc>
          <w:tcPr>
            <w:tcW w:w="456" w:type="pct"/>
            <w:tcMar>
              <w:left w:w="57" w:type="dxa"/>
              <w:right w:w="57" w:type="dxa"/>
            </w:tcMar>
            <w:vAlign w:val="center"/>
          </w:tcPr>
          <w:p w14:paraId="505C05E1" w14:textId="77777777" w:rsidR="00C90A5C" w:rsidRPr="00A84441" w:rsidRDefault="00C90A5C" w:rsidP="009861BD">
            <w:pPr>
              <w:spacing w:line="240" w:lineRule="auto"/>
              <w:jc w:val="center"/>
            </w:pPr>
            <w:r w:rsidRPr="00A84441">
              <w:t>Semester 1</w:t>
            </w:r>
          </w:p>
          <w:p w14:paraId="29CEFF0F" w14:textId="6D6FC078" w:rsidR="00C90A5C" w:rsidRPr="00A84441" w:rsidRDefault="00C90A5C" w:rsidP="009861BD">
            <w:pPr>
              <w:spacing w:line="240" w:lineRule="auto"/>
              <w:jc w:val="center"/>
            </w:pPr>
            <w:r w:rsidRPr="00A84441">
              <w:t>Weeks 3</w:t>
            </w:r>
            <w:r w:rsidR="00FA70B9" w:rsidRPr="00A84441">
              <w:t>–</w:t>
            </w:r>
            <w:r w:rsidRPr="00A84441">
              <w:t>4</w:t>
            </w:r>
          </w:p>
        </w:tc>
        <w:tc>
          <w:tcPr>
            <w:tcW w:w="3077" w:type="pct"/>
          </w:tcPr>
          <w:p w14:paraId="051B98ED" w14:textId="3BCCD219" w:rsidR="00C90A5C" w:rsidRPr="00A84441" w:rsidRDefault="00C90A5C" w:rsidP="009861BD">
            <w:pPr>
              <w:spacing w:line="240" w:lineRule="auto"/>
              <w:rPr>
                <w:rFonts w:cstheme="minorHAnsi"/>
              </w:rPr>
            </w:pPr>
            <w:r w:rsidRPr="00A84441">
              <w:rPr>
                <w:rFonts w:cstheme="minorHAnsi"/>
                <w:b/>
              </w:rPr>
              <w:t>Task 1:</w:t>
            </w:r>
            <w:r w:rsidRPr="00A84441">
              <w:rPr>
                <w:rFonts w:cstheme="minorHAnsi"/>
              </w:rPr>
              <w:t xml:space="preserve"> </w:t>
            </w:r>
            <w:r w:rsidR="008501F3" w:rsidRPr="00A84441">
              <w:rPr>
                <w:rFonts w:cstheme="minorHAnsi"/>
              </w:rPr>
              <w:t>Part A</w:t>
            </w:r>
            <w:r w:rsidR="00223E6D" w:rsidRPr="00A84441">
              <w:rPr>
                <w:rFonts w:cstheme="minorHAnsi"/>
              </w:rPr>
              <w:t xml:space="preserve"> –</w:t>
            </w:r>
            <w:r w:rsidR="008501F3" w:rsidRPr="00A84441">
              <w:rPr>
                <w:rFonts w:cstheme="minorHAnsi"/>
              </w:rPr>
              <w:t xml:space="preserve"> </w:t>
            </w:r>
            <w:r w:rsidRPr="00A84441">
              <w:rPr>
                <w:rFonts w:cstheme="minorHAnsi"/>
              </w:rPr>
              <w:t>Research based on</w:t>
            </w:r>
            <w:r w:rsidR="002C726A" w:rsidRPr="00A84441">
              <w:rPr>
                <w:rFonts w:cstheme="minorHAnsi"/>
              </w:rPr>
              <w:t xml:space="preserve"> </w:t>
            </w:r>
            <w:r w:rsidRPr="00A84441">
              <w:rPr>
                <w:rFonts w:cstheme="minorHAnsi"/>
              </w:rPr>
              <w:t xml:space="preserve">types of business ownership, </w:t>
            </w:r>
            <w:r w:rsidR="002C726A" w:rsidRPr="00A84441">
              <w:rPr>
                <w:rFonts w:cstheme="minorHAnsi"/>
              </w:rPr>
              <w:t xml:space="preserve">impact of </w:t>
            </w:r>
            <w:r w:rsidRPr="00A84441">
              <w:rPr>
                <w:rFonts w:cstheme="minorHAnsi"/>
              </w:rPr>
              <w:t xml:space="preserve">economic factors on business function, the </w:t>
            </w:r>
            <w:r w:rsidRPr="00A84441">
              <w:t>concept</w:t>
            </w:r>
            <w:r w:rsidRPr="00A84441">
              <w:rPr>
                <w:rFonts w:cstheme="minorHAnsi"/>
              </w:rPr>
              <w:t xml:space="preserve"> of business </w:t>
            </w:r>
            <w:r w:rsidR="0027149B" w:rsidRPr="00A84441">
              <w:rPr>
                <w:rFonts w:cstheme="minorHAnsi"/>
              </w:rPr>
              <w:t xml:space="preserve">public </w:t>
            </w:r>
            <w:r w:rsidRPr="00A84441">
              <w:rPr>
                <w:rFonts w:cstheme="minorHAnsi"/>
              </w:rPr>
              <w:t xml:space="preserve">image, methods of raising business </w:t>
            </w:r>
            <w:r w:rsidR="001575DF" w:rsidRPr="00A84441">
              <w:rPr>
                <w:rFonts w:cstheme="minorHAnsi"/>
              </w:rPr>
              <w:t xml:space="preserve">public </w:t>
            </w:r>
            <w:r w:rsidRPr="00A84441">
              <w:rPr>
                <w:rFonts w:cstheme="minorHAnsi"/>
              </w:rPr>
              <w:t>image and the positive and negative impacts on business image of environmental issues</w:t>
            </w:r>
          </w:p>
          <w:p w14:paraId="6E00C894" w14:textId="3BA4EEC3" w:rsidR="00C90A5C" w:rsidRPr="00A84441" w:rsidRDefault="00C90A5C" w:rsidP="009861BD">
            <w:pPr>
              <w:spacing w:line="240" w:lineRule="auto"/>
              <w:rPr>
                <w:rFonts w:cstheme="minorHAnsi"/>
              </w:rPr>
            </w:pPr>
            <w:r w:rsidRPr="00A84441">
              <w:rPr>
                <w:rFonts w:cstheme="minorHAnsi"/>
              </w:rPr>
              <w:t>Part B</w:t>
            </w:r>
            <w:r w:rsidR="00223E6D" w:rsidRPr="00A84441">
              <w:rPr>
                <w:rFonts w:cstheme="minorHAnsi"/>
              </w:rPr>
              <w:t xml:space="preserve"> –</w:t>
            </w:r>
            <w:r w:rsidRPr="00A84441">
              <w:rPr>
                <w:rFonts w:cstheme="minorHAnsi"/>
              </w:rPr>
              <w:t xml:space="preserve"> </w:t>
            </w:r>
            <w:r w:rsidR="00B43760" w:rsidRPr="00A84441">
              <w:rPr>
                <w:rFonts w:cstheme="minorHAnsi"/>
              </w:rPr>
              <w:t>An i</w:t>
            </w:r>
            <w:r w:rsidRPr="00A84441">
              <w:rPr>
                <w:rFonts w:cstheme="minorHAnsi"/>
              </w:rPr>
              <w:t xml:space="preserve">n-class </w:t>
            </w:r>
            <w:r w:rsidRPr="00A84441">
              <w:t>validation</w:t>
            </w:r>
            <w:r w:rsidRPr="00A84441">
              <w:rPr>
                <w:rFonts w:cstheme="minorHAnsi"/>
              </w:rPr>
              <w:t xml:space="preserve"> </w:t>
            </w:r>
            <w:r w:rsidR="00B43760" w:rsidRPr="00A84441">
              <w:rPr>
                <w:rFonts w:cstheme="minorHAnsi"/>
              </w:rPr>
              <w:t xml:space="preserve">containing unseen </w:t>
            </w:r>
            <w:r w:rsidR="008501F3" w:rsidRPr="00A84441">
              <w:rPr>
                <w:rFonts w:cstheme="minorHAnsi"/>
              </w:rPr>
              <w:t>short answer questions based on the</w:t>
            </w:r>
            <w:r w:rsidR="00B43760" w:rsidRPr="00A84441">
              <w:rPr>
                <w:rFonts w:cstheme="minorHAnsi"/>
              </w:rPr>
              <w:t xml:space="preserve"> content from the</w:t>
            </w:r>
            <w:r w:rsidR="008501F3" w:rsidRPr="00A84441">
              <w:rPr>
                <w:rFonts w:cstheme="minorHAnsi"/>
              </w:rPr>
              <w:t xml:space="preserve"> research</w:t>
            </w:r>
          </w:p>
        </w:tc>
      </w:tr>
      <w:tr w:rsidR="000C77AD" w:rsidRPr="00A84441" w14:paraId="6A58505D" w14:textId="77777777" w:rsidTr="009861BD">
        <w:tc>
          <w:tcPr>
            <w:tcW w:w="403" w:type="pct"/>
            <w:vMerge/>
            <w:tcMar>
              <w:left w:w="57" w:type="dxa"/>
              <w:right w:w="57" w:type="dxa"/>
            </w:tcMar>
            <w:vAlign w:val="center"/>
          </w:tcPr>
          <w:p w14:paraId="5A6DB6F2" w14:textId="77777777" w:rsidR="005D5F26" w:rsidRPr="00A84441" w:rsidRDefault="005D5F26" w:rsidP="009861BD">
            <w:pPr>
              <w:spacing w:line="240" w:lineRule="auto"/>
              <w:jc w:val="center"/>
              <w:rPr>
                <w:b/>
                <w:bCs/>
              </w:rPr>
            </w:pPr>
          </w:p>
        </w:tc>
        <w:tc>
          <w:tcPr>
            <w:tcW w:w="506" w:type="pct"/>
            <w:vMerge/>
            <w:tcMar>
              <w:left w:w="57" w:type="dxa"/>
              <w:right w:w="57" w:type="dxa"/>
            </w:tcMar>
            <w:vAlign w:val="center"/>
          </w:tcPr>
          <w:p w14:paraId="3E1041AC" w14:textId="77777777" w:rsidR="005D5F26" w:rsidRPr="00A84441" w:rsidRDefault="005D5F26" w:rsidP="009861BD">
            <w:pPr>
              <w:spacing w:line="240" w:lineRule="auto"/>
              <w:jc w:val="center"/>
            </w:pPr>
          </w:p>
        </w:tc>
        <w:tc>
          <w:tcPr>
            <w:tcW w:w="558" w:type="pct"/>
            <w:tcMar>
              <w:left w:w="57" w:type="dxa"/>
              <w:right w:w="57" w:type="dxa"/>
            </w:tcMar>
            <w:vAlign w:val="center"/>
          </w:tcPr>
          <w:p w14:paraId="10B44292" w14:textId="6F2E65C1" w:rsidR="005D5F26" w:rsidRPr="00A84441" w:rsidRDefault="008B4AD5" w:rsidP="009861BD">
            <w:pPr>
              <w:spacing w:line="240" w:lineRule="auto"/>
              <w:jc w:val="center"/>
            </w:pPr>
            <w:r w:rsidRPr="00A84441">
              <w:t>1</w:t>
            </w:r>
            <w:r w:rsidR="002D2E41" w:rsidRPr="00A84441">
              <w:t>5</w:t>
            </w:r>
            <w:r w:rsidR="005D5F26" w:rsidRPr="00A84441">
              <w:t>%</w:t>
            </w:r>
          </w:p>
        </w:tc>
        <w:tc>
          <w:tcPr>
            <w:tcW w:w="456" w:type="pct"/>
            <w:tcMar>
              <w:left w:w="57" w:type="dxa"/>
              <w:right w:w="57" w:type="dxa"/>
            </w:tcMar>
            <w:vAlign w:val="center"/>
          </w:tcPr>
          <w:p w14:paraId="6E6AA1C5" w14:textId="77777777" w:rsidR="005D5F26" w:rsidRPr="00A84441" w:rsidRDefault="005D5F26" w:rsidP="009861BD">
            <w:pPr>
              <w:spacing w:line="240" w:lineRule="auto"/>
              <w:jc w:val="center"/>
            </w:pPr>
            <w:r w:rsidRPr="00A84441">
              <w:t>Semester 2</w:t>
            </w:r>
          </w:p>
          <w:p w14:paraId="0BCCEE64" w14:textId="723B57F1" w:rsidR="005D5F26" w:rsidRPr="00A84441" w:rsidRDefault="005D5F26" w:rsidP="009861BD">
            <w:pPr>
              <w:spacing w:line="240" w:lineRule="auto"/>
              <w:jc w:val="center"/>
            </w:pPr>
            <w:r w:rsidRPr="00A84441">
              <w:t>Weeks 1</w:t>
            </w:r>
            <w:r w:rsidR="00AE4C3B" w:rsidRPr="00A84441">
              <w:t>4</w:t>
            </w:r>
            <w:r w:rsidR="00FA70B9" w:rsidRPr="00A84441">
              <w:t>–</w:t>
            </w:r>
            <w:r w:rsidRPr="00A84441">
              <w:t>15</w:t>
            </w:r>
          </w:p>
        </w:tc>
        <w:tc>
          <w:tcPr>
            <w:tcW w:w="3077" w:type="pct"/>
          </w:tcPr>
          <w:p w14:paraId="4FE2347D" w14:textId="416874F9" w:rsidR="005D5F26" w:rsidRPr="00A84441" w:rsidRDefault="005D5F26" w:rsidP="009861BD">
            <w:pPr>
              <w:spacing w:line="240" w:lineRule="auto"/>
            </w:pPr>
            <w:r w:rsidRPr="00A84441">
              <w:rPr>
                <w:rFonts w:asciiTheme="minorHAnsi" w:hAnsiTheme="minorHAnsi" w:cstheme="minorHAnsi"/>
                <w:b/>
                <w:bCs/>
              </w:rPr>
              <w:t xml:space="preserve">Task </w:t>
            </w:r>
            <w:r w:rsidR="00FB6244" w:rsidRPr="00A84441">
              <w:rPr>
                <w:rFonts w:asciiTheme="minorHAnsi" w:hAnsiTheme="minorHAnsi" w:cstheme="minorHAnsi"/>
                <w:b/>
                <w:bCs/>
              </w:rPr>
              <w:t>8</w:t>
            </w:r>
            <w:r w:rsidRPr="00A84441">
              <w:rPr>
                <w:rFonts w:asciiTheme="minorHAnsi" w:hAnsiTheme="minorHAnsi" w:cstheme="minorHAnsi"/>
                <w:b/>
                <w:bCs/>
              </w:rPr>
              <w:t>:</w:t>
            </w:r>
            <w:r w:rsidRPr="00A84441">
              <w:rPr>
                <w:rFonts w:asciiTheme="minorHAnsi" w:hAnsiTheme="minorHAnsi" w:cstheme="minorHAnsi"/>
              </w:rPr>
              <w:t xml:space="preserve"> </w:t>
            </w:r>
            <w:r w:rsidR="002D2E41" w:rsidRPr="00A84441">
              <w:rPr>
                <w:rFonts w:asciiTheme="minorHAnsi" w:hAnsiTheme="minorHAnsi" w:cstheme="minorHAnsi"/>
              </w:rPr>
              <w:t>Part A</w:t>
            </w:r>
            <w:r w:rsidR="007B0376" w:rsidRPr="00A84441">
              <w:rPr>
                <w:rFonts w:asciiTheme="minorHAnsi" w:hAnsiTheme="minorHAnsi" w:cstheme="minorHAnsi"/>
              </w:rPr>
              <w:t xml:space="preserve"> –</w:t>
            </w:r>
            <w:r w:rsidR="002D2E41" w:rsidRPr="00A84441">
              <w:rPr>
                <w:rFonts w:asciiTheme="minorHAnsi" w:hAnsiTheme="minorHAnsi" w:cstheme="minorHAnsi"/>
              </w:rPr>
              <w:t xml:space="preserve"> Conduct</w:t>
            </w:r>
            <w:r w:rsidR="00223E6D" w:rsidRPr="00A84441">
              <w:rPr>
                <w:rFonts w:asciiTheme="minorHAnsi" w:hAnsiTheme="minorHAnsi" w:cstheme="minorHAnsi"/>
              </w:rPr>
              <w:t>ing</w:t>
            </w:r>
            <w:r w:rsidR="002D2E41" w:rsidRPr="00A84441">
              <w:rPr>
                <w:rFonts w:asciiTheme="minorHAnsi" w:hAnsiTheme="minorHAnsi" w:cstheme="minorHAnsi"/>
              </w:rPr>
              <w:t xml:space="preserve"> r</w:t>
            </w:r>
            <w:r w:rsidRPr="00A84441">
              <w:rPr>
                <w:rFonts w:asciiTheme="minorHAnsi" w:hAnsiTheme="minorHAnsi" w:cstheme="minorHAnsi"/>
              </w:rPr>
              <w:t xml:space="preserve">esearch </w:t>
            </w:r>
            <w:r w:rsidR="002D2E41" w:rsidRPr="00A84441">
              <w:rPr>
                <w:rFonts w:asciiTheme="minorHAnsi" w:hAnsiTheme="minorHAnsi" w:cstheme="minorHAnsi"/>
              </w:rPr>
              <w:t xml:space="preserve">and </w:t>
            </w:r>
            <w:r w:rsidR="00B43760" w:rsidRPr="00A84441">
              <w:rPr>
                <w:rFonts w:asciiTheme="minorHAnsi" w:hAnsiTheme="minorHAnsi" w:cstheme="minorHAnsi"/>
              </w:rPr>
              <w:t>writ</w:t>
            </w:r>
            <w:r w:rsidR="00223E6D" w:rsidRPr="00A84441">
              <w:rPr>
                <w:rFonts w:asciiTheme="minorHAnsi" w:hAnsiTheme="minorHAnsi" w:cstheme="minorHAnsi"/>
              </w:rPr>
              <w:t>ing</w:t>
            </w:r>
            <w:r w:rsidR="002D2E41" w:rsidRPr="00A84441">
              <w:rPr>
                <w:rFonts w:asciiTheme="minorHAnsi" w:hAnsiTheme="minorHAnsi" w:cstheme="minorHAnsi"/>
              </w:rPr>
              <w:t xml:space="preserve"> a business report </w:t>
            </w:r>
            <w:r w:rsidRPr="00A84441">
              <w:rPr>
                <w:rFonts w:asciiTheme="minorHAnsi" w:hAnsiTheme="minorHAnsi" w:cstheme="minorHAnsi"/>
              </w:rPr>
              <w:t xml:space="preserve">based on </w:t>
            </w:r>
            <w:r w:rsidR="001575DF" w:rsidRPr="00A84441">
              <w:rPr>
                <w:rFonts w:asciiTheme="minorHAnsi" w:hAnsiTheme="minorHAnsi" w:cstheme="minorHAnsi"/>
              </w:rPr>
              <w:t xml:space="preserve">the </w:t>
            </w:r>
            <w:r w:rsidR="002D2E41" w:rsidRPr="00A84441">
              <w:rPr>
                <w:rFonts w:asciiTheme="minorHAnsi" w:hAnsiTheme="minorHAnsi" w:cstheme="minorHAnsi"/>
              </w:rPr>
              <w:t xml:space="preserve">stages of the product lifecycle, applying marketing strategies for each stage of the product life cycle and </w:t>
            </w:r>
            <w:r w:rsidR="00D72F0C" w:rsidRPr="00A84441">
              <w:rPr>
                <w:rFonts w:asciiTheme="minorHAnsi" w:hAnsiTheme="minorHAnsi" w:cstheme="minorHAnsi"/>
              </w:rPr>
              <w:t xml:space="preserve">some </w:t>
            </w:r>
            <w:r w:rsidR="001575DF" w:rsidRPr="00A84441">
              <w:rPr>
                <w:rFonts w:asciiTheme="minorHAnsi" w:hAnsiTheme="minorHAnsi" w:cstheme="minorHAnsi"/>
              </w:rPr>
              <w:t xml:space="preserve">key elements of a </w:t>
            </w:r>
            <w:r w:rsidRPr="00A84441">
              <w:rPr>
                <w:rFonts w:asciiTheme="minorHAnsi" w:hAnsiTheme="minorHAnsi" w:cstheme="minorHAnsi"/>
              </w:rPr>
              <w:t>business plan</w:t>
            </w:r>
          </w:p>
          <w:p w14:paraId="2CE86430" w14:textId="5F5C4EE5" w:rsidR="00473992" w:rsidRPr="00A84441" w:rsidRDefault="005D5F26" w:rsidP="009861BD">
            <w:pPr>
              <w:spacing w:line="240" w:lineRule="auto"/>
              <w:rPr>
                <w:rFonts w:cstheme="minorHAnsi"/>
              </w:rPr>
            </w:pPr>
            <w:r w:rsidRPr="00A84441">
              <w:rPr>
                <w:rFonts w:cstheme="minorHAnsi"/>
              </w:rPr>
              <w:t>Part B</w:t>
            </w:r>
            <w:r w:rsidR="007B0376" w:rsidRPr="00A84441">
              <w:rPr>
                <w:rFonts w:cstheme="minorHAnsi"/>
              </w:rPr>
              <w:t xml:space="preserve"> –</w:t>
            </w:r>
            <w:r w:rsidRPr="00A84441">
              <w:rPr>
                <w:rFonts w:cstheme="minorHAnsi"/>
              </w:rPr>
              <w:t xml:space="preserve"> </w:t>
            </w:r>
            <w:r w:rsidR="00B43760" w:rsidRPr="00A84441">
              <w:rPr>
                <w:rFonts w:cstheme="minorHAnsi"/>
              </w:rPr>
              <w:t>An i</w:t>
            </w:r>
            <w:r w:rsidRPr="00A84441">
              <w:rPr>
                <w:rFonts w:cstheme="minorHAnsi"/>
              </w:rPr>
              <w:t xml:space="preserve">n-class </w:t>
            </w:r>
            <w:r w:rsidRPr="00A84441">
              <w:t>validation</w:t>
            </w:r>
            <w:r w:rsidRPr="00A84441">
              <w:rPr>
                <w:rFonts w:cstheme="minorHAnsi"/>
              </w:rPr>
              <w:t xml:space="preserve"> </w:t>
            </w:r>
            <w:r w:rsidR="00B43760" w:rsidRPr="00A84441">
              <w:rPr>
                <w:rFonts w:cstheme="minorHAnsi"/>
              </w:rPr>
              <w:t xml:space="preserve">consisting of unseen </w:t>
            </w:r>
            <w:r w:rsidR="002D2E41" w:rsidRPr="00A84441">
              <w:rPr>
                <w:rFonts w:cstheme="minorHAnsi"/>
              </w:rPr>
              <w:t>questions</w:t>
            </w:r>
            <w:r w:rsidRPr="00A84441">
              <w:rPr>
                <w:rFonts w:cstheme="minorHAnsi"/>
              </w:rPr>
              <w:t xml:space="preserve"> </w:t>
            </w:r>
            <w:r w:rsidR="00931878" w:rsidRPr="00A84441">
              <w:rPr>
                <w:rFonts w:cstheme="minorHAnsi"/>
              </w:rPr>
              <w:t>based on</w:t>
            </w:r>
            <w:r w:rsidR="00B43760" w:rsidRPr="00A84441">
              <w:rPr>
                <w:rFonts w:cstheme="minorHAnsi"/>
              </w:rPr>
              <w:t xml:space="preserve"> the content </w:t>
            </w:r>
            <w:r w:rsidR="00422371" w:rsidRPr="00A84441">
              <w:rPr>
                <w:rFonts w:cstheme="minorHAnsi"/>
              </w:rPr>
              <w:t xml:space="preserve">from </w:t>
            </w:r>
            <w:r w:rsidRPr="00A84441">
              <w:rPr>
                <w:rFonts w:cstheme="minorHAnsi"/>
              </w:rPr>
              <w:t>the research</w:t>
            </w:r>
          </w:p>
        </w:tc>
      </w:tr>
      <w:tr w:rsidR="00845DFD" w:rsidRPr="00A84441" w14:paraId="5199281F" w14:textId="77777777" w:rsidTr="009861BD">
        <w:tc>
          <w:tcPr>
            <w:tcW w:w="403" w:type="pct"/>
            <w:vMerge w:val="restart"/>
            <w:tcMar>
              <w:left w:w="57" w:type="dxa"/>
              <w:right w:w="57" w:type="dxa"/>
            </w:tcMar>
            <w:vAlign w:val="center"/>
          </w:tcPr>
          <w:p w14:paraId="0996D9F2" w14:textId="60DD1201" w:rsidR="00845DFD" w:rsidRPr="00A84441" w:rsidRDefault="00845DFD" w:rsidP="009861BD">
            <w:pPr>
              <w:spacing w:line="240" w:lineRule="auto"/>
              <w:jc w:val="center"/>
              <w:rPr>
                <w:b/>
                <w:bCs/>
                <w:lang w:eastAsia="en-US"/>
              </w:rPr>
            </w:pPr>
            <w:r w:rsidRPr="00A84441">
              <w:rPr>
                <w:b/>
                <w:bCs/>
                <w:lang w:eastAsia="en-US"/>
              </w:rPr>
              <w:t>Response</w:t>
            </w:r>
          </w:p>
        </w:tc>
        <w:tc>
          <w:tcPr>
            <w:tcW w:w="506" w:type="pct"/>
            <w:vMerge w:val="restart"/>
            <w:tcMar>
              <w:left w:w="57" w:type="dxa"/>
              <w:right w:w="57" w:type="dxa"/>
            </w:tcMar>
            <w:vAlign w:val="center"/>
          </w:tcPr>
          <w:p w14:paraId="7B33D441" w14:textId="394C529A" w:rsidR="00845DFD" w:rsidRPr="00A84441" w:rsidRDefault="00845DFD" w:rsidP="009861BD">
            <w:pPr>
              <w:spacing w:line="240" w:lineRule="auto"/>
              <w:jc w:val="center"/>
            </w:pPr>
            <w:r w:rsidRPr="00A84441">
              <w:t>55%</w:t>
            </w:r>
          </w:p>
        </w:tc>
        <w:tc>
          <w:tcPr>
            <w:tcW w:w="558" w:type="pct"/>
            <w:tcMar>
              <w:left w:w="57" w:type="dxa"/>
              <w:right w:w="57" w:type="dxa"/>
            </w:tcMar>
            <w:vAlign w:val="center"/>
          </w:tcPr>
          <w:p w14:paraId="0E62BC6D" w14:textId="49802415" w:rsidR="00845DFD" w:rsidRPr="00A84441" w:rsidRDefault="00845DFD" w:rsidP="009861BD">
            <w:pPr>
              <w:spacing w:line="240" w:lineRule="auto"/>
              <w:jc w:val="center"/>
            </w:pPr>
            <w:r w:rsidRPr="00A84441">
              <w:t>12%</w:t>
            </w:r>
          </w:p>
        </w:tc>
        <w:tc>
          <w:tcPr>
            <w:tcW w:w="456" w:type="pct"/>
            <w:tcMar>
              <w:left w:w="57" w:type="dxa"/>
              <w:right w:w="57" w:type="dxa"/>
            </w:tcMar>
            <w:vAlign w:val="center"/>
          </w:tcPr>
          <w:p w14:paraId="7F97D7E8" w14:textId="281B4A94" w:rsidR="00845DFD" w:rsidRPr="00A84441" w:rsidRDefault="00845DFD" w:rsidP="009861BD">
            <w:pPr>
              <w:spacing w:line="240" w:lineRule="auto"/>
              <w:jc w:val="center"/>
            </w:pPr>
            <w:r w:rsidRPr="00A84441">
              <w:t>Semester 1</w:t>
            </w:r>
          </w:p>
          <w:p w14:paraId="7CE349FB" w14:textId="7F42CE3F" w:rsidR="00845DFD" w:rsidRPr="00A84441" w:rsidRDefault="00845DFD" w:rsidP="009861BD">
            <w:pPr>
              <w:spacing w:line="240" w:lineRule="auto"/>
              <w:jc w:val="center"/>
            </w:pPr>
            <w:r w:rsidRPr="00A84441">
              <w:t>Week 8</w:t>
            </w:r>
          </w:p>
        </w:tc>
        <w:tc>
          <w:tcPr>
            <w:tcW w:w="3077" w:type="pct"/>
          </w:tcPr>
          <w:p w14:paraId="369A1EB7" w14:textId="45C872C6" w:rsidR="00845DFD" w:rsidRPr="00A84441" w:rsidRDefault="00845DFD" w:rsidP="009861BD">
            <w:pPr>
              <w:spacing w:line="240" w:lineRule="auto"/>
              <w:rPr>
                <w:rFonts w:asciiTheme="minorHAnsi" w:hAnsiTheme="minorHAnsi" w:cstheme="minorHAnsi"/>
              </w:rPr>
            </w:pPr>
            <w:r w:rsidRPr="00A84441">
              <w:rPr>
                <w:rFonts w:asciiTheme="minorHAnsi" w:hAnsiTheme="minorHAnsi" w:cstheme="minorHAnsi"/>
                <w:b/>
                <w:bCs/>
              </w:rPr>
              <w:t>Task 2:</w:t>
            </w:r>
            <w:r w:rsidRPr="00A84441">
              <w:rPr>
                <w:rFonts w:asciiTheme="minorHAnsi" w:hAnsiTheme="minorHAnsi" w:cstheme="minorHAnsi"/>
              </w:rPr>
              <w:t xml:space="preserve"> </w:t>
            </w:r>
            <w:r w:rsidR="00225247" w:rsidRPr="00A84441">
              <w:rPr>
                <w:rFonts w:asciiTheme="minorHAnsi" w:hAnsiTheme="minorHAnsi" w:cstheme="minorHAnsi"/>
              </w:rPr>
              <w:t xml:space="preserve">Short </w:t>
            </w:r>
            <w:r w:rsidRPr="00A84441">
              <w:rPr>
                <w:rFonts w:asciiTheme="minorHAnsi" w:hAnsiTheme="minorHAnsi" w:cstheme="minorHAnsi"/>
              </w:rPr>
              <w:t>and extended answer questions in relation to a case study, based on the concepts of market size and market share, competitor analysis and target market analysis, market segmentation, key features of the market research process and elements of the marketing mix</w:t>
            </w:r>
          </w:p>
        </w:tc>
      </w:tr>
      <w:tr w:rsidR="00845DFD" w:rsidRPr="00A84441" w14:paraId="5F219D6B" w14:textId="77777777" w:rsidTr="009861BD">
        <w:tc>
          <w:tcPr>
            <w:tcW w:w="403" w:type="pct"/>
            <w:vMerge/>
            <w:tcMar>
              <w:left w:w="57" w:type="dxa"/>
              <w:right w:w="57" w:type="dxa"/>
            </w:tcMar>
            <w:vAlign w:val="center"/>
          </w:tcPr>
          <w:p w14:paraId="3554D146" w14:textId="77777777" w:rsidR="00845DFD" w:rsidRPr="00A84441" w:rsidRDefault="00845DFD" w:rsidP="009861BD">
            <w:pPr>
              <w:spacing w:line="240" w:lineRule="auto"/>
              <w:jc w:val="center"/>
              <w:rPr>
                <w:b/>
                <w:bCs/>
              </w:rPr>
            </w:pPr>
          </w:p>
        </w:tc>
        <w:tc>
          <w:tcPr>
            <w:tcW w:w="506" w:type="pct"/>
            <w:vMerge/>
            <w:tcMar>
              <w:left w:w="57" w:type="dxa"/>
              <w:right w:w="57" w:type="dxa"/>
            </w:tcMar>
            <w:vAlign w:val="center"/>
          </w:tcPr>
          <w:p w14:paraId="11ED4732" w14:textId="77777777" w:rsidR="00845DFD" w:rsidRPr="00A84441" w:rsidRDefault="00845DFD" w:rsidP="009861BD">
            <w:pPr>
              <w:spacing w:line="240" w:lineRule="auto"/>
              <w:jc w:val="center"/>
            </w:pPr>
          </w:p>
        </w:tc>
        <w:tc>
          <w:tcPr>
            <w:tcW w:w="558" w:type="pct"/>
            <w:tcMar>
              <w:left w:w="57" w:type="dxa"/>
              <w:right w:w="57" w:type="dxa"/>
            </w:tcMar>
            <w:vAlign w:val="center"/>
          </w:tcPr>
          <w:p w14:paraId="56D0F7B2" w14:textId="379E7201" w:rsidR="00845DFD" w:rsidRPr="00A84441" w:rsidRDefault="00845DFD" w:rsidP="009861BD">
            <w:pPr>
              <w:spacing w:line="240" w:lineRule="auto"/>
              <w:jc w:val="center"/>
            </w:pPr>
            <w:r w:rsidRPr="00A84441">
              <w:t>10%</w:t>
            </w:r>
          </w:p>
        </w:tc>
        <w:tc>
          <w:tcPr>
            <w:tcW w:w="456" w:type="pct"/>
            <w:tcMar>
              <w:left w:w="57" w:type="dxa"/>
              <w:right w:w="57" w:type="dxa"/>
            </w:tcMar>
            <w:vAlign w:val="center"/>
          </w:tcPr>
          <w:p w14:paraId="36DC1087" w14:textId="77777777" w:rsidR="00845DFD" w:rsidRPr="00A84441" w:rsidRDefault="00845DFD" w:rsidP="009861BD">
            <w:pPr>
              <w:spacing w:line="240" w:lineRule="auto"/>
              <w:jc w:val="center"/>
            </w:pPr>
            <w:r w:rsidRPr="00A84441">
              <w:t>Semester 1</w:t>
            </w:r>
          </w:p>
          <w:p w14:paraId="29BB39CA" w14:textId="3372DCDE" w:rsidR="00845DFD" w:rsidRPr="00A84441" w:rsidRDefault="00845DFD" w:rsidP="009861BD">
            <w:pPr>
              <w:spacing w:line="240" w:lineRule="auto"/>
              <w:jc w:val="center"/>
            </w:pPr>
            <w:r w:rsidRPr="00A84441">
              <w:t>Week 15</w:t>
            </w:r>
          </w:p>
        </w:tc>
        <w:tc>
          <w:tcPr>
            <w:tcW w:w="3077" w:type="pct"/>
          </w:tcPr>
          <w:p w14:paraId="0EA4B0DC" w14:textId="11539586" w:rsidR="00845DFD" w:rsidRPr="00A84441" w:rsidRDefault="00845DFD" w:rsidP="009861BD">
            <w:pPr>
              <w:spacing w:line="240" w:lineRule="auto"/>
              <w:rPr>
                <w:rFonts w:asciiTheme="minorHAnsi" w:hAnsiTheme="minorHAnsi" w:cstheme="minorHAnsi"/>
              </w:rPr>
            </w:pPr>
            <w:r w:rsidRPr="00A84441">
              <w:rPr>
                <w:rFonts w:asciiTheme="minorHAnsi" w:hAnsiTheme="minorHAnsi" w:cstheme="minorHAnsi"/>
                <w:b/>
                <w:bCs/>
              </w:rPr>
              <w:t>Task 4:</w:t>
            </w:r>
            <w:r w:rsidRPr="00A84441">
              <w:rPr>
                <w:rFonts w:asciiTheme="minorHAnsi" w:hAnsiTheme="minorHAnsi" w:cstheme="minorHAnsi"/>
              </w:rPr>
              <w:t xml:space="preserve"> Multiple choice and short answer questions, including responses to scenarios,</w:t>
            </w:r>
            <w:r w:rsidRPr="00A84441" w:rsidDel="00805676">
              <w:rPr>
                <w:rFonts w:asciiTheme="minorHAnsi" w:hAnsiTheme="minorHAnsi" w:cstheme="minorHAnsi"/>
              </w:rPr>
              <w:t xml:space="preserve"> </w:t>
            </w:r>
            <w:r w:rsidRPr="00A84441">
              <w:rPr>
                <w:rFonts w:asciiTheme="minorHAnsi" w:hAnsiTheme="minorHAnsi" w:cstheme="minorHAnsi"/>
              </w:rPr>
              <w:t>based on levels of management within a business, types and features of organisational structures, key elements and legal requirements of a contract, national employment standards for employment contracts and phases of the employment cycle</w:t>
            </w:r>
          </w:p>
        </w:tc>
      </w:tr>
      <w:tr w:rsidR="00845DFD" w:rsidRPr="00A84441" w14:paraId="5A5C64A8" w14:textId="77777777" w:rsidTr="009861BD">
        <w:tc>
          <w:tcPr>
            <w:tcW w:w="403" w:type="pct"/>
            <w:vMerge/>
            <w:tcMar>
              <w:left w:w="57" w:type="dxa"/>
              <w:right w:w="57" w:type="dxa"/>
            </w:tcMar>
            <w:vAlign w:val="center"/>
          </w:tcPr>
          <w:p w14:paraId="218516C4" w14:textId="77777777" w:rsidR="00845DFD" w:rsidRPr="00A84441" w:rsidRDefault="00845DFD" w:rsidP="009861BD">
            <w:pPr>
              <w:spacing w:line="240" w:lineRule="auto"/>
              <w:jc w:val="center"/>
              <w:rPr>
                <w:b/>
                <w:bCs/>
              </w:rPr>
            </w:pPr>
          </w:p>
        </w:tc>
        <w:tc>
          <w:tcPr>
            <w:tcW w:w="506" w:type="pct"/>
            <w:vMerge/>
            <w:tcMar>
              <w:left w:w="57" w:type="dxa"/>
              <w:right w:w="57" w:type="dxa"/>
            </w:tcMar>
            <w:vAlign w:val="center"/>
          </w:tcPr>
          <w:p w14:paraId="09C711E2" w14:textId="77777777" w:rsidR="00845DFD" w:rsidRPr="00A84441" w:rsidRDefault="00845DFD" w:rsidP="009861BD">
            <w:pPr>
              <w:spacing w:line="240" w:lineRule="auto"/>
              <w:jc w:val="center"/>
            </w:pPr>
          </w:p>
        </w:tc>
        <w:tc>
          <w:tcPr>
            <w:tcW w:w="558" w:type="pct"/>
            <w:tcMar>
              <w:left w:w="57" w:type="dxa"/>
              <w:right w:w="57" w:type="dxa"/>
            </w:tcMar>
            <w:vAlign w:val="center"/>
          </w:tcPr>
          <w:p w14:paraId="3505B2D1" w14:textId="423E1EFF" w:rsidR="00845DFD" w:rsidRPr="00A84441" w:rsidRDefault="00845DFD" w:rsidP="009861BD">
            <w:pPr>
              <w:spacing w:line="240" w:lineRule="auto"/>
              <w:jc w:val="center"/>
            </w:pPr>
            <w:r w:rsidRPr="00A84441">
              <w:t>11%</w:t>
            </w:r>
          </w:p>
        </w:tc>
        <w:tc>
          <w:tcPr>
            <w:tcW w:w="456" w:type="pct"/>
            <w:tcMar>
              <w:left w:w="57" w:type="dxa"/>
              <w:right w:w="57" w:type="dxa"/>
            </w:tcMar>
            <w:vAlign w:val="center"/>
          </w:tcPr>
          <w:p w14:paraId="622140D1" w14:textId="77777777" w:rsidR="00845DFD" w:rsidRPr="00A84441" w:rsidRDefault="00845DFD" w:rsidP="009861BD">
            <w:pPr>
              <w:spacing w:line="240" w:lineRule="auto"/>
              <w:jc w:val="center"/>
            </w:pPr>
            <w:r w:rsidRPr="00A84441">
              <w:t>Semester 2</w:t>
            </w:r>
          </w:p>
          <w:p w14:paraId="36A9B9BE" w14:textId="30C06DB7" w:rsidR="00845DFD" w:rsidRPr="00A84441" w:rsidRDefault="00845DFD" w:rsidP="009861BD">
            <w:pPr>
              <w:spacing w:line="240" w:lineRule="auto"/>
              <w:jc w:val="center"/>
            </w:pPr>
            <w:r w:rsidRPr="00A84441">
              <w:t>Week 3</w:t>
            </w:r>
          </w:p>
        </w:tc>
        <w:tc>
          <w:tcPr>
            <w:tcW w:w="3077" w:type="pct"/>
          </w:tcPr>
          <w:p w14:paraId="2847823F" w14:textId="7524792F" w:rsidR="00845DFD" w:rsidRPr="00A84441" w:rsidRDefault="00845DFD" w:rsidP="009861BD">
            <w:pPr>
              <w:spacing w:line="240" w:lineRule="auto"/>
              <w:rPr>
                <w:rFonts w:asciiTheme="minorHAnsi" w:hAnsiTheme="minorHAnsi" w:cstheme="minorHAnsi"/>
              </w:rPr>
            </w:pPr>
            <w:r w:rsidRPr="00A84441">
              <w:rPr>
                <w:rFonts w:asciiTheme="minorHAnsi" w:hAnsiTheme="minorHAnsi" w:cstheme="minorHAnsi"/>
                <w:b/>
                <w:bCs/>
              </w:rPr>
              <w:t>Task 5:</w:t>
            </w:r>
            <w:r w:rsidRPr="00A84441">
              <w:rPr>
                <w:rFonts w:asciiTheme="minorHAnsi" w:hAnsiTheme="minorHAnsi" w:cstheme="minorHAnsi"/>
              </w:rPr>
              <w:t xml:space="preserve"> </w:t>
            </w:r>
            <w:r w:rsidRPr="00A84441">
              <w:rPr>
                <w:rFonts w:asciiTheme="minorHAnsi" w:eastAsiaTheme="minorHAnsi" w:hAnsiTheme="minorHAnsi" w:cstheme="minorHAnsi"/>
                <w:iCs/>
                <w:lang w:eastAsia="en-AU"/>
              </w:rPr>
              <w:t xml:space="preserve">Multiple choice and short answer questions, including responses to </w:t>
            </w:r>
            <w:r w:rsidR="00B179CC" w:rsidRPr="00A84441">
              <w:rPr>
                <w:rFonts w:asciiTheme="minorHAnsi" w:eastAsiaTheme="minorHAnsi" w:hAnsiTheme="minorHAnsi" w:cstheme="minorHAnsi"/>
                <w:iCs/>
                <w:lang w:eastAsia="en-AU"/>
              </w:rPr>
              <w:t>a case study</w:t>
            </w:r>
            <w:r w:rsidRPr="00A84441">
              <w:rPr>
                <w:rFonts w:asciiTheme="minorHAnsi" w:eastAsiaTheme="minorHAnsi" w:hAnsiTheme="minorHAnsi" w:cstheme="minorHAnsi"/>
                <w:iCs/>
                <w:lang w:eastAsia="en-AU"/>
              </w:rPr>
              <w:t xml:space="preserve">, based on the concept of motivation in business, including financial and non-financial incentives for employees, </w:t>
            </w:r>
            <w:r w:rsidR="00723523" w:rsidRPr="00A84441">
              <w:rPr>
                <w:rFonts w:asciiTheme="minorHAnsi" w:eastAsiaTheme="minorHAnsi" w:hAnsiTheme="minorHAnsi" w:cstheme="minorHAnsi"/>
                <w:iCs/>
                <w:lang w:eastAsia="en-AU"/>
              </w:rPr>
              <w:t xml:space="preserve">characteristics of </w:t>
            </w:r>
            <w:r w:rsidRPr="00A84441">
              <w:rPr>
                <w:rFonts w:asciiTheme="minorHAnsi" w:eastAsiaTheme="minorHAnsi" w:hAnsiTheme="minorHAnsi" w:cstheme="minorHAnsi"/>
                <w:iCs/>
                <w:lang w:eastAsia="en-AU"/>
              </w:rPr>
              <w:t xml:space="preserve">motivation theories and </w:t>
            </w:r>
            <w:r w:rsidR="00723523" w:rsidRPr="00A84441">
              <w:rPr>
                <w:rFonts w:asciiTheme="minorHAnsi" w:eastAsiaTheme="minorHAnsi" w:hAnsiTheme="minorHAnsi" w:cstheme="minorHAnsi"/>
                <w:iCs/>
                <w:lang w:eastAsia="en-AU"/>
              </w:rPr>
              <w:t xml:space="preserve">key features of </w:t>
            </w:r>
            <w:r w:rsidRPr="00A84441">
              <w:rPr>
                <w:rFonts w:asciiTheme="minorHAnsi" w:eastAsiaTheme="minorHAnsi" w:hAnsiTheme="minorHAnsi" w:cstheme="minorHAnsi"/>
                <w:iCs/>
                <w:lang w:eastAsia="en-AU"/>
              </w:rPr>
              <w:t>leadership styles</w:t>
            </w:r>
          </w:p>
        </w:tc>
      </w:tr>
      <w:tr w:rsidR="00845DFD" w:rsidRPr="00A84441" w14:paraId="4C19CDDF" w14:textId="77777777" w:rsidTr="009861BD">
        <w:tc>
          <w:tcPr>
            <w:tcW w:w="403" w:type="pct"/>
            <w:vMerge/>
            <w:tcMar>
              <w:left w:w="57" w:type="dxa"/>
              <w:right w:w="57" w:type="dxa"/>
            </w:tcMar>
            <w:vAlign w:val="center"/>
          </w:tcPr>
          <w:p w14:paraId="55183CD4" w14:textId="77777777" w:rsidR="00845DFD" w:rsidRPr="00A84441" w:rsidRDefault="00845DFD" w:rsidP="009861BD">
            <w:pPr>
              <w:spacing w:line="240" w:lineRule="auto"/>
              <w:jc w:val="center"/>
              <w:rPr>
                <w:b/>
                <w:bCs/>
              </w:rPr>
            </w:pPr>
          </w:p>
        </w:tc>
        <w:tc>
          <w:tcPr>
            <w:tcW w:w="506" w:type="pct"/>
            <w:vMerge/>
            <w:tcMar>
              <w:left w:w="57" w:type="dxa"/>
              <w:right w:w="57" w:type="dxa"/>
            </w:tcMar>
            <w:vAlign w:val="center"/>
          </w:tcPr>
          <w:p w14:paraId="1DE27A5E" w14:textId="77777777" w:rsidR="00845DFD" w:rsidRPr="00A84441" w:rsidRDefault="00845DFD" w:rsidP="009861BD">
            <w:pPr>
              <w:spacing w:line="240" w:lineRule="auto"/>
              <w:jc w:val="center"/>
            </w:pPr>
          </w:p>
        </w:tc>
        <w:tc>
          <w:tcPr>
            <w:tcW w:w="558" w:type="pct"/>
            <w:tcMar>
              <w:left w:w="57" w:type="dxa"/>
              <w:right w:w="57" w:type="dxa"/>
            </w:tcMar>
            <w:vAlign w:val="center"/>
          </w:tcPr>
          <w:p w14:paraId="147D2A77" w14:textId="35EFB6B3" w:rsidR="00845DFD" w:rsidRPr="00A84441" w:rsidRDefault="00845DFD" w:rsidP="009861BD">
            <w:pPr>
              <w:spacing w:line="240" w:lineRule="auto"/>
              <w:jc w:val="center"/>
            </w:pPr>
            <w:r w:rsidRPr="00A84441">
              <w:t>11%</w:t>
            </w:r>
          </w:p>
        </w:tc>
        <w:tc>
          <w:tcPr>
            <w:tcW w:w="456" w:type="pct"/>
            <w:tcMar>
              <w:left w:w="57" w:type="dxa"/>
              <w:right w:w="57" w:type="dxa"/>
            </w:tcMar>
            <w:vAlign w:val="center"/>
          </w:tcPr>
          <w:p w14:paraId="53FFE021" w14:textId="77777777" w:rsidR="00845DFD" w:rsidRPr="00A84441" w:rsidRDefault="00845DFD" w:rsidP="009861BD">
            <w:pPr>
              <w:spacing w:line="240" w:lineRule="auto"/>
              <w:jc w:val="center"/>
            </w:pPr>
            <w:r w:rsidRPr="00A84441">
              <w:t>Semester 2</w:t>
            </w:r>
          </w:p>
          <w:p w14:paraId="20D2C131" w14:textId="1A462A2E" w:rsidR="00845DFD" w:rsidRPr="00A84441" w:rsidRDefault="00845DFD" w:rsidP="009861BD">
            <w:pPr>
              <w:spacing w:line="240" w:lineRule="auto"/>
              <w:jc w:val="center"/>
            </w:pPr>
            <w:r w:rsidRPr="00A84441">
              <w:t>Week 6</w:t>
            </w:r>
          </w:p>
        </w:tc>
        <w:tc>
          <w:tcPr>
            <w:tcW w:w="3077" w:type="pct"/>
          </w:tcPr>
          <w:p w14:paraId="504A43D9" w14:textId="014C447E" w:rsidR="00845DFD" w:rsidRPr="00A84441" w:rsidRDefault="00845DFD" w:rsidP="009861BD">
            <w:pPr>
              <w:spacing w:line="240" w:lineRule="auto"/>
              <w:rPr>
                <w:lang w:eastAsia="en-AU"/>
              </w:rPr>
            </w:pPr>
            <w:r w:rsidRPr="00A84441">
              <w:rPr>
                <w:rFonts w:asciiTheme="minorHAnsi" w:eastAsiaTheme="minorHAnsi" w:hAnsiTheme="minorHAnsi" w:cstheme="minorHAnsi"/>
                <w:b/>
                <w:bCs/>
                <w:iCs/>
                <w:lang w:eastAsia="en-AU"/>
              </w:rPr>
              <w:t>Task 6:</w:t>
            </w:r>
            <w:r w:rsidRPr="00A84441">
              <w:rPr>
                <w:rFonts w:asciiTheme="minorHAnsi" w:eastAsiaTheme="minorHAnsi" w:hAnsiTheme="minorHAnsi" w:cstheme="minorHAnsi"/>
                <w:iCs/>
                <w:lang w:eastAsia="en-AU"/>
              </w:rPr>
              <w:t xml:space="preserve"> Short and </w:t>
            </w:r>
            <w:r w:rsidRPr="00A84441">
              <w:rPr>
                <w:lang w:eastAsia="en-AU"/>
              </w:rPr>
              <w:t>extended</w:t>
            </w:r>
            <w:r w:rsidRPr="00A84441">
              <w:rPr>
                <w:rFonts w:asciiTheme="minorHAnsi" w:eastAsiaTheme="minorHAnsi" w:hAnsiTheme="minorHAnsi" w:cstheme="minorHAnsi"/>
                <w:iCs/>
                <w:lang w:eastAsia="en-AU"/>
              </w:rPr>
              <w:t xml:space="preserve"> answer questions in response </w:t>
            </w:r>
            <w:r w:rsidR="00D333C0" w:rsidRPr="00A84441">
              <w:rPr>
                <w:rFonts w:asciiTheme="minorHAnsi" w:eastAsiaTheme="minorHAnsi" w:hAnsiTheme="minorHAnsi" w:cstheme="minorHAnsi"/>
                <w:iCs/>
                <w:lang w:eastAsia="en-AU"/>
              </w:rPr>
              <w:t xml:space="preserve">to </w:t>
            </w:r>
            <w:r w:rsidRPr="00A84441">
              <w:rPr>
                <w:rFonts w:asciiTheme="minorHAnsi" w:eastAsiaTheme="minorHAnsi" w:hAnsiTheme="minorHAnsi" w:cstheme="minorHAnsi"/>
                <w:iCs/>
                <w:lang w:eastAsia="en-AU"/>
              </w:rPr>
              <w:t>a case study and scenario, based on</w:t>
            </w:r>
            <w:r w:rsidR="00B179CC" w:rsidRPr="00A84441">
              <w:rPr>
                <w:rFonts w:asciiTheme="minorHAnsi" w:eastAsiaTheme="minorHAnsi" w:hAnsiTheme="minorHAnsi" w:cstheme="minorHAnsi"/>
                <w:iCs/>
                <w:lang w:eastAsia="en-AU"/>
              </w:rPr>
              <w:t xml:space="preserve"> </w:t>
            </w:r>
            <w:r w:rsidRPr="00A84441">
              <w:rPr>
                <w:rFonts w:asciiTheme="minorHAnsi" w:eastAsiaTheme="minorHAnsi" w:hAnsiTheme="minorHAnsi" w:cstheme="minorHAnsi"/>
                <w:iCs/>
                <w:lang w:eastAsia="en-AU"/>
              </w:rPr>
              <w:t xml:space="preserve">employee protections at work as provided by the </w:t>
            </w:r>
            <w:r w:rsidRPr="00A84441">
              <w:rPr>
                <w:rFonts w:asciiTheme="minorHAnsi" w:eastAsiaTheme="minorHAnsi" w:hAnsiTheme="minorHAnsi" w:cstheme="minorHAnsi"/>
                <w:i/>
                <w:lang w:eastAsia="en-AU"/>
              </w:rPr>
              <w:t>Fair Work Act 2009</w:t>
            </w:r>
            <w:r w:rsidRPr="00A84441">
              <w:rPr>
                <w:rFonts w:asciiTheme="minorHAnsi" w:eastAsiaTheme="minorHAnsi" w:hAnsiTheme="minorHAnsi" w:cstheme="minorHAnsi"/>
                <w:iCs/>
                <w:lang w:eastAsia="en-AU"/>
              </w:rPr>
              <w:t xml:space="preserve">, the responsibility of an employer within the </w:t>
            </w:r>
            <w:r w:rsidRPr="00A84441">
              <w:rPr>
                <w:rFonts w:asciiTheme="minorHAnsi" w:eastAsiaTheme="minorHAnsi" w:hAnsiTheme="minorHAnsi" w:cstheme="minorHAnsi"/>
                <w:i/>
                <w:lang w:eastAsia="en-AU"/>
              </w:rPr>
              <w:t>Work Health and Safety Act 2020 (WA)</w:t>
            </w:r>
            <w:r w:rsidR="00B179CC" w:rsidRPr="00A84441">
              <w:rPr>
                <w:rFonts w:asciiTheme="minorHAnsi" w:eastAsiaTheme="minorHAnsi" w:hAnsiTheme="minorHAnsi" w:cstheme="minorHAnsi"/>
                <w:i/>
                <w:lang w:eastAsia="en-AU"/>
              </w:rPr>
              <w:t xml:space="preserve">, </w:t>
            </w:r>
            <w:r w:rsidR="00B179CC" w:rsidRPr="00A84441">
              <w:rPr>
                <w:rFonts w:asciiTheme="minorHAnsi" w:eastAsiaTheme="minorHAnsi" w:hAnsiTheme="minorHAnsi" w:cstheme="minorHAnsi"/>
                <w:iCs/>
                <w:lang w:eastAsia="en-AU"/>
              </w:rPr>
              <w:t>the concept of intellectual property (IP), purpose of IP laws, types of IP registrations and process for IP registration</w:t>
            </w:r>
          </w:p>
        </w:tc>
      </w:tr>
      <w:tr w:rsidR="00845DFD" w:rsidRPr="00A84441" w14:paraId="175F627F" w14:textId="77777777" w:rsidTr="009861BD">
        <w:tc>
          <w:tcPr>
            <w:tcW w:w="403" w:type="pct"/>
            <w:vMerge/>
            <w:tcMar>
              <w:left w:w="57" w:type="dxa"/>
              <w:right w:w="57" w:type="dxa"/>
            </w:tcMar>
            <w:vAlign w:val="center"/>
          </w:tcPr>
          <w:p w14:paraId="165F194B" w14:textId="77777777" w:rsidR="00845DFD" w:rsidRPr="00A84441" w:rsidRDefault="00845DFD" w:rsidP="009861BD">
            <w:pPr>
              <w:spacing w:line="240" w:lineRule="auto"/>
              <w:jc w:val="center"/>
              <w:rPr>
                <w:b/>
                <w:bCs/>
              </w:rPr>
            </w:pPr>
          </w:p>
        </w:tc>
        <w:tc>
          <w:tcPr>
            <w:tcW w:w="506" w:type="pct"/>
            <w:vMerge/>
            <w:tcMar>
              <w:left w:w="57" w:type="dxa"/>
              <w:right w:w="57" w:type="dxa"/>
            </w:tcMar>
            <w:vAlign w:val="center"/>
          </w:tcPr>
          <w:p w14:paraId="595A16BB" w14:textId="77777777" w:rsidR="00845DFD" w:rsidRPr="00A84441" w:rsidRDefault="00845DFD" w:rsidP="009861BD">
            <w:pPr>
              <w:spacing w:line="240" w:lineRule="auto"/>
              <w:jc w:val="center"/>
            </w:pPr>
          </w:p>
        </w:tc>
        <w:tc>
          <w:tcPr>
            <w:tcW w:w="558" w:type="pct"/>
            <w:tcMar>
              <w:left w:w="57" w:type="dxa"/>
              <w:right w:w="57" w:type="dxa"/>
            </w:tcMar>
            <w:vAlign w:val="center"/>
          </w:tcPr>
          <w:p w14:paraId="7026DE85" w14:textId="14D83C98" w:rsidR="00845DFD" w:rsidRPr="00A84441" w:rsidRDefault="00845DFD" w:rsidP="009861BD">
            <w:pPr>
              <w:spacing w:line="240" w:lineRule="auto"/>
              <w:jc w:val="center"/>
            </w:pPr>
            <w:r w:rsidRPr="00A84441">
              <w:t>11%</w:t>
            </w:r>
          </w:p>
        </w:tc>
        <w:tc>
          <w:tcPr>
            <w:tcW w:w="456" w:type="pct"/>
            <w:tcMar>
              <w:left w:w="57" w:type="dxa"/>
              <w:right w:w="57" w:type="dxa"/>
            </w:tcMar>
            <w:vAlign w:val="center"/>
          </w:tcPr>
          <w:p w14:paraId="51D0F05A" w14:textId="77777777" w:rsidR="00845DFD" w:rsidRPr="00A84441" w:rsidRDefault="00845DFD" w:rsidP="009861BD">
            <w:pPr>
              <w:spacing w:line="240" w:lineRule="auto"/>
              <w:jc w:val="center"/>
            </w:pPr>
            <w:r w:rsidRPr="00A84441">
              <w:t>Semester 2</w:t>
            </w:r>
          </w:p>
          <w:p w14:paraId="1E338550" w14:textId="57A1869C" w:rsidR="00845DFD" w:rsidRPr="00A84441" w:rsidRDefault="00845DFD" w:rsidP="009861BD">
            <w:pPr>
              <w:spacing w:line="240" w:lineRule="auto"/>
              <w:jc w:val="center"/>
            </w:pPr>
            <w:r w:rsidRPr="00A84441">
              <w:t>Week 10</w:t>
            </w:r>
          </w:p>
        </w:tc>
        <w:tc>
          <w:tcPr>
            <w:tcW w:w="3077" w:type="pct"/>
          </w:tcPr>
          <w:p w14:paraId="398DFE3E" w14:textId="7A0339E7" w:rsidR="00845DFD" w:rsidRPr="00A84441" w:rsidRDefault="00845DFD" w:rsidP="009861BD">
            <w:pPr>
              <w:spacing w:line="240" w:lineRule="auto"/>
              <w:rPr>
                <w:rFonts w:asciiTheme="minorHAnsi" w:hAnsiTheme="minorHAnsi" w:cstheme="minorHAnsi"/>
              </w:rPr>
            </w:pPr>
            <w:r w:rsidRPr="00A84441">
              <w:rPr>
                <w:rFonts w:asciiTheme="minorHAnsi" w:hAnsiTheme="minorHAnsi" w:cstheme="minorHAnsi"/>
                <w:b/>
                <w:bCs/>
                <w:lang w:eastAsia="en-AU"/>
              </w:rPr>
              <w:t>Task 7:</w:t>
            </w:r>
            <w:r w:rsidRPr="00A84441">
              <w:rPr>
                <w:rFonts w:asciiTheme="minorHAnsi" w:hAnsiTheme="minorHAnsi" w:cstheme="minorHAnsi"/>
                <w:lang w:eastAsia="en-AU"/>
              </w:rPr>
              <w:t xml:space="preserve"> Multiple choice and short answer questions</w:t>
            </w:r>
            <w:r w:rsidR="00B179CC" w:rsidRPr="00A84441">
              <w:rPr>
                <w:rFonts w:asciiTheme="minorHAnsi" w:hAnsiTheme="minorHAnsi" w:cstheme="minorHAnsi"/>
                <w:lang w:eastAsia="en-AU"/>
              </w:rPr>
              <w:t xml:space="preserve">, </w:t>
            </w:r>
            <w:r w:rsidRPr="00A84441">
              <w:rPr>
                <w:rFonts w:asciiTheme="minorHAnsi" w:hAnsiTheme="minorHAnsi" w:cstheme="minorHAnsi"/>
                <w:lang w:eastAsia="en-AU"/>
              </w:rPr>
              <w:t>in</w:t>
            </w:r>
            <w:r w:rsidR="00B179CC" w:rsidRPr="00A84441">
              <w:rPr>
                <w:rFonts w:asciiTheme="minorHAnsi" w:hAnsiTheme="minorHAnsi" w:cstheme="minorHAnsi"/>
                <w:lang w:eastAsia="en-AU"/>
              </w:rPr>
              <w:t xml:space="preserve">cluding responses to </w:t>
            </w:r>
            <w:r w:rsidRPr="00A84441">
              <w:rPr>
                <w:rFonts w:asciiTheme="minorHAnsi" w:hAnsiTheme="minorHAnsi" w:cstheme="minorHAnsi"/>
                <w:lang w:eastAsia="en-AU"/>
              </w:rPr>
              <w:t xml:space="preserve">a case study, based on the purpose and features of financial reports, function of key performance indicators (KPIs), characteristics of </w:t>
            </w:r>
            <w:r w:rsidRPr="00A84441">
              <w:rPr>
                <w:lang w:eastAsia="en-AU"/>
              </w:rPr>
              <w:t>financial</w:t>
            </w:r>
            <w:r w:rsidRPr="00A84441">
              <w:rPr>
                <w:rFonts w:asciiTheme="minorHAnsi" w:hAnsiTheme="minorHAnsi" w:cstheme="minorHAnsi"/>
                <w:lang w:eastAsia="en-AU"/>
              </w:rPr>
              <w:t xml:space="preserve"> and non-financial indicators, issues related to marketing and promotion of products</w:t>
            </w:r>
            <w:r w:rsidR="00AE4305" w:rsidRPr="00A84441">
              <w:rPr>
                <w:rFonts w:asciiTheme="minorHAnsi" w:hAnsiTheme="minorHAnsi" w:cstheme="minorHAnsi"/>
                <w:lang w:eastAsia="en-AU"/>
              </w:rPr>
              <w:t>,</w:t>
            </w:r>
            <w:r w:rsidRPr="00A84441">
              <w:rPr>
                <w:rFonts w:asciiTheme="minorHAnsi" w:hAnsiTheme="minorHAnsi" w:cstheme="minorHAnsi"/>
                <w:lang w:eastAsia="en-AU"/>
              </w:rPr>
              <w:t xml:space="preserve"> and influence of government policy</w:t>
            </w:r>
          </w:p>
        </w:tc>
      </w:tr>
      <w:tr w:rsidR="00845DFD" w:rsidRPr="00A84441" w14:paraId="62C4CCD7" w14:textId="77777777" w:rsidTr="009861BD">
        <w:tc>
          <w:tcPr>
            <w:tcW w:w="403" w:type="pct"/>
            <w:tcMar>
              <w:left w:w="57" w:type="dxa"/>
              <w:right w:w="57" w:type="dxa"/>
            </w:tcMar>
            <w:vAlign w:val="center"/>
          </w:tcPr>
          <w:p w14:paraId="0D37A82C" w14:textId="77777777" w:rsidR="00845DFD" w:rsidRPr="00A84441" w:rsidRDefault="00845DFD" w:rsidP="009861BD">
            <w:pPr>
              <w:spacing w:line="240" w:lineRule="auto"/>
              <w:jc w:val="center"/>
              <w:rPr>
                <w:b/>
                <w:bCs/>
                <w:lang w:eastAsia="en-US"/>
              </w:rPr>
            </w:pPr>
            <w:r w:rsidRPr="00A84441">
              <w:rPr>
                <w:b/>
                <w:bCs/>
                <w:lang w:eastAsia="en-US"/>
              </w:rPr>
              <w:t>Externally set task</w:t>
            </w:r>
          </w:p>
        </w:tc>
        <w:tc>
          <w:tcPr>
            <w:tcW w:w="506" w:type="pct"/>
            <w:tcMar>
              <w:left w:w="57" w:type="dxa"/>
              <w:right w:w="57" w:type="dxa"/>
            </w:tcMar>
            <w:vAlign w:val="center"/>
          </w:tcPr>
          <w:p w14:paraId="2B3B5496" w14:textId="77777777" w:rsidR="00845DFD" w:rsidRPr="00A84441" w:rsidRDefault="00845DFD" w:rsidP="009861BD">
            <w:pPr>
              <w:spacing w:line="240" w:lineRule="auto"/>
              <w:jc w:val="center"/>
            </w:pPr>
            <w:r w:rsidRPr="00A84441">
              <w:t>15%</w:t>
            </w:r>
          </w:p>
        </w:tc>
        <w:tc>
          <w:tcPr>
            <w:tcW w:w="558" w:type="pct"/>
            <w:tcMar>
              <w:left w:w="57" w:type="dxa"/>
              <w:right w:w="57" w:type="dxa"/>
            </w:tcMar>
            <w:vAlign w:val="center"/>
          </w:tcPr>
          <w:p w14:paraId="1E28C59A" w14:textId="77777777" w:rsidR="00845DFD" w:rsidRPr="00A84441" w:rsidRDefault="00845DFD" w:rsidP="009861BD">
            <w:pPr>
              <w:spacing w:line="240" w:lineRule="auto"/>
              <w:jc w:val="center"/>
            </w:pPr>
            <w:r w:rsidRPr="00A84441">
              <w:t>15%</w:t>
            </w:r>
          </w:p>
        </w:tc>
        <w:tc>
          <w:tcPr>
            <w:tcW w:w="456" w:type="pct"/>
            <w:tcMar>
              <w:left w:w="57" w:type="dxa"/>
              <w:right w:w="57" w:type="dxa"/>
            </w:tcMar>
            <w:vAlign w:val="center"/>
          </w:tcPr>
          <w:p w14:paraId="1D3166E2" w14:textId="77777777" w:rsidR="00845DFD" w:rsidRPr="00A84441" w:rsidRDefault="00845DFD" w:rsidP="009861BD">
            <w:pPr>
              <w:spacing w:line="240" w:lineRule="auto"/>
              <w:jc w:val="center"/>
            </w:pPr>
            <w:r w:rsidRPr="00A84441">
              <w:t>Semester 1</w:t>
            </w:r>
          </w:p>
          <w:p w14:paraId="0B44BFF3" w14:textId="77777777" w:rsidR="00845DFD" w:rsidRPr="00A84441" w:rsidRDefault="00845DFD" w:rsidP="009861BD">
            <w:pPr>
              <w:spacing w:line="240" w:lineRule="auto"/>
              <w:jc w:val="center"/>
            </w:pPr>
            <w:r w:rsidRPr="00A84441">
              <w:t>Week 13</w:t>
            </w:r>
          </w:p>
        </w:tc>
        <w:tc>
          <w:tcPr>
            <w:tcW w:w="3077" w:type="pct"/>
          </w:tcPr>
          <w:p w14:paraId="67848A91" w14:textId="65BF2C4F" w:rsidR="00845DFD" w:rsidRPr="00A84441" w:rsidRDefault="00845DFD" w:rsidP="009861BD">
            <w:pPr>
              <w:spacing w:line="240" w:lineRule="auto"/>
              <w:rPr>
                <w:rFonts w:cstheme="minorHAnsi"/>
              </w:rPr>
            </w:pPr>
            <w:r w:rsidRPr="00A84441">
              <w:rPr>
                <w:rFonts w:cstheme="minorHAnsi"/>
                <w:b/>
                <w:bCs/>
              </w:rPr>
              <w:t>Task 3:</w:t>
            </w:r>
            <w:r w:rsidRPr="00A84441">
              <w:rPr>
                <w:rFonts w:cstheme="minorHAnsi"/>
              </w:rPr>
              <w:t xml:space="preserve"> A written task or item or set of items of 50</w:t>
            </w:r>
            <w:r w:rsidR="00395C11" w:rsidRPr="00A84441">
              <w:rPr>
                <w:rFonts w:cstheme="minorHAnsi"/>
              </w:rPr>
              <w:t xml:space="preserve"> </w:t>
            </w:r>
            <w:r w:rsidRPr="00A84441">
              <w:rPr>
                <w:rFonts w:cstheme="minorHAnsi"/>
              </w:rPr>
              <w:t>minutes duration developed by th</w:t>
            </w:r>
            <w:r w:rsidR="00A84441">
              <w:rPr>
                <w:rFonts w:cstheme="minorHAnsi"/>
              </w:rPr>
              <w:t xml:space="preserve">e </w:t>
            </w:r>
            <w:r w:rsidRPr="00A84441">
              <w:rPr>
                <w:rFonts w:cstheme="minorHAnsi"/>
              </w:rPr>
              <w:t>School Curriculum and Standards Authority and administered by the school</w:t>
            </w:r>
          </w:p>
        </w:tc>
      </w:tr>
      <w:tr w:rsidR="00845DFD" w:rsidRPr="00A84441" w14:paraId="16DD03FA" w14:textId="77777777" w:rsidTr="009861BD">
        <w:tc>
          <w:tcPr>
            <w:tcW w:w="403" w:type="pct"/>
            <w:shd w:val="clear" w:color="auto" w:fill="DECFE8" w:themeFill="accent5"/>
            <w:tcMar>
              <w:left w:w="57" w:type="dxa"/>
              <w:right w:w="57" w:type="dxa"/>
            </w:tcMar>
          </w:tcPr>
          <w:p w14:paraId="2EC3C550" w14:textId="77777777" w:rsidR="00845DFD" w:rsidRPr="00A84441" w:rsidRDefault="00845DFD" w:rsidP="009861BD">
            <w:pPr>
              <w:spacing w:line="240" w:lineRule="auto"/>
              <w:jc w:val="center"/>
              <w:rPr>
                <w:b/>
                <w:bCs/>
              </w:rPr>
            </w:pPr>
            <w:r w:rsidRPr="00A84441">
              <w:rPr>
                <w:b/>
                <w:bCs/>
              </w:rPr>
              <w:t>Total</w:t>
            </w:r>
          </w:p>
        </w:tc>
        <w:tc>
          <w:tcPr>
            <w:tcW w:w="506" w:type="pct"/>
            <w:shd w:val="clear" w:color="auto" w:fill="DECFE8" w:themeFill="accent5"/>
            <w:tcMar>
              <w:left w:w="57" w:type="dxa"/>
              <w:right w:w="57" w:type="dxa"/>
            </w:tcMar>
          </w:tcPr>
          <w:p w14:paraId="27755C38" w14:textId="77777777" w:rsidR="00845DFD" w:rsidRPr="00A84441" w:rsidRDefault="00845DFD" w:rsidP="009861BD">
            <w:pPr>
              <w:spacing w:line="240" w:lineRule="auto"/>
              <w:jc w:val="center"/>
              <w:rPr>
                <w:b/>
                <w:bCs/>
              </w:rPr>
            </w:pPr>
            <w:r w:rsidRPr="00A84441">
              <w:rPr>
                <w:b/>
                <w:bCs/>
              </w:rPr>
              <w:t>100%</w:t>
            </w:r>
          </w:p>
        </w:tc>
        <w:tc>
          <w:tcPr>
            <w:tcW w:w="558" w:type="pct"/>
            <w:shd w:val="clear" w:color="auto" w:fill="DECFE8" w:themeFill="accent5"/>
            <w:tcMar>
              <w:left w:w="57" w:type="dxa"/>
              <w:right w:w="57" w:type="dxa"/>
            </w:tcMar>
          </w:tcPr>
          <w:p w14:paraId="5C5F85C4" w14:textId="77777777" w:rsidR="00845DFD" w:rsidRPr="00A84441" w:rsidRDefault="00845DFD" w:rsidP="009861BD">
            <w:pPr>
              <w:spacing w:line="240" w:lineRule="auto"/>
              <w:jc w:val="center"/>
              <w:rPr>
                <w:b/>
                <w:bCs/>
              </w:rPr>
            </w:pPr>
            <w:r w:rsidRPr="00A84441">
              <w:rPr>
                <w:b/>
                <w:bCs/>
              </w:rPr>
              <w:t>100%</w:t>
            </w:r>
          </w:p>
        </w:tc>
        <w:tc>
          <w:tcPr>
            <w:tcW w:w="456" w:type="pct"/>
            <w:shd w:val="clear" w:color="auto" w:fill="DECFE8" w:themeFill="accent5"/>
            <w:tcMar>
              <w:left w:w="57" w:type="dxa"/>
              <w:right w:w="57" w:type="dxa"/>
            </w:tcMar>
          </w:tcPr>
          <w:p w14:paraId="579B9D99" w14:textId="77777777" w:rsidR="00845DFD" w:rsidRPr="00A84441" w:rsidRDefault="00845DFD" w:rsidP="009861BD">
            <w:pPr>
              <w:spacing w:line="240" w:lineRule="auto"/>
              <w:jc w:val="center"/>
              <w:rPr>
                <w:b/>
                <w:bCs/>
              </w:rPr>
            </w:pPr>
          </w:p>
        </w:tc>
        <w:tc>
          <w:tcPr>
            <w:tcW w:w="3077" w:type="pct"/>
            <w:shd w:val="clear" w:color="auto" w:fill="DECFE8" w:themeFill="accent5"/>
          </w:tcPr>
          <w:p w14:paraId="07F9D7EB" w14:textId="77777777" w:rsidR="00845DFD" w:rsidRPr="00A84441" w:rsidRDefault="00845DFD" w:rsidP="009861BD">
            <w:pPr>
              <w:spacing w:line="240" w:lineRule="auto"/>
              <w:rPr>
                <w:b/>
                <w:bCs/>
              </w:rPr>
            </w:pPr>
          </w:p>
        </w:tc>
      </w:tr>
    </w:tbl>
    <w:p w14:paraId="4431D68D" w14:textId="77777777" w:rsidR="000E2090" w:rsidRPr="00643FF1" w:rsidRDefault="000E2090" w:rsidP="00643FF1">
      <w:pPr>
        <w:rPr>
          <w:sz w:val="4"/>
          <w:szCs w:val="4"/>
        </w:rPr>
      </w:pPr>
    </w:p>
    <w:sectPr w:rsidR="000E2090" w:rsidRPr="00643FF1" w:rsidSect="00D20CF4">
      <w:headerReference w:type="even" r:id="rId15"/>
      <w:headerReference w:type="default" r:id="rId16"/>
      <w:footerReference w:type="even" r:id="rId17"/>
      <w:footerReference w:type="default" r:id="rId18"/>
      <w:headerReference w:type="first" r:id="rId19"/>
      <w:pgSz w:w="16838" w:h="11906" w:orient="landscape" w:code="9"/>
      <w:pgMar w:top="1276" w:right="1418" w:bottom="1134"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2F81" w14:textId="77777777" w:rsidR="00E54BD6" w:rsidRPr="00A84441" w:rsidRDefault="00E54BD6" w:rsidP="00E35001">
      <w:r w:rsidRPr="00A84441">
        <w:separator/>
      </w:r>
    </w:p>
  </w:endnote>
  <w:endnote w:type="continuationSeparator" w:id="0">
    <w:p w14:paraId="0F03716F" w14:textId="77777777" w:rsidR="00E54BD6" w:rsidRPr="00A84441" w:rsidRDefault="00E54BD6" w:rsidP="00E35001">
      <w:r w:rsidRPr="00A844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FBE3" w14:textId="734B8A3E" w:rsidR="003B10BB" w:rsidRPr="00A84441" w:rsidRDefault="00E8324F" w:rsidP="00880481">
    <w:pPr>
      <w:pStyle w:val="SCSAFootereven"/>
    </w:pPr>
    <w:r w:rsidRPr="00A84441">
      <w:t>2024/69279</w:t>
    </w:r>
    <w:r w:rsidR="00880481" w:rsidRPr="00A84441">
      <w:t>[</w:t>
    </w:r>
    <w:r w:rsidR="00B43760" w:rsidRPr="00A84441">
      <w:t>v</w:t>
    </w:r>
    <w:r w:rsidR="00E63BFC" w:rsidRPr="00A84441">
      <w:t>7</w:t>
    </w:r>
    <w:r w:rsidR="00880481" w:rsidRPr="00A8444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6771" w14:textId="77777777" w:rsidR="003B10BB" w:rsidRPr="00A84441" w:rsidRDefault="003B10BB" w:rsidP="00880481">
    <w:pPr>
      <w:pStyle w:val="SCSAFooterodd"/>
    </w:pPr>
    <w:r w:rsidRPr="00A84441">
      <w:t>2014/</w:t>
    </w:r>
    <w:proofErr w:type="spellStart"/>
    <w:r w:rsidRPr="00A84441">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2F1F" w14:textId="5551D244" w:rsidR="009979EB" w:rsidRPr="00A84441" w:rsidRDefault="009979EB" w:rsidP="00880481">
    <w:pPr>
      <w:pStyle w:val="SCSAFootereven"/>
    </w:pPr>
    <w:r w:rsidRPr="00A84441">
      <w:t>Sample assessment outline</w:t>
    </w:r>
    <w:r w:rsidR="003645F4" w:rsidRPr="00A84441">
      <w:t xml:space="preserve"> </w:t>
    </w:r>
    <w:r w:rsidRPr="00A84441">
      <w:t xml:space="preserve">| Business Management and Enterprise | </w:t>
    </w:r>
    <w:r w:rsidR="00121121" w:rsidRPr="00A84441">
      <w:t>General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4CF6" w14:textId="05A01765" w:rsidR="00BC2C4F" w:rsidRPr="00A84441" w:rsidRDefault="003B10BB" w:rsidP="00880481">
    <w:pPr>
      <w:pStyle w:val="SCSAFooterodd"/>
    </w:pPr>
    <w:r w:rsidRPr="00A84441">
      <w:t xml:space="preserve">Sample assessment outline | Business Management and Enterprise | </w:t>
    </w:r>
    <w:r w:rsidR="001114E7" w:rsidRPr="00A84441">
      <w:t>General</w:t>
    </w:r>
    <w:r w:rsidRPr="00A84441">
      <w:t xml:space="preserve"> Year 1</w:t>
    </w:r>
    <w:r w:rsidR="001114E7" w:rsidRPr="00A84441">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0D56" w14:textId="77777777" w:rsidR="00E54BD6" w:rsidRPr="00A84441" w:rsidRDefault="00E54BD6" w:rsidP="00E35001">
      <w:r w:rsidRPr="00A84441">
        <w:separator/>
      </w:r>
    </w:p>
  </w:footnote>
  <w:footnote w:type="continuationSeparator" w:id="0">
    <w:p w14:paraId="02DFFFB9" w14:textId="77777777" w:rsidR="00E54BD6" w:rsidRPr="00A84441" w:rsidRDefault="00E54BD6" w:rsidP="00E35001">
      <w:r w:rsidRPr="00A844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5A4D" w14:textId="4CCA0432" w:rsidR="003B10BB" w:rsidRPr="00A84441" w:rsidRDefault="005A7BDB" w:rsidP="00E44935">
    <w:pPr>
      <w:pStyle w:val="Header"/>
      <w:ind w:left="-709"/>
    </w:pPr>
    <w:r w:rsidRPr="00A84441">
      <w:drawing>
        <wp:inline distT="0" distB="0" distL="0" distR="0" wp14:anchorId="3A0CD909" wp14:editId="366AA34A">
          <wp:extent cx="4533900" cy="704850"/>
          <wp:effectExtent l="0" t="0" r="0" b="0"/>
          <wp:docPr id="5" name="Picture 5" descr="School Curriculum and Standards Authority header with the Western Australian State Government Badge and agency name. The Badge and logo are combination marks consisting of a pictorial mark and a lettermark in the corporate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hool Curriculum and Standards Authority header with the Western Australian State Government Badge and agency name. The Badge and logo are combination marks consisting of a pictorial mark and a lettermark in the corporate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r w:rsidRPr="00A84441">
      <w:rPr>
        <w:rFonts w:ascii="Franklin Gothic Medium" w:hAnsi="Franklin Gothic Medium"/>
        <w:smallCaps/>
        <w:color w:val="463969"/>
        <w:sz w:val="52"/>
        <w:szCs w:val="52"/>
      </w:rPr>
      <w:drawing>
        <wp:anchor distT="0" distB="0" distL="114300" distR="114300" simplePos="0" relativeHeight="251671552" behindDoc="1" locked="1" layoutInCell="1" allowOverlap="1" wp14:anchorId="423AB10D" wp14:editId="1E2F06EF">
          <wp:simplePos x="0" y="0"/>
          <wp:positionH relativeFrom="column">
            <wp:posOffset>-5943600</wp:posOffset>
          </wp:positionH>
          <wp:positionV relativeFrom="paragraph">
            <wp:posOffset>1305560</wp:posOffset>
          </wp:positionV>
          <wp:extent cx="11631295" cy="91217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1995" w14:textId="2026C63A" w:rsidR="009979EB" w:rsidRPr="00A84441" w:rsidRDefault="009979EB" w:rsidP="00880481">
    <w:pPr>
      <w:pStyle w:val="SCSAHeaderevenlandscape"/>
    </w:pPr>
    <w:r w:rsidRPr="00A84441">
      <w:fldChar w:fldCharType="begin"/>
    </w:r>
    <w:r w:rsidRPr="00A84441">
      <w:instrText xml:space="preserve"> PAGE   \* MERGEFORMAT </w:instrText>
    </w:r>
    <w:r w:rsidRPr="00A84441">
      <w:fldChar w:fldCharType="separate"/>
    </w:r>
    <w:r w:rsidR="00067066" w:rsidRPr="00A84441">
      <w:t>2</w:t>
    </w:r>
    <w:r w:rsidRPr="00A8444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16CB" w14:textId="0A8F6582" w:rsidR="00B35AF0" w:rsidRPr="00A84441" w:rsidRDefault="00C5096E" w:rsidP="00880481">
    <w:pPr>
      <w:pStyle w:val="SCSAHeaderoddlandscape"/>
    </w:pPr>
    <w:r w:rsidRPr="00A84441">
      <w:fldChar w:fldCharType="begin"/>
    </w:r>
    <w:r w:rsidR="003B10BB" w:rsidRPr="00A84441">
      <w:instrText xml:space="preserve"> PAGE   \* MERGEFORMAT </w:instrText>
    </w:r>
    <w:r w:rsidRPr="00A84441">
      <w:fldChar w:fldCharType="separate"/>
    </w:r>
    <w:r w:rsidR="002156E4" w:rsidRPr="00A84441">
      <w:t>1</w:t>
    </w:r>
    <w:r w:rsidRPr="00A84441">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315F" w14:textId="045085B9" w:rsidR="00DB2762" w:rsidRPr="00A84441" w:rsidRDefault="00DB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A43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EADE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8C02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98C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8E5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B42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842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808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20F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204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FA3AA9"/>
    <w:multiLevelType w:val="hybridMultilevel"/>
    <w:tmpl w:val="2EE6B00A"/>
    <w:lvl w:ilvl="0" w:tplc="0E726B06">
      <w:start w:val="1"/>
      <w:numFmt w:val="bullet"/>
      <w:lvlText w:val=""/>
      <w:lvlJc w:val="left"/>
      <w:pPr>
        <w:tabs>
          <w:tab w:val="num" w:pos="170"/>
        </w:tabs>
        <w:ind w:left="170" w:hanging="170"/>
      </w:pPr>
      <w:rPr>
        <w:rFonts w:ascii="Symbol" w:hAnsi="Symbol" w:hint="default"/>
      </w:rPr>
    </w:lvl>
    <w:lvl w:ilvl="1" w:tplc="0C090003">
      <w:start w:val="1"/>
      <w:numFmt w:val="bullet"/>
      <w:lvlText w:val="o"/>
      <w:lvlJc w:val="left"/>
      <w:pPr>
        <w:tabs>
          <w:tab w:val="num" w:pos="928"/>
        </w:tabs>
        <w:ind w:left="1078" w:hanging="511"/>
      </w:pPr>
      <w:rPr>
        <w:rFonts w:ascii="Courier New" w:hAnsi="Courier New" w:cs="Courier New" w:hint="default"/>
        <w:color w:val="auto"/>
        <w:sz w:val="16"/>
        <w:szCs w:val="1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162B00"/>
    <w:multiLevelType w:val="singleLevel"/>
    <w:tmpl w:val="FB26AA9E"/>
    <w:lvl w:ilvl="0">
      <w:numFmt w:val="decimal"/>
      <w:lvlText w:val=""/>
      <w:lvlJc w:val="left"/>
      <w:pPr>
        <w:ind w:left="0" w:firstLine="0"/>
      </w:pPr>
    </w:lvl>
  </w:abstractNum>
  <w:abstractNum w:abstractNumId="15"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6CBF2513"/>
    <w:multiLevelType w:val="hybridMultilevel"/>
    <w:tmpl w:val="7FD6D574"/>
    <w:lvl w:ilvl="0" w:tplc="5276129A">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14B24E5"/>
    <w:multiLevelType w:val="hybridMultilevel"/>
    <w:tmpl w:val="0E961384"/>
    <w:lvl w:ilvl="0" w:tplc="9C665CBE">
      <w:start w:val="1"/>
      <w:numFmt w:val="bullet"/>
      <w:lvlText w:val=""/>
      <w:lvlJc w:val="left"/>
      <w:pPr>
        <w:tabs>
          <w:tab w:val="num" w:pos="717"/>
        </w:tabs>
        <w:ind w:left="717" w:hanging="360"/>
      </w:pPr>
      <w:rPr>
        <w:rFonts w:ascii="Wingdings" w:hAnsi="Wingdings" w:hint="default"/>
        <w:color w:val="auto"/>
      </w:rPr>
    </w:lvl>
    <w:lvl w:ilvl="1" w:tplc="378C6DB8">
      <w:start w:val="1"/>
      <w:numFmt w:val="bullet"/>
      <w:lvlText w:val=""/>
      <w:lvlJc w:val="left"/>
      <w:pPr>
        <w:tabs>
          <w:tab w:val="num" w:pos="680"/>
        </w:tabs>
        <w:ind w:left="680" w:hanging="323"/>
      </w:pPr>
      <w:rPr>
        <w:rFonts w:ascii="Wingdings" w:hAnsi="Wingdings" w:hint="default"/>
        <w:color w:val="auto"/>
        <w:sz w:val="20"/>
        <w:szCs w:val="20"/>
      </w:rPr>
    </w:lvl>
    <w:lvl w:ilvl="2" w:tplc="04090005">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106F25"/>
    <w:multiLevelType w:val="hybridMultilevel"/>
    <w:tmpl w:val="FAF060E8"/>
    <w:lvl w:ilvl="0" w:tplc="0C090003">
      <w:start w:val="1"/>
      <w:numFmt w:val="bullet"/>
      <w:lvlText w:val="o"/>
      <w:lvlJc w:val="left"/>
      <w:pPr>
        <w:tabs>
          <w:tab w:val="num" w:pos="773"/>
        </w:tabs>
        <w:ind w:left="773" w:hanging="207"/>
      </w:pPr>
      <w:rPr>
        <w:rFonts w:ascii="Courier New" w:hAnsi="Courier New" w:hint="default"/>
        <w:color w:val="auto"/>
        <w:sz w:val="16"/>
        <w:szCs w:val="16"/>
      </w:rPr>
    </w:lvl>
    <w:lvl w:ilvl="1" w:tplc="78A84EFA"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num w:numId="1" w16cid:durableId="383140188">
    <w:abstractNumId w:val="14"/>
  </w:num>
  <w:num w:numId="2" w16cid:durableId="1487744217">
    <w:abstractNumId w:val="10"/>
  </w:num>
  <w:num w:numId="3" w16cid:durableId="723673062">
    <w:abstractNumId w:val="12"/>
  </w:num>
  <w:num w:numId="4" w16cid:durableId="932937205">
    <w:abstractNumId w:val="18"/>
  </w:num>
  <w:num w:numId="5" w16cid:durableId="273293592">
    <w:abstractNumId w:val="13"/>
  </w:num>
  <w:num w:numId="6" w16cid:durableId="2061399291">
    <w:abstractNumId w:val="14"/>
  </w:num>
  <w:num w:numId="7" w16cid:durableId="527061729">
    <w:abstractNumId w:val="14"/>
  </w:num>
  <w:num w:numId="8" w16cid:durableId="1135954578">
    <w:abstractNumId w:val="14"/>
  </w:num>
  <w:num w:numId="9" w16cid:durableId="281885523">
    <w:abstractNumId w:val="14"/>
  </w:num>
  <w:num w:numId="10" w16cid:durableId="1902475980">
    <w:abstractNumId w:val="14"/>
  </w:num>
  <w:num w:numId="11" w16cid:durableId="2118451296">
    <w:abstractNumId w:val="14"/>
  </w:num>
  <w:num w:numId="12" w16cid:durableId="1633100119">
    <w:abstractNumId w:val="14"/>
  </w:num>
  <w:num w:numId="13" w16cid:durableId="81219326">
    <w:abstractNumId w:val="15"/>
  </w:num>
  <w:num w:numId="14" w16cid:durableId="1672639381">
    <w:abstractNumId w:val="16"/>
  </w:num>
  <w:num w:numId="15" w16cid:durableId="990518636">
    <w:abstractNumId w:val="17"/>
  </w:num>
  <w:num w:numId="16" w16cid:durableId="1981184325">
    <w:abstractNumId w:val="11"/>
  </w:num>
  <w:num w:numId="17" w16cid:durableId="1817910121">
    <w:abstractNumId w:val="19"/>
  </w:num>
  <w:num w:numId="18" w16cid:durableId="205219206">
    <w:abstractNumId w:val="9"/>
  </w:num>
  <w:num w:numId="19" w16cid:durableId="505559403">
    <w:abstractNumId w:val="7"/>
  </w:num>
  <w:num w:numId="20" w16cid:durableId="1385956270">
    <w:abstractNumId w:val="6"/>
  </w:num>
  <w:num w:numId="21" w16cid:durableId="300038083">
    <w:abstractNumId w:val="5"/>
  </w:num>
  <w:num w:numId="22" w16cid:durableId="1714227751">
    <w:abstractNumId w:val="4"/>
  </w:num>
  <w:num w:numId="23" w16cid:durableId="857892491">
    <w:abstractNumId w:val="8"/>
  </w:num>
  <w:num w:numId="24" w16cid:durableId="222788769">
    <w:abstractNumId w:val="3"/>
  </w:num>
  <w:num w:numId="25" w16cid:durableId="1268923265">
    <w:abstractNumId w:val="2"/>
  </w:num>
  <w:num w:numId="26" w16cid:durableId="113519299">
    <w:abstractNumId w:val="1"/>
  </w:num>
  <w:num w:numId="27" w16cid:durableId="425343942">
    <w:abstractNumId w:val="0"/>
  </w:num>
  <w:num w:numId="28" w16cid:durableId="638147759">
    <w:abstractNumId w:val="9"/>
  </w:num>
  <w:num w:numId="29" w16cid:durableId="208034527">
    <w:abstractNumId w:val="7"/>
  </w:num>
  <w:num w:numId="30" w16cid:durableId="1994135355">
    <w:abstractNumId w:val="6"/>
  </w:num>
  <w:num w:numId="31" w16cid:durableId="1993018544">
    <w:abstractNumId w:val="5"/>
  </w:num>
  <w:num w:numId="32" w16cid:durableId="559245137">
    <w:abstractNumId w:val="4"/>
  </w:num>
  <w:num w:numId="33" w16cid:durableId="573929629">
    <w:abstractNumId w:val="8"/>
  </w:num>
  <w:num w:numId="34" w16cid:durableId="144589826">
    <w:abstractNumId w:val="3"/>
  </w:num>
  <w:num w:numId="35" w16cid:durableId="1138911038">
    <w:abstractNumId w:val="2"/>
  </w:num>
  <w:num w:numId="36" w16cid:durableId="2130733060">
    <w:abstractNumId w:val="1"/>
  </w:num>
  <w:num w:numId="37" w16cid:durableId="1816675772">
    <w:abstractNumId w:val="0"/>
  </w:num>
  <w:num w:numId="38" w16cid:durableId="1768575456">
    <w:abstractNumId w:val="9"/>
  </w:num>
  <w:num w:numId="39" w16cid:durableId="2061055974">
    <w:abstractNumId w:val="7"/>
  </w:num>
  <w:num w:numId="40" w16cid:durableId="1912157833">
    <w:abstractNumId w:val="6"/>
  </w:num>
  <w:num w:numId="41" w16cid:durableId="1174884168">
    <w:abstractNumId w:val="5"/>
  </w:num>
  <w:num w:numId="42" w16cid:durableId="1925020229">
    <w:abstractNumId w:val="4"/>
  </w:num>
  <w:num w:numId="43" w16cid:durableId="1686596479">
    <w:abstractNumId w:val="8"/>
  </w:num>
  <w:num w:numId="44" w16cid:durableId="784231437">
    <w:abstractNumId w:val="3"/>
  </w:num>
  <w:num w:numId="45" w16cid:durableId="1006786906">
    <w:abstractNumId w:val="2"/>
  </w:num>
  <w:num w:numId="46" w16cid:durableId="115951748">
    <w:abstractNumId w:val="1"/>
  </w:num>
  <w:num w:numId="47" w16cid:durableId="22488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0043A"/>
    <w:rsid w:val="00000613"/>
    <w:rsid w:val="00002FC1"/>
    <w:rsid w:val="00006B48"/>
    <w:rsid w:val="000118E2"/>
    <w:rsid w:val="000322F5"/>
    <w:rsid w:val="000627B1"/>
    <w:rsid w:val="00066CED"/>
    <w:rsid w:val="00067066"/>
    <w:rsid w:val="000815DB"/>
    <w:rsid w:val="000A0FC4"/>
    <w:rsid w:val="000C3691"/>
    <w:rsid w:val="000C77AD"/>
    <w:rsid w:val="000D28C9"/>
    <w:rsid w:val="000D2A5C"/>
    <w:rsid w:val="000E2090"/>
    <w:rsid w:val="000E4E17"/>
    <w:rsid w:val="000F5F6F"/>
    <w:rsid w:val="001113CC"/>
    <w:rsid w:val="001114E7"/>
    <w:rsid w:val="00112668"/>
    <w:rsid w:val="00121121"/>
    <w:rsid w:val="00130576"/>
    <w:rsid w:val="001324E7"/>
    <w:rsid w:val="001367B7"/>
    <w:rsid w:val="00146317"/>
    <w:rsid w:val="00146CC4"/>
    <w:rsid w:val="00146DAE"/>
    <w:rsid w:val="001575DF"/>
    <w:rsid w:val="001615F3"/>
    <w:rsid w:val="00163BE8"/>
    <w:rsid w:val="001779D5"/>
    <w:rsid w:val="00182E53"/>
    <w:rsid w:val="0018513D"/>
    <w:rsid w:val="0018731A"/>
    <w:rsid w:val="00194746"/>
    <w:rsid w:val="001A0233"/>
    <w:rsid w:val="001A3B21"/>
    <w:rsid w:val="001B7297"/>
    <w:rsid w:val="001C11A1"/>
    <w:rsid w:val="001C3A3C"/>
    <w:rsid w:val="001D1533"/>
    <w:rsid w:val="001D467C"/>
    <w:rsid w:val="001D4F14"/>
    <w:rsid w:val="00201159"/>
    <w:rsid w:val="00201CBC"/>
    <w:rsid w:val="00211A29"/>
    <w:rsid w:val="002156E4"/>
    <w:rsid w:val="00223CA1"/>
    <w:rsid w:val="00223E6D"/>
    <w:rsid w:val="00225247"/>
    <w:rsid w:val="00225711"/>
    <w:rsid w:val="002271A4"/>
    <w:rsid w:val="00253D57"/>
    <w:rsid w:val="00262EC9"/>
    <w:rsid w:val="00270277"/>
    <w:rsid w:val="00270AD9"/>
    <w:rsid w:val="0027149B"/>
    <w:rsid w:val="00275B39"/>
    <w:rsid w:val="00285BEF"/>
    <w:rsid w:val="002917E7"/>
    <w:rsid w:val="002A2526"/>
    <w:rsid w:val="002B0B2A"/>
    <w:rsid w:val="002B69F7"/>
    <w:rsid w:val="002C726A"/>
    <w:rsid w:val="002C7525"/>
    <w:rsid w:val="002D2E41"/>
    <w:rsid w:val="002D38F9"/>
    <w:rsid w:val="00307024"/>
    <w:rsid w:val="00313837"/>
    <w:rsid w:val="00316EFF"/>
    <w:rsid w:val="00320B43"/>
    <w:rsid w:val="00361B00"/>
    <w:rsid w:val="003645F4"/>
    <w:rsid w:val="00375B62"/>
    <w:rsid w:val="00376287"/>
    <w:rsid w:val="003921CF"/>
    <w:rsid w:val="00395C11"/>
    <w:rsid w:val="003B10BB"/>
    <w:rsid w:val="003B3E18"/>
    <w:rsid w:val="003B5BB5"/>
    <w:rsid w:val="003C0174"/>
    <w:rsid w:val="003C2E8B"/>
    <w:rsid w:val="003D5D8C"/>
    <w:rsid w:val="003D60C7"/>
    <w:rsid w:val="003F4C05"/>
    <w:rsid w:val="003F52FD"/>
    <w:rsid w:val="004142C0"/>
    <w:rsid w:val="00422371"/>
    <w:rsid w:val="004233A6"/>
    <w:rsid w:val="00434206"/>
    <w:rsid w:val="00434BD2"/>
    <w:rsid w:val="0043772C"/>
    <w:rsid w:val="00453C01"/>
    <w:rsid w:val="004565C7"/>
    <w:rsid w:val="00467264"/>
    <w:rsid w:val="004736E2"/>
    <w:rsid w:val="00473992"/>
    <w:rsid w:val="00476F03"/>
    <w:rsid w:val="0047751A"/>
    <w:rsid w:val="00485869"/>
    <w:rsid w:val="004C0407"/>
    <w:rsid w:val="004D2898"/>
    <w:rsid w:val="004E02EB"/>
    <w:rsid w:val="004E0D77"/>
    <w:rsid w:val="004E21FD"/>
    <w:rsid w:val="004E5B6C"/>
    <w:rsid w:val="004E7D79"/>
    <w:rsid w:val="005038D3"/>
    <w:rsid w:val="00512768"/>
    <w:rsid w:val="0051422F"/>
    <w:rsid w:val="00517083"/>
    <w:rsid w:val="00520FB9"/>
    <w:rsid w:val="00531F65"/>
    <w:rsid w:val="00544AB8"/>
    <w:rsid w:val="0055040A"/>
    <w:rsid w:val="00556A20"/>
    <w:rsid w:val="00561045"/>
    <w:rsid w:val="00565D08"/>
    <w:rsid w:val="00570C95"/>
    <w:rsid w:val="00571385"/>
    <w:rsid w:val="005907C3"/>
    <w:rsid w:val="00597F20"/>
    <w:rsid w:val="005A7BDB"/>
    <w:rsid w:val="005B4B65"/>
    <w:rsid w:val="005C1F1F"/>
    <w:rsid w:val="005D2F20"/>
    <w:rsid w:val="005D5F26"/>
    <w:rsid w:val="005E3B08"/>
    <w:rsid w:val="00607330"/>
    <w:rsid w:val="006103C3"/>
    <w:rsid w:val="00621A3A"/>
    <w:rsid w:val="0063251E"/>
    <w:rsid w:val="00637A69"/>
    <w:rsid w:val="00643FF1"/>
    <w:rsid w:val="006456A9"/>
    <w:rsid w:val="00646795"/>
    <w:rsid w:val="00647252"/>
    <w:rsid w:val="00672F4A"/>
    <w:rsid w:val="006865C4"/>
    <w:rsid w:val="00694556"/>
    <w:rsid w:val="006967F0"/>
    <w:rsid w:val="006D5015"/>
    <w:rsid w:val="006D760B"/>
    <w:rsid w:val="006D7E7E"/>
    <w:rsid w:val="006E157D"/>
    <w:rsid w:val="006F18A8"/>
    <w:rsid w:val="006F21F2"/>
    <w:rsid w:val="00713714"/>
    <w:rsid w:val="00722952"/>
    <w:rsid w:val="00723523"/>
    <w:rsid w:val="007266A9"/>
    <w:rsid w:val="0073431A"/>
    <w:rsid w:val="00743BC1"/>
    <w:rsid w:val="00745085"/>
    <w:rsid w:val="00760088"/>
    <w:rsid w:val="00775BD4"/>
    <w:rsid w:val="00787C66"/>
    <w:rsid w:val="007B0376"/>
    <w:rsid w:val="007C3AF9"/>
    <w:rsid w:val="007E18F1"/>
    <w:rsid w:val="007E317E"/>
    <w:rsid w:val="0080778B"/>
    <w:rsid w:val="00807ED8"/>
    <w:rsid w:val="00813432"/>
    <w:rsid w:val="0081359E"/>
    <w:rsid w:val="00821845"/>
    <w:rsid w:val="00822DBA"/>
    <w:rsid w:val="008239E8"/>
    <w:rsid w:val="00832D66"/>
    <w:rsid w:val="00833F1A"/>
    <w:rsid w:val="00836B7C"/>
    <w:rsid w:val="0083701A"/>
    <w:rsid w:val="008376F2"/>
    <w:rsid w:val="00837C2C"/>
    <w:rsid w:val="00843567"/>
    <w:rsid w:val="008457DD"/>
    <w:rsid w:val="00845DFD"/>
    <w:rsid w:val="008501C4"/>
    <w:rsid w:val="008501F3"/>
    <w:rsid w:val="00850223"/>
    <w:rsid w:val="008632F5"/>
    <w:rsid w:val="008653A4"/>
    <w:rsid w:val="00875111"/>
    <w:rsid w:val="00880481"/>
    <w:rsid w:val="0088360D"/>
    <w:rsid w:val="00891ED9"/>
    <w:rsid w:val="00892F0A"/>
    <w:rsid w:val="008B065C"/>
    <w:rsid w:val="008B35EB"/>
    <w:rsid w:val="008B4AD5"/>
    <w:rsid w:val="008B6652"/>
    <w:rsid w:val="008C55BB"/>
    <w:rsid w:val="008D0581"/>
    <w:rsid w:val="008D1C93"/>
    <w:rsid w:val="008D60E8"/>
    <w:rsid w:val="008E17EF"/>
    <w:rsid w:val="00906DF5"/>
    <w:rsid w:val="00911D61"/>
    <w:rsid w:val="009122B2"/>
    <w:rsid w:val="00913482"/>
    <w:rsid w:val="0091730E"/>
    <w:rsid w:val="009178D9"/>
    <w:rsid w:val="0092094C"/>
    <w:rsid w:val="0092583E"/>
    <w:rsid w:val="00931878"/>
    <w:rsid w:val="00952A6D"/>
    <w:rsid w:val="0095381C"/>
    <w:rsid w:val="009611DA"/>
    <w:rsid w:val="00965EB1"/>
    <w:rsid w:val="009712FA"/>
    <w:rsid w:val="009764CF"/>
    <w:rsid w:val="00983DB2"/>
    <w:rsid w:val="0098452E"/>
    <w:rsid w:val="009861BD"/>
    <w:rsid w:val="00991E09"/>
    <w:rsid w:val="009979EB"/>
    <w:rsid w:val="009A2120"/>
    <w:rsid w:val="009C0440"/>
    <w:rsid w:val="009C10CD"/>
    <w:rsid w:val="009C7AE5"/>
    <w:rsid w:val="009D466C"/>
    <w:rsid w:val="009D6C33"/>
    <w:rsid w:val="009F5560"/>
    <w:rsid w:val="00A009F3"/>
    <w:rsid w:val="00A020F2"/>
    <w:rsid w:val="00A141C4"/>
    <w:rsid w:val="00A16A6B"/>
    <w:rsid w:val="00A274B3"/>
    <w:rsid w:val="00A32C0A"/>
    <w:rsid w:val="00A33A6A"/>
    <w:rsid w:val="00A44EC6"/>
    <w:rsid w:val="00A4579C"/>
    <w:rsid w:val="00A5205A"/>
    <w:rsid w:val="00A53492"/>
    <w:rsid w:val="00A557A9"/>
    <w:rsid w:val="00A570B9"/>
    <w:rsid w:val="00A577F4"/>
    <w:rsid w:val="00A64E45"/>
    <w:rsid w:val="00A74ABD"/>
    <w:rsid w:val="00A75CE9"/>
    <w:rsid w:val="00A82035"/>
    <w:rsid w:val="00A82275"/>
    <w:rsid w:val="00A84441"/>
    <w:rsid w:val="00A85111"/>
    <w:rsid w:val="00A934F1"/>
    <w:rsid w:val="00A97CF8"/>
    <w:rsid w:val="00AA34EF"/>
    <w:rsid w:val="00AB45CC"/>
    <w:rsid w:val="00AC5809"/>
    <w:rsid w:val="00AD67FE"/>
    <w:rsid w:val="00AE4305"/>
    <w:rsid w:val="00AE4C3B"/>
    <w:rsid w:val="00AE6AEA"/>
    <w:rsid w:val="00AE6BDF"/>
    <w:rsid w:val="00AE7BCE"/>
    <w:rsid w:val="00B00B83"/>
    <w:rsid w:val="00B12402"/>
    <w:rsid w:val="00B179CC"/>
    <w:rsid w:val="00B23622"/>
    <w:rsid w:val="00B2507C"/>
    <w:rsid w:val="00B329C8"/>
    <w:rsid w:val="00B35AF0"/>
    <w:rsid w:val="00B4136E"/>
    <w:rsid w:val="00B42E7A"/>
    <w:rsid w:val="00B43760"/>
    <w:rsid w:val="00B55A28"/>
    <w:rsid w:val="00B56932"/>
    <w:rsid w:val="00B62299"/>
    <w:rsid w:val="00B635DD"/>
    <w:rsid w:val="00B762BB"/>
    <w:rsid w:val="00B82621"/>
    <w:rsid w:val="00B873CC"/>
    <w:rsid w:val="00B92C24"/>
    <w:rsid w:val="00B95FA1"/>
    <w:rsid w:val="00B9638A"/>
    <w:rsid w:val="00BA0B1C"/>
    <w:rsid w:val="00BA14DA"/>
    <w:rsid w:val="00BA1784"/>
    <w:rsid w:val="00BB0BC2"/>
    <w:rsid w:val="00BB6A8D"/>
    <w:rsid w:val="00BC1DB2"/>
    <w:rsid w:val="00BC29F2"/>
    <w:rsid w:val="00BC2C4F"/>
    <w:rsid w:val="00BC66B4"/>
    <w:rsid w:val="00BD3073"/>
    <w:rsid w:val="00BF1E03"/>
    <w:rsid w:val="00C07C16"/>
    <w:rsid w:val="00C11B7D"/>
    <w:rsid w:val="00C1676A"/>
    <w:rsid w:val="00C23910"/>
    <w:rsid w:val="00C26F44"/>
    <w:rsid w:val="00C30197"/>
    <w:rsid w:val="00C33853"/>
    <w:rsid w:val="00C5096E"/>
    <w:rsid w:val="00C538B2"/>
    <w:rsid w:val="00C540AE"/>
    <w:rsid w:val="00C55932"/>
    <w:rsid w:val="00C64851"/>
    <w:rsid w:val="00C6751B"/>
    <w:rsid w:val="00C830DF"/>
    <w:rsid w:val="00C83C27"/>
    <w:rsid w:val="00C9072F"/>
    <w:rsid w:val="00C90A5C"/>
    <w:rsid w:val="00CA0BB2"/>
    <w:rsid w:val="00CA10CD"/>
    <w:rsid w:val="00CA12E0"/>
    <w:rsid w:val="00CB1362"/>
    <w:rsid w:val="00CB40EC"/>
    <w:rsid w:val="00CB46A8"/>
    <w:rsid w:val="00CB6873"/>
    <w:rsid w:val="00CC4F23"/>
    <w:rsid w:val="00CD4EC8"/>
    <w:rsid w:val="00CE2104"/>
    <w:rsid w:val="00CF2B72"/>
    <w:rsid w:val="00D15733"/>
    <w:rsid w:val="00D1663F"/>
    <w:rsid w:val="00D20CF4"/>
    <w:rsid w:val="00D2381D"/>
    <w:rsid w:val="00D333C0"/>
    <w:rsid w:val="00D47934"/>
    <w:rsid w:val="00D53D90"/>
    <w:rsid w:val="00D72F0C"/>
    <w:rsid w:val="00D75D81"/>
    <w:rsid w:val="00DA35C5"/>
    <w:rsid w:val="00DA713B"/>
    <w:rsid w:val="00DB2762"/>
    <w:rsid w:val="00DC0357"/>
    <w:rsid w:val="00DC04C7"/>
    <w:rsid w:val="00DC29CA"/>
    <w:rsid w:val="00DD38C8"/>
    <w:rsid w:val="00DE5379"/>
    <w:rsid w:val="00DE58E7"/>
    <w:rsid w:val="00DF24D5"/>
    <w:rsid w:val="00E003B1"/>
    <w:rsid w:val="00E02863"/>
    <w:rsid w:val="00E051F0"/>
    <w:rsid w:val="00E13589"/>
    <w:rsid w:val="00E1392B"/>
    <w:rsid w:val="00E15F57"/>
    <w:rsid w:val="00E2078B"/>
    <w:rsid w:val="00E20E8B"/>
    <w:rsid w:val="00E221C0"/>
    <w:rsid w:val="00E235F8"/>
    <w:rsid w:val="00E35001"/>
    <w:rsid w:val="00E40F5A"/>
    <w:rsid w:val="00E44935"/>
    <w:rsid w:val="00E459BE"/>
    <w:rsid w:val="00E472CE"/>
    <w:rsid w:val="00E54BD6"/>
    <w:rsid w:val="00E5503A"/>
    <w:rsid w:val="00E63BFC"/>
    <w:rsid w:val="00E63C3E"/>
    <w:rsid w:val="00E64A5D"/>
    <w:rsid w:val="00E716D8"/>
    <w:rsid w:val="00E8324F"/>
    <w:rsid w:val="00E840C6"/>
    <w:rsid w:val="00E8513A"/>
    <w:rsid w:val="00E9385C"/>
    <w:rsid w:val="00EA4438"/>
    <w:rsid w:val="00EB175C"/>
    <w:rsid w:val="00EB245B"/>
    <w:rsid w:val="00EB42AB"/>
    <w:rsid w:val="00EC0D18"/>
    <w:rsid w:val="00EC1546"/>
    <w:rsid w:val="00EC717D"/>
    <w:rsid w:val="00EC79D2"/>
    <w:rsid w:val="00ED4901"/>
    <w:rsid w:val="00EE0759"/>
    <w:rsid w:val="00EE1DC8"/>
    <w:rsid w:val="00EF3BE7"/>
    <w:rsid w:val="00EF6F1E"/>
    <w:rsid w:val="00F10D3F"/>
    <w:rsid w:val="00F261F4"/>
    <w:rsid w:val="00F41E82"/>
    <w:rsid w:val="00F53E66"/>
    <w:rsid w:val="00F57437"/>
    <w:rsid w:val="00F62B72"/>
    <w:rsid w:val="00F7711A"/>
    <w:rsid w:val="00F878E9"/>
    <w:rsid w:val="00F9691C"/>
    <w:rsid w:val="00FA00A3"/>
    <w:rsid w:val="00FA18B8"/>
    <w:rsid w:val="00FA35B2"/>
    <w:rsid w:val="00FA706E"/>
    <w:rsid w:val="00FA70B9"/>
    <w:rsid w:val="00FA7512"/>
    <w:rsid w:val="00FB24E1"/>
    <w:rsid w:val="00FB269F"/>
    <w:rsid w:val="00FB3719"/>
    <w:rsid w:val="00FB6244"/>
    <w:rsid w:val="00FC25F0"/>
    <w:rsid w:val="00FE329C"/>
    <w:rsid w:val="00FF53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60F0"/>
  <w15:docId w15:val="{2FAF1693-4329-4575-AC3F-FD0AAFC1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1BD"/>
    <w:rPr>
      <w:rFonts w:ascii="Calibri" w:hAnsi="Calibri"/>
      <w:kern w:val="2"/>
      <w:lang w:eastAsia="ja-JP"/>
      <w14:ligatures w14:val="standardContextual"/>
    </w:rPr>
  </w:style>
  <w:style w:type="paragraph" w:styleId="Heading2">
    <w:name w:val="heading 2"/>
    <w:basedOn w:val="Normal"/>
    <w:next w:val="Normal"/>
    <w:link w:val="Heading2Char"/>
    <w:uiPriority w:val="9"/>
    <w:semiHidden/>
    <w:unhideWhenUsed/>
    <w:qFormat/>
    <w:rsid w:val="003B3E18"/>
    <w:pPr>
      <w:keepNext/>
      <w:keepLines/>
      <w:spacing w:before="200"/>
      <w:outlineLvl w:val="1"/>
    </w:pPr>
    <w:rPr>
      <w:rFonts w:asciiTheme="majorHAnsi" w:eastAsiaTheme="majorEastAsia" w:hAnsiTheme="majorHAnsi" w:cstheme="majorBidi"/>
      <w:b/>
      <w:bCs/>
      <w:color w:val="580F8B" w:themeColor="accent1"/>
      <w:sz w:val="26"/>
      <w:szCs w:val="26"/>
    </w:rPr>
  </w:style>
  <w:style w:type="paragraph" w:styleId="Heading3">
    <w:name w:val="heading 3"/>
    <w:basedOn w:val="Normal"/>
    <w:next w:val="Normal"/>
    <w:link w:val="Heading3Char"/>
    <w:uiPriority w:val="9"/>
    <w:unhideWhenUsed/>
    <w:qFormat/>
    <w:rsid w:val="00E459BE"/>
    <w:pPr>
      <w:spacing w:before="240" w:after="60" w:line="264" w:lineRule="auto"/>
      <w:outlineLvl w:val="2"/>
    </w:pPr>
    <w:rPr>
      <w:b/>
      <w:bCs/>
      <w:color w:val="595959" w:themeColor="text1" w:themeTint="A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nhideWhenUsed/>
    <w:rsid w:val="00E35001"/>
    <w:pPr>
      <w:tabs>
        <w:tab w:val="center" w:pos="4513"/>
        <w:tab w:val="right" w:pos="9026"/>
      </w:tabs>
    </w:pPr>
  </w:style>
  <w:style w:type="character" w:customStyle="1" w:styleId="HeaderChar">
    <w:name w:val="Header Char"/>
    <w:basedOn w:val="DefaultParagraphFont"/>
    <w:link w:val="Header"/>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880481"/>
    <w:pPr>
      <w:ind w:left="720"/>
      <w:contextualSpacing/>
    </w:pPr>
    <w:rPr>
      <w:rFonts w:asciiTheme="minorHAnsi" w:hAnsiTheme="minorHAnsi" w:cs="Times New Roman"/>
      <w:kern w:val="0"/>
      <w:lang w:eastAsia="zh-CN"/>
      <w14:ligatures w14:val="none"/>
    </w:rPr>
  </w:style>
  <w:style w:type="character" w:customStyle="1" w:styleId="Heading3Char">
    <w:name w:val="Heading 3 Char"/>
    <w:basedOn w:val="DefaultParagraphFont"/>
    <w:link w:val="Heading3"/>
    <w:uiPriority w:val="9"/>
    <w:rsid w:val="00E459BE"/>
    <w:rPr>
      <w:rFonts w:ascii="Calibri" w:hAnsi="Calibri"/>
      <w:b/>
      <w:bCs/>
      <w:color w:val="595959" w:themeColor="text1" w:themeTint="A6"/>
      <w:sz w:val="26"/>
      <w:szCs w:val="26"/>
      <w:lang w:eastAsia="en-US"/>
    </w:rPr>
  </w:style>
  <w:style w:type="table" w:styleId="TableGrid">
    <w:name w:val="Table Grid"/>
    <w:basedOn w:val="TableNormal"/>
    <w:uiPriority w:val="59"/>
    <w:rsid w:val="00E459BE"/>
    <w:pPr>
      <w:spacing w:after="0" w:line="240" w:lineRule="auto"/>
    </w:pPr>
    <w:rPr>
      <w:rFonts w:ascii="Arial" w:eastAsia="Times New Roman" w:hAnsi="Arial" w:cs="Arial"/>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
    <w:name w:val="List Item"/>
    <w:basedOn w:val="Normal"/>
    <w:link w:val="ListItemChar"/>
    <w:qFormat/>
    <w:rsid w:val="009861BD"/>
    <w:pPr>
      <w:numPr>
        <w:numId w:val="14"/>
      </w:numPr>
      <w:spacing w:before="120"/>
    </w:pPr>
    <w:rPr>
      <w:rFonts w:eastAsiaTheme="minorHAnsi" w:cs="Calibri"/>
      <w:iCs/>
    </w:rPr>
  </w:style>
  <w:style w:type="character" w:customStyle="1" w:styleId="ListItemChar">
    <w:name w:val="List Item Char"/>
    <w:basedOn w:val="DefaultParagraphFont"/>
    <w:link w:val="ListItem"/>
    <w:rsid w:val="00E459BE"/>
    <w:rPr>
      <w:rFonts w:ascii="Calibri" w:eastAsiaTheme="minorHAnsi" w:hAnsi="Calibri" w:cs="Calibri"/>
      <w:iCs/>
      <w:lang w:eastAsia="en-AU"/>
    </w:rPr>
  </w:style>
  <w:style w:type="table" w:styleId="LightList-Accent4">
    <w:name w:val="Light List Accent 4"/>
    <w:aliases w:val="Syllabus tables"/>
    <w:basedOn w:val="TableNormal"/>
    <w:uiPriority w:val="61"/>
    <w:rsid w:val="00647252"/>
    <w:pPr>
      <w:spacing w:after="0" w:line="240" w:lineRule="auto"/>
    </w:pPr>
    <w:rPr>
      <w:rFonts w:ascii="Arial" w:hAnsi="Arial"/>
      <w:sz w:val="18"/>
      <w:lang w:eastAsia="en-US"/>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Autospacing="0" w:afterLines="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Autospacing="0" w:afterLines="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Autospacing="0" w:afterLines="0" w:afterAutospacing="0" w:line="240" w:lineRule="auto"/>
        <w:jc w:val="center"/>
      </w:pPr>
      <w:rPr>
        <w:rFonts w:ascii="Arial" w:hAnsi="Arial"/>
        <w:b/>
        <w:bCs/>
        <w:sz w:val="18"/>
      </w:rPr>
      <w:tblPr/>
      <w:tcPr>
        <w:vAlign w:val="center"/>
      </w:tcPr>
    </w:tblStylePr>
    <w:tblStylePr w:type="lastCol">
      <w:pPr>
        <w:wordWrap/>
        <w:spacing w:beforeLines="0" w:beforeAutospacing="0" w:afterLines="0" w:afterAutospacing="0" w:line="240" w:lineRule="auto"/>
        <w:jc w:val="center"/>
      </w:pPr>
      <w:rPr>
        <w:rFonts w:ascii="Arial" w:hAnsi="Arial"/>
        <w:b/>
        <w:bCs/>
        <w:sz w:val="20"/>
      </w:rPr>
      <w:tblPr/>
      <w:tcPr>
        <w:vAlign w:val="center"/>
      </w:tcPr>
    </w:tblStylePr>
    <w:tblStylePr w:type="band1Vert">
      <w:pPr>
        <w:wordWrap/>
        <w:spacing w:beforeLines="0" w:beforeAutospacing="0" w:afterLines="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Autospacing="0" w:afterLines="0" w:afterAutospacing="0" w:line="240" w:lineRule="auto"/>
        <w:jc w:val="left"/>
      </w:pPr>
    </w:tblStylePr>
    <w:tblStylePr w:type="band1Horz">
      <w:pPr>
        <w:wordWrap/>
        <w:spacing w:beforeLines="0" w:beforeAutospacing="0" w:afterLines="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Autospacing="0" w:afterLines="0" w:afterAutospacing="0" w:line="240" w:lineRule="auto"/>
        <w:jc w:val="left"/>
      </w:pPr>
    </w:tblStylePr>
  </w:style>
  <w:style w:type="character" w:customStyle="1" w:styleId="Heading2Char">
    <w:name w:val="Heading 2 Char"/>
    <w:basedOn w:val="DefaultParagraphFont"/>
    <w:link w:val="Heading2"/>
    <w:uiPriority w:val="9"/>
    <w:semiHidden/>
    <w:rsid w:val="003B3E18"/>
    <w:rPr>
      <w:rFonts w:asciiTheme="majorHAnsi" w:eastAsiaTheme="majorEastAsia" w:hAnsiTheme="majorHAnsi" w:cstheme="majorBidi"/>
      <w:b/>
      <w:bCs/>
      <w:color w:val="580F8B" w:themeColor="accent1"/>
      <w:sz w:val="26"/>
      <w:szCs w:val="26"/>
      <w:lang w:val="it-IT" w:eastAsia="en-AU"/>
    </w:rPr>
  </w:style>
  <w:style w:type="character" w:styleId="CommentReference">
    <w:name w:val="annotation reference"/>
    <w:basedOn w:val="DefaultParagraphFont"/>
    <w:uiPriority w:val="99"/>
    <w:semiHidden/>
    <w:unhideWhenUsed/>
    <w:rsid w:val="001D4F14"/>
    <w:rPr>
      <w:sz w:val="16"/>
      <w:szCs w:val="16"/>
    </w:rPr>
  </w:style>
  <w:style w:type="paragraph" w:styleId="CommentText">
    <w:name w:val="annotation text"/>
    <w:basedOn w:val="Normal"/>
    <w:link w:val="CommentTextChar"/>
    <w:uiPriority w:val="99"/>
    <w:unhideWhenUsed/>
    <w:rsid w:val="001D4F14"/>
    <w:rPr>
      <w:sz w:val="20"/>
      <w:szCs w:val="20"/>
    </w:rPr>
  </w:style>
  <w:style w:type="character" w:customStyle="1" w:styleId="CommentTextChar">
    <w:name w:val="Comment Text Char"/>
    <w:basedOn w:val="DefaultParagraphFont"/>
    <w:link w:val="CommentText"/>
    <w:uiPriority w:val="99"/>
    <w:rsid w:val="001D4F14"/>
    <w:rPr>
      <w:rFonts w:ascii="Arial" w:eastAsia="Times New Roman" w:hAnsi="Arial" w:cs="Times New Roman"/>
      <w:sz w:val="20"/>
      <w:szCs w:val="20"/>
      <w:lang w:val="it-IT" w:eastAsia="en-AU"/>
    </w:rPr>
  </w:style>
  <w:style w:type="paragraph" w:styleId="CommentSubject">
    <w:name w:val="annotation subject"/>
    <w:basedOn w:val="CommentText"/>
    <w:next w:val="CommentText"/>
    <w:link w:val="CommentSubjectChar"/>
    <w:uiPriority w:val="99"/>
    <w:semiHidden/>
    <w:unhideWhenUsed/>
    <w:rsid w:val="001D4F14"/>
    <w:rPr>
      <w:b/>
      <w:bCs/>
    </w:rPr>
  </w:style>
  <w:style w:type="character" w:customStyle="1" w:styleId="CommentSubjectChar">
    <w:name w:val="Comment Subject Char"/>
    <w:basedOn w:val="CommentTextChar"/>
    <w:link w:val="CommentSubject"/>
    <w:uiPriority w:val="99"/>
    <w:semiHidden/>
    <w:rsid w:val="001D4F14"/>
    <w:rPr>
      <w:rFonts w:ascii="Arial" w:eastAsia="Times New Roman" w:hAnsi="Arial" w:cs="Times New Roman"/>
      <w:b/>
      <w:bCs/>
      <w:sz w:val="20"/>
      <w:szCs w:val="20"/>
      <w:lang w:val="it-IT" w:eastAsia="en-AU"/>
    </w:rPr>
  </w:style>
  <w:style w:type="paragraph" w:styleId="Revision">
    <w:name w:val="Revision"/>
    <w:hidden/>
    <w:uiPriority w:val="99"/>
    <w:semiHidden/>
    <w:rsid w:val="00320B43"/>
    <w:pPr>
      <w:spacing w:after="0" w:line="240" w:lineRule="auto"/>
    </w:pPr>
    <w:rPr>
      <w:rFonts w:ascii="Arial" w:eastAsia="Times New Roman" w:hAnsi="Arial" w:cs="Times New Roman"/>
      <w:lang w:eastAsia="en-AU"/>
    </w:rPr>
  </w:style>
  <w:style w:type="character" w:styleId="Hyperlink">
    <w:name w:val="Hyperlink"/>
    <w:basedOn w:val="DefaultParagraphFont"/>
    <w:uiPriority w:val="99"/>
    <w:unhideWhenUsed/>
    <w:rsid w:val="00880481"/>
    <w:rPr>
      <w:color w:val="580F8B" w:themeColor="hyperlink"/>
      <w:u w:val="single"/>
    </w:rPr>
  </w:style>
  <w:style w:type="character" w:styleId="FollowedHyperlink">
    <w:name w:val="FollowedHyperlink"/>
    <w:basedOn w:val="DefaultParagraphFont"/>
    <w:uiPriority w:val="99"/>
    <w:unhideWhenUsed/>
    <w:rsid w:val="00880481"/>
    <w:rPr>
      <w:color w:val="646464"/>
      <w:u w:val="single"/>
    </w:rPr>
  </w:style>
  <w:style w:type="paragraph" w:customStyle="1" w:styleId="SCSAFooterodd">
    <w:name w:val="SCSA Footer odd"/>
    <w:basedOn w:val="Normal"/>
    <w:qFormat/>
    <w:rsid w:val="00880481"/>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880481"/>
    <w:pPr>
      <w:jc w:val="left"/>
    </w:pPr>
  </w:style>
  <w:style w:type="table" w:customStyle="1" w:styleId="SCSATable">
    <w:name w:val="SCSA Table"/>
    <w:basedOn w:val="TableNormal"/>
    <w:uiPriority w:val="99"/>
    <w:rsid w:val="00880481"/>
    <w:pPr>
      <w:spacing w:after="0"/>
    </w:pPr>
    <w:rPr>
      <w:sz w:val="20"/>
      <w:szCs w:val="20"/>
      <w:lang w:eastAsia="en-US"/>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Y11-12Heading1">
    <w:name w:val="SCSA Y11-12 Heading 1"/>
    <w:basedOn w:val="Normal"/>
    <w:qFormat/>
    <w:rsid w:val="00880481"/>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880481"/>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880481"/>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880481"/>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880481"/>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Headeroddlandscape">
    <w:name w:val="SCSA Header odd landscape"/>
    <w:basedOn w:val="Normal"/>
    <w:qFormat/>
    <w:rsid w:val="00880481"/>
    <w:pPr>
      <w:pBdr>
        <w:bottom w:val="single" w:sz="4" w:space="1" w:color="580F8B" w:themeColor="accent1"/>
      </w:pBdr>
      <w:spacing w:after="0" w:line="240" w:lineRule="auto"/>
      <w:ind w:left="14175" w:right="-1276"/>
    </w:pPr>
    <w:rPr>
      <w:b/>
      <w:bCs/>
      <w:color w:val="580F8B" w:themeColor="accent1"/>
      <w:kern w:val="0"/>
      <w:sz w:val="36"/>
      <w:szCs w:val="36"/>
      <w:lang w:eastAsia="en-AU"/>
    </w:rPr>
  </w:style>
  <w:style w:type="paragraph" w:customStyle="1" w:styleId="SCSAHeaderevenlandscape">
    <w:name w:val="SCSA Header even landscape"/>
    <w:basedOn w:val="SCSAHeaderoddlandscape"/>
    <w:qFormat/>
    <w:rsid w:val="00880481"/>
    <w:pPr>
      <w:ind w:left="-1276" w:right="1417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2bbc7241-38be-4040-b2eb-9063929b4fee" xsi:nil="true"/>
    <NotebookType xmlns="2bbc7241-38be-4040-b2eb-9063929b4fee" xsi:nil="true"/>
    <Student_Groups xmlns="2bbc7241-38be-4040-b2eb-9063929b4fee">
      <UserInfo>
        <DisplayName/>
        <AccountId xsi:nil="true"/>
        <AccountType/>
      </UserInfo>
    </Student_Groups>
    <Math_Settings xmlns="2bbc7241-38be-4040-b2eb-9063929b4fee" xsi:nil="true"/>
    <Owner xmlns="2bbc7241-38be-4040-b2eb-9063929b4fee">
      <UserInfo>
        <DisplayName/>
        <AccountId xsi:nil="true"/>
        <AccountType/>
      </UserInfo>
    </Owner>
    <Invited_Students xmlns="2bbc7241-38be-4040-b2eb-9063929b4fee" xsi:nil="true"/>
    <Is_Collaboration_Space_Locked xmlns="2bbc7241-38be-4040-b2eb-9063929b4fee" xsi:nil="true"/>
    <Has_Teacher_Only_SectionGroup xmlns="2bbc7241-38be-4040-b2eb-9063929b4fee" xsi:nil="true"/>
    <FolderType xmlns="2bbc7241-38be-4040-b2eb-9063929b4fee" xsi:nil="true"/>
    <Students xmlns="2bbc7241-38be-4040-b2eb-9063929b4fee">
      <UserInfo>
        <DisplayName/>
        <AccountId xsi:nil="true"/>
        <AccountType/>
      </UserInfo>
    </Students>
    <TeamsChannelId xmlns="2bbc7241-38be-4040-b2eb-9063929b4fee" xsi:nil="true"/>
    <Invited_Teachers xmlns="2bbc7241-38be-4040-b2eb-9063929b4fee" xsi:nil="true"/>
    <IsNotebookLocked xmlns="2bbc7241-38be-4040-b2eb-9063929b4fee" xsi:nil="true"/>
    <Teams_Channel_Section_Location xmlns="2bbc7241-38be-4040-b2eb-9063929b4fee" xsi:nil="true"/>
    <Templates xmlns="2bbc7241-38be-4040-b2eb-9063929b4fee" xsi:nil="true"/>
    <Teachers xmlns="2bbc7241-38be-4040-b2eb-9063929b4fee">
      <UserInfo>
        <DisplayName/>
        <AccountId xsi:nil="true"/>
        <AccountType/>
      </UserInfo>
    </Teachers>
    <AppVersion xmlns="2bbc7241-38be-4040-b2eb-9063929b4fee" xsi:nil="true"/>
    <LMS_Mappings xmlns="2bbc7241-38be-4040-b2eb-9063929b4fee" xsi:nil="true"/>
    <Self_Registration_Enabled xmlns="2bbc7241-38be-4040-b2eb-9063929b4fee" xsi:nil="true"/>
    <CultureName xmlns="2bbc7241-38be-4040-b2eb-9063929b4fee" xsi:nil="true"/>
    <Distribution_Groups xmlns="2bbc7241-38be-4040-b2eb-9063929b4fe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DD9DCADD38DC4E9B89777BC7A252FB" ma:contentTypeVersion="35" ma:contentTypeDescription="Create a new document." ma:contentTypeScope="" ma:versionID="45095eef8cffe74c90cdc2e9964ce883">
  <xsd:schema xmlns:xsd="http://www.w3.org/2001/XMLSchema" xmlns:xs="http://www.w3.org/2001/XMLSchema" xmlns:p="http://schemas.microsoft.com/office/2006/metadata/properties" xmlns:ns3="2bbc7241-38be-4040-b2eb-9063929b4fee" xmlns:ns4="52553691-3fd0-42e6-8112-dad428a9047d" targetNamespace="http://schemas.microsoft.com/office/2006/metadata/properties" ma:root="true" ma:fieldsID="0b2e6c6085c9b40b92103cc5ba54b905" ns3:_="" ns4:_="">
    <xsd:import namespace="2bbc7241-38be-4040-b2eb-9063929b4fee"/>
    <xsd:import namespace="52553691-3fd0-42e6-8112-dad428a904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c7241-38be-4040-b2eb-9063929b4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Teams_Channel_Section_Location" ma:index="38"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553691-3fd0-42e6-8112-dad428a9047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SharingHintHash" ma:index="4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112E2-67C2-4E24-9242-705BF417131C}">
  <ds:schemaRefs>
    <ds:schemaRef ds:uri="http://schemas.microsoft.com/office/2006/metadata/properties"/>
    <ds:schemaRef ds:uri="http://schemas.microsoft.com/office/infopath/2007/PartnerControls"/>
    <ds:schemaRef ds:uri="2bbc7241-38be-4040-b2eb-9063929b4fee"/>
  </ds:schemaRefs>
</ds:datastoreItem>
</file>

<file path=customXml/itemProps2.xml><?xml version="1.0" encoding="utf-8"?>
<ds:datastoreItem xmlns:ds="http://schemas.openxmlformats.org/officeDocument/2006/customXml" ds:itemID="{F485E85C-7B24-4B6B-8A3E-B98194C9594D}">
  <ds:schemaRefs>
    <ds:schemaRef ds:uri="http://schemas.openxmlformats.org/officeDocument/2006/bibliography"/>
  </ds:schemaRefs>
</ds:datastoreItem>
</file>

<file path=customXml/itemProps3.xml><?xml version="1.0" encoding="utf-8"?>
<ds:datastoreItem xmlns:ds="http://schemas.openxmlformats.org/officeDocument/2006/customXml" ds:itemID="{9E8859BF-D084-4E0B-B52E-5CE4D5F909C3}">
  <ds:schemaRefs>
    <ds:schemaRef ds:uri="http://schemas.microsoft.com/sharepoint/v3/contenttype/forms"/>
  </ds:schemaRefs>
</ds:datastoreItem>
</file>

<file path=customXml/itemProps4.xml><?xml version="1.0" encoding="utf-8"?>
<ds:datastoreItem xmlns:ds="http://schemas.openxmlformats.org/officeDocument/2006/customXml" ds:itemID="{9CAAAEBD-7C17-479F-8CD5-1AD313DB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c7241-38be-4040-b2eb-9063929b4fee"/>
    <ds:schemaRef ds:uri="52553691-3fd0-42e6-8112-dad428a90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4048</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2026-01-20T07:58:00Z</cp:lastPrinted>
  <dcterms:created xsi:type="dcterms:W3CDTF">2026-01-20T07:58:00Z</dcterms:created>
  <dcterms:modified xsi:type="dcterms:W3CDTF">2026-01-20T07:58:00Z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0x0101000CDD9DCADD38DC4E9B89777BC7A252FB</vt:lpwstr>
  </property>
</Properties>
</file>