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A4FA" w14:textId="77777777" w:rsidR="00813951" w:rsidRPr="00813951" w:rsidRDefault="00813951" w:rsidP="00813951">
      <w:pPr>
        <w:keepNext/>
        <w:spacing w:before="3500" w:after="200"/>
        <w:jc w:val="center"/>
        <w:outlineLvl w:val="0"/>
        <w:rPr>
          <w:rFonts w:ascii="Franklin Gothic Book" w:hAnsi="Franklin Gothic Book"/>
          <w:b/>
          <w:smallCaps/>
          <w:color w:val="9688BE"/>
          <w:sz w:val="36"/>
          <w:szCs w:val="36"/>
          <w:lang w:eastAsia="x-none"/>
        </w:rPr>
      </w:pPr>
      <w:r w:rsidRPr="00813951">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03F56B07" wp14:editId="79179B0B">
            <wp:simplePos x="0" y="0"/>
            <wp:positionH relativeFrom="column">
              <wp:posOffset>-6105525</wp:posOffset>
            </wp:positionH>
            <wp:positionV relativeFrom="paragraph">
              <wp:posOffset>524510</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13951">
        <w:rPr>
          <w:rFonts w:ascii="Franklin Gothic Book" w:hAnsi="Franklin Gothic Book"/>
          <w:b/>
          <w:smallCaps/>
          <w:color w:val="9688BE"/>
          <w:sz w:val="36"/>
          <w:szCs w:val="36"/>
          <w:lang w:eastAsia="x-none"/>
        </w:rPr>
        <w:t>Sample Course Outline</w:t>
      </w:r>
    </w:p>
    <w:p w14:paraId="51B1EE40" w14:textId="77777777" w:rsidR="00813951" w:rsidRPr="00813951" w:rsidRDefault="00813951" w:rsidP="0081395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Aboriginal and Intercultural Studies</w:t>
      </w:r>
    </w:p>
    <w:p w14:paraId="320DE884" w14:textId="240D049F" w:rsidR="00813951" w:rsidRPr="00813951" w:rsidRDefault="00813951" w:rsidP="0081395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Pr="00813951">
        <w:rPr>
          <w:rFonts w:ascii="Franklin Gothic Medium" w:hAnsi="Franklin Gothic Medium"/>
          <w:smallCaps/>
          <w:color w:val="5F497A"/>
          <w:sz w:val="28"/>
          <w:szCs w:val="28"/>
          <w:lang w:eastAsia="x-none"/>
        </w:rPr>
        <w:t xml:space="preserve"> Year 11</w:t>
      </w:r>
      <w:bookmarkStart w:id="0" w:name="_GoBack"/>
      <w:bookmarkEnd w:id="0"/>
    </w:p>
    <w:p w14:paraId="5A9DCC92" w14:textId="77777777" w:rsidR="008802DD" w:rsidRDefault="008802DD">
      <w:pPr>
        <w:spacing w:after="200"/>
      </w:pPr>
      <w:r>
        <w:br w:type="page"/>
      </w:r>
    </w:p>
    <w:p w14:paraId="72BDD4DA" w14:textId="77777777" w:rsidR="008802DD" w:rsidRPr="00C43495" w:rsidRDefault="008802DD" w:rsidP="00C43495">
      <w:pPr>
        <w:keepNext/>
        <w:spacing w:after="60"/>
        <w:rPr>
          <w:rFonts w:ascii="Calibri" w:eastAsia="SimHei" w:hAnsi="Calibri" w:cs="Calibri"/>
          <w:b/>
        </w:rPr>
      </w:pPr>
      <w:r w:rsidRPr="00C43495">
        <w:rPr>
          <w:rFonts w:ascii="Calibri" w:eastAsia="SimHei" w:hAnsi="Calibri" w:cs="Calibri"/>
          <w:b/>
        </w:rPr>
        <w:lastRenderedPageBreak/>
        <w:t>Acknowledgement of Country</w:t>
      </w:r>
    </w:p>
    <w:p w14:paraId="779BAAE6" w14:textId="77777777" w:rsidR="00813951" w:rsidRPr="00813951" w:rsidRDefault="008802DD" w:rsidP="00CF1132">
      <w:pPr>
        <w:spacing w:after="6840"/>
      </w:pPr>
      <w:r w:rsidRPr="00C43495">
        <w:rPr>
          <w:rFonts w:ascii="Calibri" w:eastAsia="SimHei" w:hAnsi="Calibri" w:cs="Calibri"/>
        </w:rPr>
        <w:t xml:space="preserve">Kaya. The School Curriculum and Standards Authority (the Authority) acknowledges that our offices are on </w:t>
      </w:r>
      <w:proofErr w:type="spellStart"/>
      <w:r w:rsidRPr="00C43495">
        <w:rPr>
          <w:rFonts w:ascii="Calibri" w:eastAsia="SimHei" w:hAnsi="Calibri" w:cs="Calibri"/>
        </w:rPr>
        <w:t>Whadjuk</w:t>
      </w:r>
      <w:proofErr w:type="spellEnd"/>
      <w:r w:rsidRPr="00C43495">
        <w:rPr>
          <w:rFonts w:ascii="Calibri" w:eastAsia="SimHei" w:hAnsi="Calibri" w:cs="Calibri"/>
        </w:rPr>
        <w:t xml:space="preserve"> </w:t>
      </w:r>
      <w:proofErr w:type="spellStart"/>
      <w:r w:rsidRPr="00C43495">
        <w:rPr>
          <w:rFonts w:ascii="Calibri" w:eastAsia="SimHei" w:hAnsi="Calibri" w:cs="Calibri"/>
        </w:rPr>
        <w:t>Noongar</w:t>
      </w:r>
      <w:proofErr w:type="spellEnd"/>
      <w:r w:rsidRPr="00C43495">
        <w:rPr>
          <w:rFonts w:ascii="Calibri" w:eastAsia="SimHei" w:hAnsi="Calibri" w:cs="Calibri"/>
        </w:rPr>
        <w:t xml:space="preserve"> </w:t>
      </w:r>
      <w:proofErr w:type="spellStart"/>
      <w:r w:rsidRPr="00C43495">
        <w:rPr>
          <w:rFonts w:ascii="Calibri" w:eastAsia="SimHei" w:hAnsi="Calibri" w:cs="Calibri"/>
        </w:rPr>
        <w:t>boodjar</w:t>
      </w:r>
      <w:proofErr w:type="spellEnd"/>
      <w:r w:rsidRPr="00C43495">
        <w:rPr>
          <w:rFonts w:ascii="Calibri" w:eastAsia="SimHei" w:hAnsi="Calibr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9F83590" w14:textId="77777777" w:rsidR="00813951" w:rsidRPr="008802DD" w:rsidRDefault="00813951" w:rsidP="005D12A8">
      <w:pPr>
        <w:jc w:val="both"/>
        <w:rPr>
          <w:rFonts w:ascii="Calibri" w:hAnsi="Calibri"/>
          <w:b/>
          <w:sz w:val="20"/>
          <w:szCs w:val="20"/>
        </w:rPr>
      </w:pPr>
      <w:r w:rsidRPr="008802DD">
        <w:rPr>
          <w:rFonts w:ascii="Calibri" w:hAnsi="Calibri"/>
          <w:b/>
          <w:sz w:val="20"/>
          <w:szCs w:val="20"/>
        </w:rPr>
        <w:t>Copyright</w:t>
      </w:r>
    </w:p>
    <w:p w14:paraId="322BA077" w14:textId="77777777" w:rsidR="00813951" w:rsidRPr="008802DD" w:rsidRDefault="00813951" w:rsidP="005D12A8">
      <w:pPr>
        <w:jc w:val="both"/>
        <w:rPr>
          <w:rFonts w:ascii="Calibri" w:hAnsi="Calibri"/>
          <w:sz w:val="20"/>
          <w:szCs w:val="20"/>
        </w:rPr>
      </w:pPr>
      <w:r w:rsidRPr="008802DD">
        <w:rPr>
          <w:rFonts w:ascii="Calibri" w:hAnsi="Calibri"/>
          <w:sz w:val="20"/>
          <w:szCs w:val="20"/>
        </w:rPr>
        <w:t>© School Curricul</w:t>
      </w:r>
      <w:r w:rsidR="00EE2334" w:rsidRPr="008802DD">
        <w:rPr>
          <w:rFonts w:ascii="Calibri" w:hAnsi="Calibri"/>
          <w:sz w:val="20"/>
          <w:szCs w:val="20"/>
        </w:rPr>
        <w:t>um and Standards Authority, 2022</w:t>
      </w:r>
    </w:p>
    <w:p w14:paraId="4EB7D630" w14:textId="77777777" w:rsidR="00813951" w:rsidRPr="008802DD" w:rsidRDefault="00813951" w:rsidP="005D12A8">
      <w:pPr>
        <w:jc w:val="both"/>
        <w:rPr>
          <w:rFonts w:ascii="Calibri" w:hAnsi="Calibri"/>
          <w:sz w:val="20"/>
          <w:szCs w:val="20"/>
        </w:rPr>
      </w:pPr>
      <w:r w:rsidRPr="008802DD">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DA0CAEC" w14:textId="77777777" w:rsidR="00813951" w:rsidRPr="008802DD" w:rsidRDefault="00813951" w:rsidP="005D12A8">
      <w:pPr>
        <w:jc w:val="both"/>
        <w:rPr>
          <w:sz w:val="20"/>
          <w:szCs w:val="20"/>
        </w:rPr>
      </w:pPr>
      <w:r w:rsidRPr="008802DD">
        <w:rPr>
          <w:rFonts w:ascii="Calibri" w:hAnsi="Calibri"/>
          <w:sz w:val="20"/>
          <w:szCs w:val="20"/>
        </w:rPr>
        <w:t xml:space="preserve">Copying or communication for any other purpose can be done only within the terms of the </w:t>
      </w:r>
      <w:r w:rsidRPr="008802DD">
        <w:rPr>
          <w:rFonts w:ascii="Calibri" w:hAnsi="Calibri"/>
          <w:i/>
          <w:iCs/>
          <w:sz w:val="20"/>
          <w:szCs w:val="20"/>
        </w:rPr>
        <w:t>Copyright Act 1968</w:t>
      </w:r>
      <w:r w:rsidRPr="008802DD">
        <w:rPr>
          <w:rFonts w:ascii="Calibri" w:hAnsi="Calibri"/>
          <w:sz w:val="20"/>
          <w:szCs w:val="20"/>
        </w:rPr>
        <w:t xml:space="preserve"> </w:t>
      </w:r>
      <w:proofErr w:type="gramStart"/>
      <w:r w:rsidRPr="008802DD">
        <w:rPr>
          <w:rFonts w:ascii="Calibri" w:hAnsi="Calibri"/>
          <w:sz w:val="20"/>
          <w:szCs w:val="20"/>
        </w:rPr>
        <w:t>or</w:t>
      </w:r>
      <w:proofErr w:type="gramEnd"/>
      <w:r w:rsidRPr="008802DD">
        <w:rPr>
          <w:rFonts w:ascii="Calibri" w:hAnsi="Calibri"/>
          <w:sz w:val="20"/>
          <w:szCs w:val="20"/>
        </w:rPr>
        <w:t xml:space="preserve"> with prior written permission of the School Curriculum and Standards Authority. Copying or communication of any third party copyright material can be </w:t>
      </w:r>
      <w:r w:rsidRPr="008802DD">
        <w:rPr>
          <w:sz w:val="20"/>
          <w:szCs w:val="20"/>
        </w:rPr>
        <w:t xml:space="preserve">done only within the terms of the </w:t>
      </w:r>
      <w:r w:rsidRPr="008802DD">
        <w:rPr>
          <w:i/>
          <w:iCs/>
          <w:sz w:val="20"/>
          <w:szCs w:val="20"/>
        </w:rPr>
        <w:t>Copyright Act 1968</w:t>
      </w:r>
      <w:r w:rsidRPr="008802DD">
        <w:rPr>
          <w:sz w:val="20"/>
          <w:szCs w:val="20"/>
        </w:rPr>
        <w:t xml:space="preserve"> or with permission of the copyright owners.</w:t>
      </w:r>
    </w:p>
    <w:p w14:paraId="1C95B79F" w14:textId="77777777" w:rsidR="0042750B" w:rsidRPr="0082625A" w:rsidRDefault="0042750B" w:rsidP="005D12A8">
      <w:pPr>
        <w:jc w:val="both"/>
        <w:rPr>
          <w:rFonts w:ascii="Calibri" w:eastAsia="Calibri" w:hAnsi="Calibri" w:cs="Times New Roman"/>
          <w:sz w:val="20"/>
          <w:szCs w:val="20"/>
        </w:rPr>
      </w:pPr>
      <w:r w:rsidRPr="0082625A">
        <w:rPr>
          <w:rFonts w:ascii="Calibri" w:eastAsia="Calibri" w:hAnsi="Calibri" w:cs="Times New Roman"/>
          <w:sz w:val="20"/>
          <w:szCs w:val="20"/>
        </w:rPr>
        <w:t xml:space="preserve">Any content in this document that has been derived from the Australian Curriculum may be used under the terms of the </w:t>
      </w:r>
      <w:hyperlink r:id="rId9" w:tgtFrame="_blank" w:history="1">
        <w:r w:rsidRPr="0082625A">
          <w:rPr>
            <w:rFonts w:ascii="Calibri" w:eastAsia="Calibri" w:hAnsi="Calibri" w:cs="Times New Roman"/>
            <w:color w:val="580F8B"/>
            <w:sz w:val="20"/>
            <w:szCs w:val="20"/>
            <w:u w:val="single"/>
          </w:rPr>
          <w:t xml:space="preserve">Creative Commons Attribution 4.0 International </w:t>
        </w:r>
        <w:proofErr w:type="spellStart"/>
        <w:r w:rsidRPr="0082625A">
          <w:rPr>
            <w:rFonts w:ascii="Calibri" w:eastAsia="Calibri" w:hAnsi="Calibri" w:cs="Times New Roman"/>
            <w:color w:val="580F8B"/>
            <w:sz w:val="20"/>
            <w:szCs w:val="20"/>
            <w:u w:val="single"/>
          </w:rPr>
          <w:t>licence</w:t>
        </w:r>
        <w:proofErr w:type="spellEnd"/>
      </w:hyperlink>
      <w:r w:rsidRPr="0082625A">
        <w:rPr>
          <w:rFonts w:ascii="Calibri" w:eastAsia="Calibri" w:hAnsi="Calibri" w:cs="Times New Roman"/>
          <w:sz w:val="20"/>
          <w:szCs w:val="20"/>
        </w:rPr>
        <w:t>.</w:t>
      </w:r>
    </w:p>
    <w:p w14:paraId="36B21A37" w14:textId="77777777" w:rsidR="00813951" w:rsidRPr="008802DD" w:rsidRDefault="00813951" w:rsidP="005D12A8">
      <w:pPr>
        <w:jc w:val="both"/>
        <w:rPr>
          <w:rFonts w:ascii="Calibri" w:hAnsi="Calibri"/>
          <w:b/>
          <w:sz w:val="20"/>
          <w:szCs w:val="20"/>
        </w:rPr>
      </w:pPr>
      <w:r w:rsidRPr="008802DD">
        <w:rPr>
          <w:rFonts w:ascii="Calibri" w:hAnsi="Calibri"/>
          <w:b/>
          <w:sz w:val="20"/>
          <w:szCs w:val="20"/>
        </w:rPr>
        <w:t>Disclaimer</w:t>
      </w:r>
    </w:p>
    <w:p w14:paraId="69A48672" w14:textId="630D4F94" w:rsidR="00813951" w:rsidRPr="008802DD" w:rsidRDefault="00813951" w:rsidP="005D12A8">
      <w:pPr>
        <w:jc w:val="both"/>
        <w:rPr>
          <w:rFonts w:ascii="Calibri" w:hAnsi="Calibri"/>
          <w:sz w:val="20"/>
          <w:szCs w:val="20"/>
        </w:rPr>
      </w:pPr>
      <w:r w:rsidRPr="008802DD">
        <w:rPr>
          <w:rFonts w:ascii="Calibri" w:hAnsi="Calibri"/>
          <w:sz w:val="20"/>
          <w:szCs w:val="20"/>
        </w:rPr>
        <w:t>Any resources</w:t>
      </w:r>
      <w:r w:rsidR="005D12A8">
        <w:rPr>
          <w:rFonts w:ascii="Calibri" w:hAnsi="Calibri"/>
          <w:sz w:val="20"/>
          <w:szCs w:val="20"/>
        </w:rPr>
        <w:t>,</w:t>
      </w:r>
      <w:r w:rsidRPr="008802DD">
        <w:rPr>
          <w:rFonts w:ascii="Calibri" w:hAnsi="Calibri"/>
          <w:sz w:val="20"/>
          <w:szCs w:val="20"/>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7C6B4C7" w14:textId="77777777" w:rsidR="00813951" w:rsidRPr="00813951" w:rsidRDefault="00813951" w:rsidP="00813951">
      <w:pPr>
        <w:spacing w:line="264" w:lineRule="auto"/>
        <w:jc w:val="both"/>
        <w:rPr>
          <w:rFonts w:ascii="Calibri" w:hAnsi="Calibri"/>
          <w:sz w:val="16"/>
        </w:rPr>
        <w:sectPr w:rsidR="00813951" w:rsidRPr="00813951" w:rsidSect="00B50112">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D122FAD" w14:textId="77777777" w:rsidR="00813951" w:rsidRPr="00054C3B" w:rsidRDefault="00813951" w:rsidP="00054C3B">
      <w:pPr>
        <w:pStyle w:val="Heading1"/>
      </w:pPr>
      <w:r w:rsidRPr="00054C3B">
        <w:lastRenderedPageBreak/>
        <w:t>Sample course outline</w:t>
      </w:r>
    </w:p>
    <w:p w14:paraId="4DBBE394" w14:textId="7A440AF9" w:rsidR="00813951" w:rsidRPr="00054C3B" w:rsidRDefault="00813951" w:rsidP="00982C8A">
      <w:pPr>
        <w:pStyle w:val="Heading1"/>
      </w:pPr>
      <w:r w:rsidRPr="00054C3B">
        <w:t>Aboriginal and Intercultural Studies – General Year 11</w:t>
      </w:r>
      <w:r w:rsidR="00D55CF4" w:rsidRPr="00054C3B">
        <w:t xml:space="preserve"> </w:t>
      </w:r>
    </w:p>
    <w:p w14:paraId="3C16758A" w14:textId="77777777" w:rsidR="00D55CF4" w:rsidRPr="00054C3B" w:rsidRDefault="00D55CF4" w:rsidP="00054C3B">
      <w:pPr>
        <w:pStyle w:val="NoSpacing"/>
        <w:rPr>
          <w:b/>
        </w:rPr>
      </w:pPr>
      <w:r w:rsidRPr="00054C3B">
        <w:rPr>
          <w:b/>
        </w:rPr>
        <w:t>Intercultural Skills</w:t>
      </w:r>
    </w:p>
    <w:p w14:paraId="44A801A1" w14:textId="77777777" w:rsidR="00D55CF4" w:rsidRDefault="00D55CF4" w:rsidP="00054C3B">
      <w:pPr>
        <w:rPr>
          <w:lang w:eastAsia="ja-JP"/>
        </w:rPr>
      </w:pPr>
      <w:r w:rsidRPr="00D55CF4">
        <w:rPr>
          <w:lang w:eastAsia="ja-JP"/>
        </w:rPr>
        <w:t xml:space="preserve">All the skills must be taught during the units. Relevant skills should be </w:t>
      </w:r>
      <w:proofErr w:type="spellStart"/>
      <w:r w:rsidRPr="00D55CF4">
        <w:rPr>
          <w:lang w:eastAsia="ja-JP"/>
        </w:rPr>
        <w:t>emphasised</w:t>
      </w:r>
      <w:proofErr w:type="spellEnd"/>
      <w:r w:rsidRPr="00D55CF4">
        <w:rPr>
          <w:lang w:eastAsia="ja-JP"/>
        </w:rPr>
        <w:t xml:space="preserve"> for each depth study.</w:t>
      </w:r>
    </w:p>
    <w:p w14:paraId="7C5356CD" w14:textId="77777777" w:rsidR="00D55CF4" w:rsidRPr="00054C3B" w:rsidRDefault="00D55CF4" w:rsidP="0034284A">
      <w:pPr>
        <w:spacing w:after="0"/>
        <w:rPr>
          <w:b/>
          <w:lang w:eastAsia="ja-JP"/>
        </w:rPr>
      </w:pPr>
      <w:r w:rsidRPr="00054C3B">
        <w:rPr>
          <w:b/>
          <w:lang w:eastAsia="ja-JP"/>
        </w:rPr>
        <w:t>Research</w:t>
      </w:r>
    </w:p>
    <w:p w14:paraId="2435E418" w14:textId="77777777" w:rsidR="00D55CF4" w:rsidRPr="00D55CF4" w:rsidRDefault="00D55CF4" w:rsidP="00054C3B">
      <w:pPr>
        <w:pStyle w:val="ListBullet"/>
        <w:rPr>
          <w:lang w:eastAsia="ja-JP"/>
        </w:rPr>
      </w:pPr>
      <w:r w:rsidRPr="00D55CF4">
        <w:rPr>
          <w:lang w:eastAsia="ja-JP"/>
        </w:rPr>
        <w:t xml:space="preserve">construct a set of focus questions to investigate a specific topic/issue </w:t>
      </w:r>
      <w:r w:rsidR="00642E62" w:rsidRPr="00642E62">
        <w:rPr>
          <w:lang w:eastAsia="ja-JP"/>
        </w:rPr>
        <w:t>(who, what, when, where, how, why)</w:t>
      </w:r>
    </w:p>
    <w:p w14:paraId="427C3CAB" w14:textId="77777777" w:rsidR="00D55CF4" w:rsidRPr="00D55CF4" w:rsidRDefault="00D55CF4" w:rsidP="00054C3B">
      <w:pPr>
        <w:pStyle w:val="ListBullet"/>
        <w:rPr>
          <w:lang w:eastAsia="ja-JP"/>
        </w:rPr>
      </w:pPr>
      <w:r w:rsidRPr="00D55CF4">
        <w:rPr>
          <w:lang w:eastAsia="ja-JP"/>
        </w:rPr>
        <w:t>plan an inquiry and/or social action with clearly defined aims, using appropriate methodologies</w:t>
      </w:r>
    </w:p>
    <w:p w14:paraId="33303EB1" w14:textId="77777777" w:rsidR="00D55CF4" w:rsidRPr="00D55CF4" w:rsidRDefault="00D55CF4" w:rsidP="00054C3B">
      <w:pPr>
        <w:pStyle w:val="ListBullet"/>
        <w:rPr>
          <w:lang w:eastAsia="ja-JP"/>
        </w:rPr>
      </w:pPr>
      <w:r w:rsidRPr="00D55CF4">
        <w:rPr>
          <w:lang w:eastAsia="ja-JP"/>
        </w:rPr>
        <w:t xml:space="preserve">collect, record and </w:t>
      </w:r>
      <w:proofErr w:type="spellStart"/>
      <w:r w:rsidRPr="00D55CF4">
        <w:rPr>
          <w:lang w:eastAsia="ja-JP"/>
        </w:rPr>
        <w:t>organise</w:t>
      </w:r>
      <w:proofErr w:type="spellEnd"/>
      <w:r w:rsidRPr="00D55CF4">
        <w:rPr>
          <w:lang w:eastAsia="ja-JP"/>
        </w:rPr>
        <w:t xml:space="preserve"> information and/or data from relevant </w:t>
      </w:r>
      <w:r w:rsidR="00642E62">
        <w:rPr>
          <w:lang w:eastAsia="ja-JP"/>
        </w:rPr>
        <w:t>culturally responsive resources</w:t>
      </w:r>
    </w:p>
    <w:p w14:paraId="5CE1EC95" w14:textId="77777777" w:rsidR="00D55CF4" w:rsidRPr="00054C3B" w:rsidRDefault="00D55CF4" w:rsidP="0034284A">
      <w:pPr>
        <w:spacing w:before="120" w:after="0"/>
        <w:rPr>
          <w:b/>
          <w:lang w:eastAsia="ja-JP"/>
        </w:rPr>
      </w:pPr>
      <w:r w:rsidRPr="00054C3B">
        <w:rPr>
          <w:b/>
          <w:lang w:eastAsia="ja-JP"/>
        </w:rPr>
        <w:t>Analysis and use of sources</w:t>
      </w:r>
    </w:p>
    <w:p w14:paraId="623DF9A0" w14:textId="77777777" w:rsidR="00D55CF4" w:rsidRPr="00D55CF4" w:rsidRDefault="00D55CF4" w:rsidP="00054C3B">
      <w:pPr>
        <w:pStyle w:val="ListBullet"/>
        <w:rPr>
          <w:lang w:eastAsia="ja-JP"/>
        </w:rPr>
      </w:pPr>
      <w:r w:rsidRPr="00D55CF4">
        <w:rPr>
          <w:lang w:eastAsia="ja-JP"/>
        </w:rPr>
        <w:t>identify the origin, purpose and context of primary sources and/or secondary sources</w:t>
      </w:r>
    </w:p>
    <w:p w14:paraId="7E9E65BC" w14:textId="77777777" w:rsidR="00D55CF4" w:rsidRPr="00D55CF4" w:rsidRDefault="00D55CF4" w:rsidP="00054C3B">
      <w:pPr>
        <w:pStyle w:val="ListBullet"/>
        <w:rPr>
          <w:lang w:eastAsia="ja-JP"/>
        </w:rPr>
      </w:pPr>
      <w:r w:rsidRPr="00D55CF4">
        <w:rPr>
          <w:lang w:eastAsia="ja-JP"/>
        </w:rPr>
        <w:t>evaluate the usefulness of different sources</w:t>
      </w:r>
    </w:p>
    <w:p w14:paraId="1DB1CBBE" w14:textId="77777777" w:rsidR="00D55CF4" w:rsidRPr="00D55CF4" w:rsidRDefault="00D55CF4" w:rsidP="00054C3B">
      <w:pPr>
        <w:pStyle w:val="ListBullet"/>
        <w:rPr>
          <w:lang w:eastAsia="ja-JP"/>
        </w:rPr>
      </w:pPr>
      <w:proofErr w:type="spellStart"/>
      <w:r w:rsidRPr="00D55CF4">
        <w:rPr>
          <w:lang w:eastAsia="ja-JP"/>
        </w:rPr>
        <w:t>recognise</w:t>
      </w:r>
      <w:proofErr w:type="spellEnd"/>
      <w:r w:rsidRPr="00D55CF4">
        <w:rPr>
          <w:lang w:eastAsia="ja-JP"/>
        </w:rPr>
        <w:t xml:space="preserve"> different perspectives presented in a variety of different primary and/or secondary sources</w:t>
      </w:r>
    </w:p>
    <w:p w14:paraId="48E207F9" w14:textId="77777777" w:rsidR="00D55CF4" w:rsidRPr="00D55CF4" w:rsidRDefault="00D55CF4" w:rsidP="00054C3B">
      <w:pPr>
        <w:pStyle w:val="ListBullet"/>
        <w:rPr>
          <w:lang w:eastAsia="ja-JP"/>
        </w:rPr>
      </w:pPr>
      <w:r w:rsidRPr="00D55CF4">
        <w:rPr>
          <w:lang w:eastAsia="ja-JP"/>
        </w:rPr>
        <w:t>identify and use evidence from different sources to support a point of view</w:t>
      </w:r>
    </w:p>
    <w:p w14:paraId="2258AE08" w14:textId="77777777" w:rsidR="00D55CF4" w:rsidRPr="00D55CF4" w:rsidRDefault="00D55CF4" w:rsidP="00054C3B">
      <w:pPr>
        <w:pStyle w:val="ListBullet"/>
        <w:rPr>
          <w:lang w:eastAsia="ja-JP"/>
        </w:rPr>
      </w:pPr>
      <w:r w:rsidRPr="00D55CF4">
        <w:rPr>
          <w:lang w:eastAsia="ja-JP"/>
        </w:rPr>
        <w:t xml:space="preserve">propose individual and collective action in response to contemporary events, challenges, </w:t>
      </w:r>
      <w:r w:rsidR="00642E62">
        <w:rPr>
          <w:lang w:eastAsia="ja-JP"/>
        </w:rPr>
        <w:t>developments, issues, problems</w:t>
      </w:r>
    </w:p>
    <w:p w14:paraId="3F1922D4" w14:textId="77777777" w:rsidR="00D55CF4" w:rsidRPr="00054C3B" w:rsidRDefault="00D55CF4" w:rsidP="0034284A">
      <w:pPr>
        <w:spacing w:before="120" w:after="0"/>
        <w:rPr>
          <w:b/>
          <w:lang w:eastAsia="ja-JP"/>
        </w:rPr>
      </w:pPr>
      <w:r w:rsidRPr="00054C3B">
        <w:rPr>
          <w:b/>
          <w:lang w:eastAsia="ja-JP"/>
        </w:rPr>
        <w:t>Evaluating and communicating</w:t>
      </w:r>
    </w:p>
    <w:p w14:paraId="4259E227" w14:textId="77777777" w:rsidR="00D55CF4" w:rsidRPr="00D55CF4" w:rsidRDefault="00D55CF4" w:rsidP="00054C3B">
      <w:pPr>
        <w:pStyle w:val="ListBullet"/>
        <w:rPr>
          <w:lang w:eastAsia="ja-JP"/>
        </w:rPr>
      </w:pPr>
      <w:r w:rsidRPr="00D55CF4">
        <w:rPr>
          <w:lang w:eastAsia="ja-JP"/>
        </w:rPr>
        <w:t>draw conclusions and develop explanations using evidence taking into account different perspectives</w:t>
      </w:r>
    </w:p>
    <w:p w14:paraId="0D45C26B" w14:textId="77777777" w:rsidR="00D55CF4" w:rsidRPr="00D55CF4" w:rsidRDefault="00D55CF4" w:rsidP="00054C3B">
      <w:pPr>
        <w:pStyle w:val="ListBullet"/>
        <w:rPr>
          <w:lang w:eastAsia="ja-JP"/>
        </w:rPr>
      </w:pPr>
      <w:r w:rsidRPr="00D55CF4">
        <w:rPr>
          <w:lang w:eastAsia="ja-JP"/>
        </w:rPr>
        <w:t xml:space="preserve">communicating findings using formats appropriate to purpose, including, written, oral or multimodal presentations </w:t>
      </w:r>
    </w:p>
    <w:p w14:paraId="48404AF4" w14:textId="77777777" w:rsidR="00D55CF4" w:rsidRPr="00D55CF4" w:rsidRDefault="00D55CF4" w:rsidP="00054C3B">
      <w:pPr>
        <w:pStyle w:val="ListBullet"/>
        <w:rPr>
          <w:lang w:eastAsia="ja-JP"/>
        </w:rPr>
      </w:pPr>
      <w:r w:rsidRPr="00D55CF4">
        <w:rPr>
          <w:lang w:eastAsia="ja-JP"/>
        </w:rPr>
        <w:t>use respectful and inclusive language and terminology</w:t>
      </w:r>
    </w:p>
    <w:p w14:paraId="65884270" w14:textId="77777777" w:rsidR="00D55CF4" w:rsidRPr="00D55CF4" w:rsidRDefault="00D55CF4" w:rsidP="00054C3B">
      <w:pPr>
        <w:pStyle w:val="ListBullet"/>
        <w:rPr>
          <w:lang w:eastAsia="ja-JP"/>
        </w:rPr>
      </w:pPr>
      <w:r w:rsidRPr="00D55CF4">
        <w:rPr>
          <w:lang w:eastAsia="ja-JP"/>
        </w:rPr>
        <w:t>justify a course of action, and predict the potential outcome of the proposed action</w:t>
      </w:r>
    </w:p>
    <w:p w14:paraId="3769ADB0" w14:textId="77777777" w:rsidR="00D55CF4" w:rsidRPr="00D55CF4" w:rsidRDefault="00D55CF4" w:rsidP="00054C3B">
      <w:pPr>
        <w:pStyle w:val="ListBullet"/>
        <w:rPr>
          <w:lang w:eastAsia="ja-JP"/>
        </w:rPr>
      </w:pPr>
      <w:r w:rsidRPr="00D55CF4">
        <w:rPr>
          <w:lang w:eastAsia="ja-JP"/>
        </w:rPr>
        <w:t xml:space="preserve">identify and </w:t>
      </w:r>
      <w:proofErr w:type="spellStart"/>
      <w:r w:rsidRPr="00D55CF4">
        <w:rPr>
          <w:lang w:eastAsia="ja-JP"/>
        </w:rPr>
        <w:t>practise</w:t>
      </w:r>
      <w:proofErr w:type="spellEnd"/>
      <w:r w:rsidRPr="00D55CF4">
        <w:rPr>
          <w:lang w:eastAsia="ja-JP"/>
        </w:rPr>
        <w:t xml:space="preserve"> ethical scholarship when conducting research, including:</w:t>
      </w:r>
    </w:p>
    <w:p w14:paraId="6C38FB19" w14:textId="77777777" w:rsidR="00D55CF4" w:rsidRPr="00D55CF4" w:rsidRDefault="00D55CF4" w:rsidP="00054C3B">
      <w:pPr>
        <w:pStyle w:val="ListBullet2"/>
        <w:rPr>
          <w:rFonts w:eastAsia="MS Mincho"/>
          <w:lang w:eastAsia="ja-JP"/>
        </w:rPr>
      </w:pPr>
      <w:r w:rsidRPr="00D55CF4">
        <w:rPr>
          <w:rFonts w:eastAsia="MS Mincho"/>
          <w:lang w:eastAsia="ja-JP"/>
        </w:rPr>
        <w:t>respecting variation between cultural groups of processes and protocols for collecting, acknowledging and communicating information</w:t>
      </w:r>
    </w:p>
    <w:p w14:paraId="6105D6D5" w14:textId="77777777" w:rsidR="00D55CF4" w:rsidRPr="00D55CF4" w:rsidRDefault="00D55CF4" w:rsidP="00054C3B">
      <w:pPr>
        <w:pStyle w:val="ListBullet2"/>
        <w:rPr>
          <w:rFonts w:eastAsia="MS Mincho"/>
          <w:lang w:eastAsia="ja-JP"/>
        </w:rPr>
      </w:pPr>
      <w:r w:rsidRPr="00D55CF4">
        <w:rPr>
          <w:rFonts w:eastAsia="MS Mincho"/>
          <w:lang w:eastAsia="ja-JP"/>
        </w:rPr>
        <w:t>adopt protocols and conventions to communicate in culturally appropriate ways</w:t>
      </w:r>
    </w:p>
    <w:p w14:paraId="380F80D2" w14:textId="77777777" w:rsidR="00D55CF4" w:rsidRPr="00D55CF4" w:rsidRDefault="00D55CF4" w:rsidP="00054C3B">
      <w:pPr>
        <w:pStyle w:val="ListBullet2"/>
        <w:rPr>
          <w:rFonts w:eastAsia="MS Mincho"/>
          <w:lang w:eastAsia="ja-JP"/>
        </w:rPr>
      </w:pPr>
      <w:r w:rsidRPr="00D55CF4">
        <w:rPr>
          <w:rFonts w:eastAsia="MS Mincho"/>
          <w:lang w:eastAsia="ja-JP"/>
        </w:rPr>
        <w:t>apply appropriate referencing techniques accuratel</w:t>
      </w:r>
      <w:r w:rsidR="00642E62">
        <w:rPr>
          <w:rFonts w:eastAsia="MS Mincho"/>
          <w:lang w:eastAsia="ja-JP"/>
        </w:rPr>
        <w:t>y and consistently</w:t>
      </w:r>
    </w:p>
    <w:p w14:paraId="45CDD127" w14:textId="77777777" w:rsidR="00D55CF4" w:rsidRPr="00054C3B" w:rsidRDefault="00D55CF4" w:rsidP="0034284A">
      <w:pPr>
        <w:spacing w:before="120" w:after="0"/>
        <w:rPr>
          <w:b/>
          <w:lang w:eastAsia="ja-JP"/>
        </w:rPr>
      </w:pPr>
      <w:r w:rsidRPr="00054C3B">
        <w:rPr>
          <w:b/>
          <w:lang w:eastAsia="ja-JP"/>
        </w:rPr>
        <w:t>Reflection</w:t>
      </w:r>
    </w:p>
    <w:p w14:paraId="03DDAF58" w14:textId="77777777" w:rsidR="00D55CF4" w:rsidRDefault="00D55CF4" w:rsidP="00054C3B">
      <w:pPr>
        <w:pStyle w:val="ListBullet"/>
        <w:rPr>
          <w:lang w:eastAsia="ja-JP"/>
        </w:rPr>
      </w:pPr>
      <w:r w:rsidRPr="00D55CF4">
        <w:rPr>
          <w:lang w:eastAsia="ja-JP"/>
        </w:rPr>
        <w:t>acknowledge differences in personal perspectives, interpretations and world views when developing a response</w:t>
      </w:r>
    </w:p>
    <w:p w14:paraId="6A9C8534" w14:textId="77777777" w:rsidR="00D55CF4" w:rsidRPr="00D55CF4" w:rsidRDefault="00D55CF4" w:rsidP="00054C3B">
      <w:pPr>
        <w:pStyle w:val="ListBullet"/>
        <w:rPr>
          <w:lang w:eastAsia="ja-JP"/>
        </w:rPr>
      </w:pPr>
      <w:r w:rsidRPr="00D55CF4">
        <w:rPr>
          <w:lang w:eastAsia="ja-JP"/>
        </w:rPr>
        <w:t>reflect on own learning to</w:t>
      </w:r>
      <w:r w:rsidR="00642E62">
        <w:rPr>
          <w:lang w:eastAsia="ja-JP"/>
        </w:rPr>
        <w:t xml:space="preserve"> review original understandings</w:t>
      </w:r>
    </w:p>
    <w:p w14:paraId="11AF0B9D" w14:textId="77777777" w:rsidR="00DA5B18" w:rsidRDefault="00DA5B18" w:rsidP="00054C3B">
      <w:pPr>
        <w:rPr>
          <w:lang w:val="en-GB" w:eastAsia="ja-JP"/>
        </w:rPr>
      </w:pPr>
      <w:r>
        <w:rPr>
          <w:lang w:val="en-GB" w:eastAsia="ja-JP"/>
        </w:rPr>
        <w:br w:type="page"/>
      </w:r>
    </w:p>
    <w:p w14:paraId="035D32D9" w14:textId="77777777" w:rsidR="00813951" w:rsidRPr="00982C8A" w:rsidRDefault="00813951" w:rsidP="00982C8A">
      <w:pPr>
        <w:pStyle w:val="Heading2"/>
      </w:pPr>
      <w:r w:rsidRPr="00982C8A">
        <w:lastRenderedPageBreak/>
        <w:t>Semester 1</w:t>
      </w:r>
      <w:r w:rsidR="00C923FE" w:rsidRPr="00982C8A">
        <w:t xml:space="preserve"> –</w:t>
      </w:r>
      <w:r w:rsidR="00F9051B" w:rsidRPr="00982C8A">
        <w:t xml:space="preserve"> Unit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840722" w:rsidRPr="00813951" w14:paraId="215ED11D" w14:textId="77777777" w:rsidTr="00C74098">
        <w:trPr>
          <w:tblHeader/>
        </w:trPr>
        <w:tc>
          <w:tcPr>
            <w:tcW w:w="993" w:type="dxa"/>
            <w:tcBorders>
              <w:right w:val="single" w:sz="4" w:space="0" w:color="FFFFFF" w:themeColor="background1"/>
            </w:tcBorders>
            <w:shd w:val="clear" w:color="auto" w:fill="BD9FCF" w:themeFill="accent4"/>
            <w:vAlign w:val="center"/>
            <w:hideMark/>
          </w:tcPr>
          <w:p w14:paraId="297453C6" w14:textId="77777777" w:rsidR="00840722" w:rsidRPr="00813951" w:rsidRDefault="00840722" w:rsidP="00813951">
            <w:pPr>
              <w:spacing w:before="120"/>
              <w:jc w:val="center"/>
              <w:rPr>
                <w:b/>
                <w:color w:val="FFFFFF" w:themeColor="background1"/>
                <w:szCs w:val="20"/>
              </w:rPr>
            </w:pPr>
            <w:r w:rsidRPr="00813951">
              <w:rPr>
                <w:b/>
                <w:color w:val="FFFFFF" w:themeColor="background1"/>
                <w:szCs w:val="20"/>
              </w:rPr>
              <w:t>Week</w:t>
            </w:r>
          </w:p>
        </w:tc>
        <w:tc>
          <w:tcPr>
            <w:tcW w:w="8363" w:type="dxa"/>
            <w:tcBorders>
              <w:left w:val="single" w:sz="4" w:space="0" w:color="FFFFFF" w:themeColor="background1"/>
            </w:tcBorders>
            <w:shd w:val="clear" w:color="auto" w:fill="BD9FCF" w:themeFill="accent4"/>
            <w:vAlign w:val="center"/>
            <w:hideMark/>
          </w:tcPr>
          <w:p w14:paraId="6EBE9B75" w14:textId="77777777" w:rsidR="00840722" w:rsidRPr="00813951" w:rsidRDefault="00840722" w:rsidP="00813951">
            <w:pPr>
              <w:spacing w:before="120"/>
              <w:jc w:val="center"/>
              <w:rPr>
                <w:b/>
                <w:color w:val="FFFFFF" w:themeColor="background1"/>
                <w:szCs w:val="20"/>
              </w:rPr>
            </w:pPr>
            <w:r w:rsidRPr="00813951">
              <w:rPr>
                <w:b/>
                <w:color w:val="FFFFFF" w:themeColor="background1"/>
                <w:szCs w:val="20"/>
              </w:rPr>
              <w:t>Key teaching points</w:t>
            </w:r>
          </w:p>
        </w:tc>
      </w:tr>
      <w:tr w:rsidR="00840722" w:rsidRPr="00813951" w14:paraId="147EE850" w14:textId="77777777" w:rsidTr="00C74098">
        <w:tc>
          <w:tcPr>
            <w:tcW w:w="993" w:type="dxa"/>
            <w:shd w:val="clear" w:color="auto" w:fill="E4D8EB" w:themeFill="accent4" w:themeFillTint="66"/>
            <w:vAlign w:val="center"/>
            <w:hideMark/>
          </w:tcPr>
          <w:p w14:paraId="4D8917E1" w14:textId="77777777" w:rsidR="00840722" w:rsidRPr="00813951" w:rsidRDefault="00FF446F" w:rsidP="00FF446F">
            <w:pPr>
              <w:jc w:val="center"/>
              <w:rPr>
                <w:rFonts w:cstheme="minorHAnsi"/>
                <w:szCs w:val="20"/>
              </w:rPr>
            </w:pPr>
            <w:r w:rsidRPr="00813951">
              <w:rPr>
                <w:rFonts w:cstheme="minorHAnsi"/>
                <w:szCs w:val="20"/>
              </w:rPr>
              <w:t>1–3</w:t>
            </w:r>
          </w:p>
        </w:tc>
        <w:tc>
          <w:tcPr>
            <w:tcW w:w="8363" w:type="dxa"/>
          </w:tcPr>
          <w:p w14:paraId="1F66047B" w14:textId="77777777" w:rsidR="00CF4E82" w:rsidRPr="00810870" w:rsidRDefault="00CF4E82" w:rsidP="009D2E89">
            <w:pPr>
              <w:pStyle w:val="Heading1table"/>
              <w:spacing w:before="0"/>
              <w:contextualSpacing w:val="0"/>
            </w:pPr>
            <w:r w:rsidRPr="00810870">
              <w:t>Overview of the diversity of Australia’s First Nations Peoples’ cultural identities</w:t>
            </w:r>
          </w:p>
          <w:p w14:paraId="27C6B22F" w14:textId="77777777" w:rsidR="00CF4E82" w:rsidRPr="00A65F2D" w:rsidRDefault="00CF4E82" w:rsidP="00054C3B">
            <w:pPr>
              <w:pStyle w:val="Listbullettable"/>
            </w:pPr>
            <w:r w:rsidRPr="00A65F2D">
              <w:t>define the following key terms and concepts as they relate to, and by privileging, First Nations Peoples’ voices and perspectives</w:t>
            </w:r>
          </w:p>
          <w:p w14:paraId="0CAE8434" w14:textId="77777777" w:rsidR="00CF4E82" w:rsidRPr="00054C3B" w:rsidRDefault="00CF4E82" w:rsidP="00054C3B">
            <w:pPr>
              <w:pStyle w:val="Listbullet2table"/>
            </w:pPr>
            <w:r w:rsidRPr="00054C3B">
              <w:t>Culture</w:t>
            </w:r>
          </w:p>
          <w:p w14:paraId="1E126B2D" w14:textId="77777777" w:rsidR="00CF4E82" w:rsidRPr="00054C3B" w:rsidRDefault="00CF4E82" w:rsidP="00054C3B">
            <w:pPr>
              <w:pStyle w:val="Listbullet2table"/>
            </w:pPr>
            <w:r w:rsidRPr="00054C3B">
              <w:t>Identity</w:t>
            </w:r>
          </w:p>
          <w:p w14:paraId="43A65E3C" w14:textId="77777777" w:rsidR="00CF4E82" w:rsidRPr="00054C3B" w:rsidRDefault="00CF4E82" w:rsidP="00054C3B">
            <w:pPr>
              <w:pStyle w:val="Listbullet2table"/>
            </w:pPr>
            <w:r w:rsidRPr="00054C3B">
              <w:t>Deep Time</w:t>
            </w:r>
          </w:p>
          <w:p w14:paraId="607A092C" w14:textId="77777777" w:rsidR="00CF4E82" w:rsidRPr="00054C3B" w:rsidRDefault="00CF4E82" w:rsidP="00054C3B">
            <w:pPr>
              <w:pStyle w:val="Listbullet2table"/>
            </w:pPr>
            <w:r w:rsidRPr="00054C3B">
              <w:t>Spirituality</w:t>
            </w:r>
          </w:p>
          <w:p w14:paraId="44BED3F8" w14:textId="77777777" w:rsidR="00CF4E82" w:rsidRPr="00054C3B" w:rsidRDefault="00CF4E82" w:rsidP="00054C3B">
            <w:pPr>
              <w:pStyle w:val="Listbullet2table"/>
            </w:pPr>
            <w:proofErr w:type="spellStart"/>
            <w:r w:rsidRPr="00054C3B">
              <w:t>Songlines</w:t>
            </w:r>
            <w:proofErr w:type="spellEnd"/>
          </w:p>
          <w:p w14:paraId="67D6BC04" w14:textId="77777777" w:rsidR="00CF4E82" w:rsidRPr="00054C3B" w:rsidRDefault="00CF4E82" w:rsidP="00054C3B">
            <w:pPr>
              <w:pStyle w:val="Listbullet2table"/>
            </w:pPr>
            <w:r w:rsidRPr="00054C3B">
              <w:t>Kinship</w:t>
            </w:r>
          </w:p>
          <w:p w14:paraId="33F7C703" w14:textId="77777777" w:rsidR="00CF4E82" w:rsidRPr="00054C3B" w:rsidRDefault="00CF4E82" w:rsidP="00054C3B">
            <w:pPr>
              <w:pStyle w:val="Listbullet2table"/>
            </w:pPr>
            <w:r w:rsidRPr="00054C3B">
              <w:t>Country</w:t>
            </w:r>
          </w:p>
          <w:p w14:paraId="439A8499" w14:textId="77777777" w:rsidR="00CF4E82" w:rsidRPr="00054C3B" w:rsidRDefault="00CF4E82" w:rsidP="00054C3B">
            <w:pPr>
              <w:pStyle w:val="Listbullet2table"/>
            </w:pPr>
            <w:r w:rsidRPr="00054C3B">
              <w:t>Elders</w:t>
            </w:r>
          </w:p>
          <w:p w14:paraId="19DDB880" w14:textId="77777777" w:rsidR="00CF4E82" w:rsidRPr="00054C3B" w:rsidRDefault="00CF4E82" w:rsidP="00054C3B">
            <w:pPr>
              <w:pStyle w:val="Listbullet2table"/>
            </w:pPr>
            <w:r w:rsidRPr="00054C3B">
              <w:t>Perspectives</w:t>
            </w:r>
          </w:p>
          <w:p w14:paraId="69FBD4F3" w14:textId="77777777" w:rsidR="00CF4E82" w:rsidRPr="00054C3B" w:rsidRDefault="00CF4E82" w:rsidP="00054C3B">
            <w:pPr>
              <w:pStyle w:val="Listbullet2table"/>
            </w:pPr>
            <w:proofErr w:type="spellStart"/>
            <w:r w:rsidRPr="00054C3B">
              <w:t>Colonisation</w:t>
            </w:r>
            <w:proofErr w:type="spellEnd"/>
          </w:p>
          <w:p w14:paraId="7D254EEE" w14:textId="77777777" w:rsidR="009A383A" w:rsidRPr="009A383A" w:rsidRDefault="00CF4E82" w:rsidP="00810870">
            <w:pPr>
              <w:pStyle w:val="Listbullettable"/>
            </w:pPr>
            <w:r w:rsidRPr="00A65F2D">
              <w:t>the significance of and differences between an Acknowledgment of Country and a Welcome to Country</w:t>
            </w:r>
            <w:r w:rsidR="009A383A">
              <w:rPr>
                <w:rFonts w:cstheme="minorHAnsi"/>
                <w:b/>
                <w:bCs/>
              </w:rPr>
              <w:t xml:space="preserve"> </w:t>
            </w:r>
          </w:p>
          <w:p w14:paraId="1B520CCE" w14:textId="77777777" w:rsidR="00DD4E87" w:rsidRPr="00DD4E87" w:rsidRDefault="009A383A" w:rsidP="00810870">
            <w:pPr>
              <w:pStyle w:val="Heading1table"/>
              <w:rPr>
                <w:rFonts w:cs="Calibri"/>
                <w:b w:val="0"/>
                <w:bCs/>
              </w:rPr>
            </w:pPr>
            <w:r>
              <w:t>Task 1: Response</w:t>
            </w:r>
          </w:p>
          <w:p w14:paraId="35C1F68E" w14:textId="77777777" w:rsidR="00CF4E82" w:rsidRPr="00A65F2D" w:rsidRDefault="00CF4E82" w:rsidP="00810870">
            <w:pPr>
              <w:pStyle w:val="Listbullettable"/>
            </w:pPr>
            <w:r w:rsidRPr="00A65F2D">
              <w:rPr>
                <w:b/>
              </w:rPr>
              <w:t>two</w:t>
            </w:r>
            <w:r w:rsidRPr="00A65F2D">
              <w:t xml:space="preserve"> major types of scientific and archaeological evidence of Australian First Nations Peoples being the oldest, continuous living cultures in the world, (e.g. the concept of Deep Time, Mungo woman, Mungo man, </w:t>
            </w:r>
            <w:proofErr w:type="spellStart"/>
            <w:r w:rsidRPr="00A65F2D">
              <w:t>Kakadu</w:t>
            </w:r>
            <w:proofErr w:type="spellEnd"/>
            <w:r w:rsidRPr="00A65F2D">
              <w:t xml:space="preserve"> National Park Rock Art/artefacts, </w:t>
            </w:r>
            <w:proofErr w:type="spellStart"/>
            <w:r w:rsidRPr="00A65F2D">
              <w:t>Murujuga</w:t>
            </w:r>
            <w:proofErr w:type="spellEnd"/>
            <w:r w:rsidRPr="00A65F2D">
              <w:t xml:space="preserve"> National Park Indigenous heritage and rock art, Barrow Island artefacts, genomic testing)</w:t>
            </w:r>
          </w:p>
          <w:p w14:paraId="6D1C7682" w14:textId="77777777" w:rsidR="00CF4E82" w:rsidRPr="001E01A7" w:rsidRDefault="00CF4E82" w:rsidP="00810870">
            <w:pPr>
              <w:pStyle w:val="Listbullettable"/>
              <w:rPr>
                <w:rFonts w:eastAsiaTheme="minorEastAsia" w:cstheme="minorBidi"/>
                <w:bCs/>
              </w:rPr>
            </w:pPr>
            <w:r w:rsidRPr="00A65F2D">
              <w:rPr>
                <w:b/>
              </w:rPr>
              <w:t>two</w:t>
            </w:r>
            <w:r w:rsidRPr="00A65F2D">
              <w:t xml:space="preserve"> examples of Australian First Nations Peoples’ beliefs as shown in creation stories about their origins and location in Australia, (e.g. dreaming stories and </w:t>
            </w:r>
            <w:proofErr w:type="spellStart"/>
            <w:r>
              <w:t>S</w:t>
            </w:r>
            <w:r w:rsidRPr="00A65F2D">
              <w:t>onglines</w:t>
            </w:r>
            <w:proofErr w:type="spellEnd"/>
            <w:r w:rsidRPr="00A65F2D">
              <w:t xml:space="preserve">, such as the Rainbow Serpent, the Seven Sisters, </w:t>
            </w:r>
            <w:proofErr w:type="spellStart"/>
            <w:r w:rsidRPr="00A65F2D">
              <w:t>Malo</w:t>
            </w:r>
            <w:proofErr w:type="spellEnd"/>
            <w:r w:rsidRPr="00A65F2D">
              <w:t xml:space="preserve"> </w:t>
            </w:r>
            <w:proofErr w:type="spellStart"/>
            <w:r w:rsidRPr="00A65F2D">
              <w:t>Bamai</w:t>
            </w:r>
            <w:proofErr w:type="spellEnd"/>
            <w:r w:rsidRPr="00A65F2D">
              <w:t xml:space="preserve">, the </w:t>
            </w:r>
            <w:proofErr w:type="spellStart"/>
            <w:r w:rsidRPr="00A65F2D">
              <w:t>Mimis</w:t>
            </w:r>
            <w:proofErr w:type="spellEnd"/>
            <w:r w:rsidRPr="00A65F2D">
              <w:t xml:space="preserve">, the Min </w:t>
            </w:r>
            <w:proofErr w:type="spellStart"/>
            <w:r w:rsidRPr="00A65F2D">
              <w:t>Min</w:t>
            </w:r>
            <w:proofErr w:type="spellEnd"/>
            <w:r w:rsidRPr="00A65F2D">
              <w:t xml:space="preserve"> Lights, </w:t>
            </w:r>
            <w:proofErr w:type="spellStart"/>
            <w:r w:rsidRPr="00A65F2D">
              <w:t>Mulka</w:t>
            </w:r>
            <w:proofErr w:type="spellEnd"/>
            <w:r w:rsidRPr="00A65F2D">
              <w:t>)</w:t>
            </w:r>
          </w:p>
          <w:p w14:paraId="77FB39A8" w14:textId="77777777" w:rsidR="00CF4E82" w:rsidRPr="00A65F2D" w:rsidRDefault="00CF4E82" w:rsidP="00810870">
            <w:pPr>
              <w:pStyle w:val="Listbullettable"/>
            </w:pPr>
            <w:r w:rsidRPr="00A65F2D">
              <w:t>the diversity of Australians First Nations Peoples including:</w:t>
            </w:r>
          </w:p>
          <w:p w14:paraId="7BDFD98A" w14:textId="77777777" w:rsidR="00CF4E82" w:rsidRPr="00A65F2D" w:rsidRDefault="00CF4E82" w:rsidP="00810870">
            <w:pPr>
              <w:pStyle w:val="Listbullet2table"/>
            </w:pPr>
            <w:r w:rsidRPr="00A65F2D">
              <w:t xml:space="preserve">languages </w:t>
            </w:r>
          </w:p>
          <w:p w14:paraId="55A9788B" w14:textId="77777777" w:rsidR="00CF4E82" w:rsidRPr="00A65F2D" w:rsidRDefault="00CF4E82" w:rsidP="00810870">
            <w:pPr>
              <w:pStyle w:val="Listbullet2table"/>
            </w:pPr>
            <w:r w:rsidRPr="00A65F2D">
              <w:t>population distribution</w:t>
            </w:r>
          </w:p>
          <w:p w14:paraId="61825E9C" w14:textId="77777777" w:rsidR="00CF4E82" w:rsidRPr="00A65F2D" w:rsidRDefault="00CF4E82" w:rsidP="00810870">
            <w:pPr>
              <w:pStyle w:val="Listbullet2table"/>
            </w:pPr>
            <w:r w:rsidRPr="00A65F2D">
              <w:t xml:space="preserve">graphic representations of Australian First Nations Peoples’ geographic locations, place names and landscape features, such as maps, artwork, and </w:t>
            </w:r>
            <w:proofErr w:type="spellStart"/>
            <w:r>
              <w:t>S</w:t>
            </w:r>
            <w:r w:rsidRPr="00A65F2D">
              <w:t>onglines</w:t>
            </w:r>
            <w:proofErr w:type="spellEnd"/>
          </w:p>
          <w:p w14:paraId="61747903" w14:textId="77777777" w:rsidR="00642E62" w:rsidRPr="00642E62" w:rsidRDefault="00642E62" w:rsidP="00810870">
            <w:pPr>
              <w:pStyle w:val="Heading1table"/>
              <w:rPr>
                <w:rFonts w:eastAsiaTheme="minorEastAsia"/>
              </w:rPr>
            </w:pPr>
            <w:r w:rsidRPr="00642E62">
              <w:rPr>
                <w:rFonts w:eastAsiaTheme="minorEastAsia"/>
              </w:rPr>
              <w:t>Intercultural skills</w:t>
            </w:r>
          </w:p>
          <w:p w14:paraId="4C5348F9" w14:textId="77777777" w:rsidR="00D55CF4" w:rsidRPr="00292291" w:rsidRDefault="00BA72C0" w:rsidP="00810870">
            <w:pPr>
              <w:pStyle w:val="Listbullettable"/>
              <w:rPr>
                <w:rFonts w:eastAsiaTheme="minorEastAsia"/>
              </w:rPr>
            </w:pPr>
            <w:r w:rsidRPr="00292291">
              <w:rPr>
                <w:rFonts w:eastAsiaTheme="minorEastAsia"/>
              </w:rPr>
              <w:t>Evaluating and communicating</w:t>
            </w:r>
            <w:r w:rsidR="00D55CF4" w:rsidRPr="00292291">
              <w:rPr>
                <w:rFonts w:eastAsiaTheme="minorEastAsia"/>
              </w:rPr>
              <w:t xml:space="preserve"> </w:t>
            </w:r>
          </w:p>
          <w:p w14:paraId="0F4CE877" w14:textId="3F04FA15" w:rsidR="00DD4E87" w:rsidRPr="00016F22" w:rsidRDefault="00D55CF4" w:rsidP="00016F22">
            <w:pPr>
              <w:pStyle w:val="Listbullettable"/>
              <w:rPr>
                <w:rFonts w:cs="Calibri"/>
                <w:bCs/>
              </w:rPr>
            </w:pPr>
            <w:r w:rsidRPr="00016F22">
              <w:rPr>
                <w:rFonts w:eastAsiaTheme="minorEastAsia"/>
              </w:rPr>
              <w:t xml:space="preserve">Analysis and use of sources </w:t>
            </w:r>
          </w:p>
        </w:tc>
      </w:tr>
      <w:tr w:rsidR="009B6BB2" w:rsidRPr="00813951" w14:paraId="294E2BB9" w14:textId="77777777" w:rsidTr="00C74098">
        <w:tc>
          <w:tcPr>
            <w:tcW w:w="993" w:type="dxa"/>
            <w:shd w:val="clear" w:color="auto" w:fill="E4D8EB" w:themeFill="accent4" w:themeFillTint="66"/>
            <w:vAlign w:val="center"/>
            <w:hideMark/>
          </w:tcPr>
          <w:p w14:paraId="63A2F8B0" w14:textId="77777777" w:rsidR="009B6BB2" w:rsidRPr="00813951" w:rsidRDefault="009B6BB2" w:rsidP="009B6BB2">
            <w:pPr>
              <w:jc w:val="center"/>
              <w:rPr>
                <w:rFonts w:cstheme="minorHAnsi"/>
                <w:szCs w:val="20"/>
              </w:rPr>
            </w:pPr>
            <w:r w:rsidRPr="00813951">
              <w:rPr>
                <w:rFonts w:cstheme="minorHAnsi"/>
                <w:szCs w:val="20"/>
              </w:rPr>
              <w:t>4–</w:t>
            </w:r>
            <w:r>
              <w:rPr>
                <w:rFonts w:cstheme="minorHAnsi"/>
                <w:szCs w:val="20"/>
              </w:rPr>
              <w:t>5</w:t>
            </w:r>
          </w:p>
        </w:tc>
        <w:tc>
          <w:tcPr>
            <w:tcW w:w="8363" w:type="dxa"/>
          </w:tcPr>
          <w:p w14:paraId="7E2B578B" w14:textId="77777777" w:rsidR="009B6BB2" w:rsidRPr="00AC79B8" w:rsidRDefault="009B6BB2" w:rsidP="00810870">
            <w:pPr>
              <w:pStyle w:val="Listbullettable"/>
              <w:rPr>
                <w:rFonts w:eastAsiaTheme="minorEastAsia"/>
              </w:rPr>
            </w:pPr>
            <w:r w:rsidRPr="00AC79B8">
              <w:rPr>
                <w:rFonts w:eastAsiaTheme="minorEastAsia"/>
              </w:rPr>
              <w:t>Australian First Nations Peoples’ expressions of individual and group cultural identity</w:t>
            </w:r>
            <w:r w:rsidR="003809B1">
              <w:rPr>
                <w:rFonts w:eastAsiaTheme="minorEastAsia"/>
              </w:rPr>
              <w:t>,</w:t>
            </w:r>
            <w:r w:rsidRPr="00AC79B8">
              <w:rPr>
                <w:rFonts w:eastAsiaTheme="minorEastAsia"/>
              </w:rPr>
              <w:t xml:space="preserve"> including:</w:t>
            </w:r>
          </w:p>
          <w:p w14:paraId="5FCA6701" w14:textId="77777777" w:rsidR="009B6BB2" w:rsidRPr="005709DE" w:rsidRDefault="00642E62" w:rsidP="00810870">
            <w:pPr>
              <w:pStyle w:val="Listbullet2table"/>
            </w:pPr>
            <w:r w:rsidRPr="005709DE">
              <w:t>language</w:t>
            </w:r>
          </w:p>
          <w:p w14:paraId="72DE86C6" w14:textId="77777777" w:rsidR="009B6BB2" w:rsidRPr="005709DE" w:rsidRDefault="00642E62" w:rsidP="00810870">
            <w:pPr>
              <w:pStyle w:val="Listbullet2table"/>
            </w:pPr>
            <w:r w:rsidRPr="005709DE">
              <w:t>spiritual beliefs</w:t>
            </w:r>
          </w:p>
          <w:p w14:paraId="5DE54BF8" w14:textId="46D0EA48" w:rsidR="003809B1" w:rsidRDefault="00642E62" w:rsidP="00810870">
            <w:pPr>
              <w:pStyle w:val="Listbullet2table"/>
            </w:pPr>
            <w:r w:rsidRPr="005709DE">
              <w:t>kinship structures</w:t>
            </w:r>
          </w:p>
          <w:p w14:paraId="40A0549E" w14:textId="0D5F6EB0" w:rsidR="009B6BB2" w:rsidRPr="005709DE" w:rsidRDefault="00642E62" w:rsidP="00810870">
            <w:pPr>
              <w:pStyle w:val="Listbullet2table"/>
            </w:pPr>
            <w:r w:rsidRPr="005709DE">
              <w:t xml:space="preserve">the leadership roles of </w:t>
            </w:r>
            <w:r w:rsidR="00016F22">
              <w:t>E</w:t>
            </w:r>
            <w:r w:rsidRPr="005709DE">
              <w:t>lders in the community</w:t>
            </w:r>
          </w:p>
          <w:p w14:paraId="61DAFDF9" w14:textId="229A32F8" w:rsidR="009B6BB2" w:rsidRPr="00A35963" w:rsidRDefault="00642E62" w:rsidP="00810870">
            <w:pPr>
              <w:pStyle w:val="Listbullet2table"/>
              <w:rPr>
                <w:rFonts w:asciiTheme="minorHAnsi" w:hAnsiTheme="minorHAnsi" w:cstheme="minorHAnsi"/>
              </w:rPr>
            </w:pPr>
            <w:r w:rsidRPr="005709DE">
              <w:t xml:space="preserve">connection to </w:t>
            </w:r>
            <w:r w:rsidR="003809B1">
              <w:t>C</w:t>
            </w:r>
            <w:r w:rsidRPr="005709DE">
              <w:t xml:space="preserve">ountry and knowledge of </w:t>
            </w:r>
            <w:r w:rsidR="003809B1">
              <w:t>C</w:t>
            </w:r>
            <w:r w:rsidRPr="005709DE">
              <w:t>ountry</w:t>
            </w:r>
          </w:p>
        </w:tc>
      </w:tr>
      <w:tr w:rsidR="009B6BB2" w:rsidRPr="00813951" w14:paraId="003102D9" w14:textId="77777777" w:rsidTr="00C74098">
        <w:trPr>
          <w:cantSplit/>
        </w:trPr>
        <w:tc>
          <w:tcPr>
            <w:tcW w:w="993" w:type="dxa"/>
            <w:shd w:val="clear" w:color="auto" w:fill="E4D8EB" w:themeFill="accent4" w:themeFillTint="66"/>
            <w:vAlign w:val="center"/>
            <w:hideMark/>
          </w:tcPr>
          <w:p w14:paraId="36F0321F" w14:textId="77777777" w:rsidR="009B6BB2" w:rsidRPr="009B6BB2" w:rsidRDefault="009B6BB2" w:rsidP="009B6BB2">
            <w:pPr>
              <w:jc w:val="center"/>
              <w:rPr>
                <w:rFonts w:cstheme="minorHAnsi"/>
                <w:sz w:val="22"/>
              </w:rPr>
            </w:pPr>
            <w:r w:rsidRPr="0034284A">
              <w:rPr>
                <w:rFonts w:cstheme="minorHAnsi"/>
              </w:rPr>
              <w:t>6</w:t>
            </w:r>
          </w:p>
        </w:tc>
        <w:tc>
          <w:tcPr>
            <w:tcW w:w="8363" w:type="dxa"/>
          </w:tcPr>
          <w:p w14:paraId="37BFA7E7" w14:textId="79A1F2BD" w:rsidR="009B6BB2" w:rsidRPr="00AC79B8" w:rsidRDefault="003809B1" w:rsidP="00810870">
            <w:pPr>
              <w:pStyle w:val="Listbullettable"/>
              <w:rPr>
                <w:rFonts w:eastAsiaTheme="minorEastAsia"/>
              </w:rPr>
            </w:pPr>
            <w:r>
              <w:rPr>
                <w:rFonts w:eastAsiaTheme="minorEastAsia"/>
              </w:rPr>
              <w:t>t</w:t>
            </w:r>
            <w:r w:rsidR="009B6BB2" w:rsidRPr="00AC79B8">
              <w:rPr>
                <w:rFonts w:eastAsiaTheme="minorEastAsia"/>
              </w:rPr>
              <w:t>he Aboriginal Flag and the Torres Strait Islander flag, including:</w:t>
            </w:r>
          </w:p>
          <w:p w14:paraId="4E991E30" w14:textId="77777777" w:rsidR="009B6BB2" w:rsidRPr="005709DE" w:rsidRDefault="006309DF" w:rsidP="00810870">
            <w:pPr>
              <w:pStyle w:val="Listbullet2table"/>
            </w:pPr>
            <w:r>
              <w:t>t</w:t>
            </w:r>
            <w:r w:rsidR="009B6BB2" w:rsidRPr="005709DE">
              <w:t>he background to the design of the Aboriginal flag by Harold Thomas</w:t>
            </w:r>
          </w:p>
          <w:p w14:paraId="6327E609" w14:textId="77777777" w:rsidR="009B6BB2" w:rsidRPr="005709DE" w:rsidRDefault="006309DF" w:rsidP="00810870">
            <w:pPr>
              <w:pStyle w:val="Listbullet2table"/>
            </w:pPr>
            <w:r>
              <w:t>t</w:t>
            </w:r>
            <w:r w:rsidR="009B6BB2" w:rsidRPr="005709DE">
              <w:t xml:space="preserve">he background to the design of the Torres Strait Islands flag by Bernard </w:t>
            </w:r>
            <w:proofErr w:type="spellStart"/>
            <w:r w:rsidR="009B6BB2" w:rsidRPr="005709DE">
              <w:t>Namok</w:t>
            </w:r>
            <w:proofErr w:type="spellEnd"/>
            <w:r w:rsidR="009B6BB2" w:rsidRPr="005709DE">
              <w:t xml:space="preserve"> </w:t>
            </w:r>
          </w:p>
          <w:p w14:paraId="0CB0D5DE" w14:textId="77777777" w:rsidR="009B6BB2" w:rsidRPr="005709DE" w:rsidRDefault="006309DF" w:rsidP="00810870">
            <w:pPr>
              <w:pStyle w:val="Listbullet2table"/>
            </w:pPr>
            <w:r>
              <w:t>t</w:t>
            </w:r>
            <w:r w:rsidR="009B6BB2" w:rsidRPr="005709DE">
              <w:t xml:space="preserve">he significance of the </w:t>
            </w:r>
            <w:proofErr w:type="spellStart"/>
            <w:r w:rsidR="009B6BB2" w:rsidRPr="005709DE">
              <w:t>colour</w:t>
            </w:r>
            <w:proofErr w:type="spellEnd"/>
            <w:r w:rsidR="009B6BB2" w:rsidRPr="005709DE">
              <w:t>, shapes and/or symbols on the flags</w:t>
            </w:r>
          </w:p>
          <w:p w14:paraId="77095D04" w14:textId="77777777" w:rsidR="006309DF" w:rsidRPr="006309DF" w:rsidRDefault="006309DF" w:rsidP="00810870">
            <w:pPr>
              <w:pStyle w:val="Listbullet2table"/>
            </w:pPr>
            <w:r w:rsidRPr="006309DF">
              <w:t>examples of the flags as a symbol of identity and unity</w:t>
            </w:r>
          </w:p>
          <w:p w14:paraId="3D426B93" w14:textId="398A0AB0" w:rsidR="00BA72C0" w:rsidRPr="00BA72C0" w:rsidRDefault="00DD4E87" w:rsidP="00810870">
            <w:pPr>
              <w:pStyle w:val="Listbullet2table"/>
            </w:pPr>
            <w:r>
              <w:t>c</w:t>
            </w:r>
            <w:r w:rsidR="00BA72C0" w:rsidRPr="00BA72C0">
              <w:t xml:space="preserve">hanging recognition and use of the flags over time and the inclusion of these flags in the </w:t>
            </w:r>
            <w:r>
              <w:t>‘</w:t>
            </w:r>
            <w:r w:rsidR="00BA72C0" w:rsidRPr="00BA72C0">
              <w:t xml:space="preserve">Flags of Australia’ under the </w:t>
            </w:r>
            <w:r w:rsidR="00BA72C0" w:rsidRPr="006309DF">
              <w:rPr>
                <w:i/>
              </w:rPr>
              <w:t>Flags Act 1953</w:t>
            </w:r>
          </w:p>
          <w:p w14:paraId="3825A977" w14:textId="7A972B7F" w:rsidR="00BA72C0" w:rsidRDefault="00DD4E87" w:rsidP="00810870">
            <w:pPr>
              <w:pStyle w:val="Listbullet2table"/>
            </w:pPr>
            <w:r>
              <w:t>c</w:t>
            </w:r>
            <w:r w:rsidR="00BA72C0" w:rsidRPr="00BA72C0">
              <w:t xml:space="preserve">opyright and ownership issues </w:t>
            </w:r>
            <w:r w:rsidR="00642E62">
              <w:t>relating to the Aboriginal flag</w:t>
            </w:r>
          </w:p>
          <w:p w14:paraId="17E30383" w14:textId="77777777" w:rsidR="006309DF" w:rsidRPr="00642E62" w:rsidRDefault="006309DF" w:rsidP="00810870">
            <w:pPr>
              <w:pStyle w:val="Heading1table"/>
              <w:rPr>
                <w:rFonts w:eastAsiaTheme="minorEastAsia"/>
              </w:rPr>
            </w:pPr>
            <w:r w:rsidRPr="00642E62">
              <w:rPr>
                <w:rFonts w:eastAsiaTheme="minorEastAsia"/>
              </w:rPr>
              <w:t>Intercultural skills</w:t>
            </w:r>
          </w:p>
          <w:p w14:paraId="7B0A84CA" w14:textId="77777777" w:rsidR="00292291" w:rsidRPr="00292291" w:rsidRDefault="00292291" w:rsidP="00810870">
            <w:pPr>
              <w:pStyle w:val="Listbullettable"/>
              <w:rPr>
                <w:rFonts w:eastAsiaTheme="minorEastAsia"/>
              </w:rPr>
            </w:pPr>
            <w:r w:rsidRPr="00292291">
              <w:rPr>
                <w:rFonts w:eastAsiaTheme="minorEastAsia"/>
              </w:rPr>
              <w:t xml:space="preserve">Analysis and use of sources </w:t>
            </w:r>
          </w:p>
          <w:p w14:paraId="5D952F2B" w14:textId="77777777" w:rsidR="00BA72C0" w:rsidRPr="00D55CF4" w:rsidRDefault="00BA72C0" w:rsidP="00810870">
            <w:pPr>
              <w:pStyle w:val="Listbullettable"/>
              <w:rPr>
                <w:rFonts w:eastAsiaTheme="minorEastAsia"/>
              </w:rPr>
            </w:pPr>
            <w:r w:rsidRPr="00D55CF4">
              <w:rPr>
                <w:rFonts w:eastAsiaTheme="minorEastAsia"/>
              </w:rPr>
              <w:t>Evaluating and communicating</w:t>
            </w:r>
            <w:r w:rsidR="00D55CF4">
              <w:rPr>
                <w:rFonts w:eastAsiaTheme="minorEastAsia"/>
              </w:rPr>
              <w:t xml:space="preserve"> </w:t>
            </w:r>
          </w:p>
          <w:p w14:paraId="3F3F7324" w14:textId="77777777" w:rsidR="00A35963" w:rsidRPr="00A35963" w:rsidRDefault="00A35963" w:rsidP="00810870">
            <w:pPr>
              <w:pStyle w:val="Heading1table"/>
            </w:pPr>
            <w:r>
              <w:t>Task 2: Response</w:t>
            </w:r>
          </w:p>
        </w:tc>
      </w:tr>
      <w:tr w:rsidR="009B6BB2" w:rsidRPr="00813951" w14:paraId="25D0C563" w14:textId="77777777" w:rsidTr="00C74098">
        <w:tc>
          <w:tcPr>
            <w:tcW w:w="993" w:type="dxa"/>
            <w:shd w:val="clear" w:color="auto" w:fill="E4D8EB" w:themeFill="accent4" w:themeFillTint="66"/>
            <w:vAlign w:val="center"/>
            <w:hideMark/>
          </w:tcPr>
          <w:p w14:paraId="7346FF58" w14:textId="77777777" w:rsidR="009B6BB2" w:rsidRPr="00813951" w:rsidRDefault="00AC79B8" w:rsidP="009B6BB2">
            <w:pPr>
              <w:jc w:val="center"/>
              <w:rPr>
                <w:rFonts w:cstheme="minorHAnsi"/>
                <w:szCs w:val="20"/>
              </w:rPr>
            </w:pPr>
            <w:r>
              <w:rPr>
                <w:rFonts w:cstheme="minorHAnsi"/>
                <w:szCs w:val="20"/>
              </w:rPr>
              <w:lastRenderedPageBreak/>
              <w:t>7–10</w:t>
            </w:r>
          </w:p>
        </w:tc>
        <w:tc>
          <w:tcPr>
            <w:tcW w:w="8363" w:type="dxa"/>
          </w:tcPr>
          <w:p w14:paraId="013A2744" w14:textId="5699CB8E" w:rsidR="00221A50" w:rsidRPr="006309DF" w:rsidRDefault="006309DF" w:rsidP="00016F22">
            <w:pPr>
              <w:pStyle w:val="Bodytable"/>
              <w:spacing w:before="0" w:after="0"/>
              <w:ind w:right="-28"/>
              <w:rPr>
                <w:rFonts w:asciiTheme="minorHAnsi" w:hAnsiTheme="minorHAnsi" w:cstheme="minorHAnsi"/>
                <w:b/>
              </w:rPr>
            </w:pPr>
            <w:r>
              <w:rPr>
                <w:rFonts w:asciiTheme="minorHAnsi" w:hAnsiTheme="minorHAnsi" w:cstheme="minorHAnsi"/>
                <w:b/>
              </w:rPr>
              <w:t xml:space="preserve">Depth </w:t>
            </w:r>
            <w:r w:rsidR="00DD4E87">
              <w:rPr>
                <w:rFonts w:asciiTheme="minorHAnsi" w:hAnsiTheme="minorHAnsi" w:cstheme="minorHAnsi"/>
                <w:b/>
              </w:rPr>
              <w:t>S</w:t>
            </w:r>
            <w:r>
              <w:rPr>
                <w:rFonts w:asciiTheme="minorHAnsi" w:hAnsiTheme="minorHAnsi" w:cstheme="minorHAnsi"/>
                <w:b/>
              </w:rPr>
              <w:t xml:space="preserve">tudy </w:t>
            </w:r>
            <w:r w:rsidR="00DD4E87">
              <w:rPr>
                <w:rFonts w:asciiTheme="minorHAnsi" w:hAnsiTheme="minorHAnsi" w:cstheme="minorHAnsi"/>
                <w:b/>
              </w:rPr>
              <w:t>O</w:t>
            </w:r>
            <w:r w:rsidR="006A6E18" w:rsidRPr="00AC79B8">
              <w:rPr>
                <w:rFonts w:asciiTheme="minorHAnsi" w:hAnsiTheme="minorHAnsi" w:cstheme="minorHAnsi"/>
                <w:b/>
              </w:rPr>
              <w:t>ne</w:t>
            </w:r>
            <w:r w:rsidR="00016F22">
              <w:rPr>
                <w:rFonts w:asciiTheme="minorHAnsi" w:hAnsiTheme="minorHAnsi" w:cstheme="minorHAnsi"/>
                <w:bCs/>
              </w:rPr>
              <w:t xml:space="preserve"> –</w:t>
            </w:r>
            <w:r w:rsidR="00221A50" w:rsidRPr="00221A50">
              <w:t>Through community experiences and/or secondary sources, and by privileging First Nations Peoples’ voices and perspectives, students investigate the cultural identity of one Western Australian First Nations Peoples and one International First Nations Peoples, such as the Maori, the Dayak people of Borneo, the Inuit, the First Nations Peoples of North America, the Karen people of Burma, the Tibetan people, and/or the Khoikhoi peoples of South Africa.</w:t>
            </w:r>
          </w:p>
          <w:p w14:paraId="2F011998" w14:textId="77777777" w:rsidR="00221A50" w:rsidRPr="00810870" w:rsidRDefault="00221A50" w:rsidP="00810870">
            <w:pPr>
              <w:pStyle w:val="Bodytable"/>
            </w:pPr>
            <w:r w:rsidRPr="00810870">
              <w:t xml:space="preserve">For the </w:t>
            </w:r>
            <w:r w:rsidRPr="00810870">
              <w:rPr>
                <w:b/>
              </w:rPr>
              <w:t>two</w:t>
            </w:r>
            <w:r w:rsidRPr="00810870">
              <w:t xml:space="preserve"> selected First Nations Peoples, students will study where applicable: </w:t>
            </w:r>
          </w:p>
          <w:p w14:paraId="583FB768" w14:textId="77777777" w:rsidR="00221A50" w:rsidRPr="00221A50" w:rsidRDefault="00221A50" w:rsidP="00810870">
            <w:pPr>
              <w:pStyle w:val="Listbullettable"/>
              <w:rPr>
                <w:rFonts w:eastAsia="Franklin Gothic Book"/>
              </w:rPr>
            </w:pPr>
            <w:r w:rsidRPr="00221A50">
              <w:rPr>
                <w:rFonts w:eastAsia="Franklin Gothic Book"/>
              </w:rPr>
              <w:t>the range of languages and geographical locations</w:t>
            </w:r>
          </w:p>
          <w:p w14:paraId="1F6BF84C" w14:textId="053FB5FE" w:rsidR="00221A50" w:rsidRPr="00221A50" w:rsidRDefault="00221A50" w:rsidP="00810870">
            <w:pPr>
              <w:pStyle w:val="Listbullettable"/>
              <w:rPr>
                <w:rFonts w:eastAsia="Franklin Gothic Book"/>
              </w:rPr>
            </w:pPr>
            <w:r w:rsidRPr="00221A50">
              <w:rPr>
                <w:rFonts w:eastAsia="Franklin Gothic Book"/>
              </w:rPr>
              <w:t>examples of factors that contribute to the cultural identity of the selected First Nations Peoples, including:</w:t>
            </w:r>
          </w:p>
          <w:p w14:paraId="0C213FCC" w14:textId="77777777" w:rsidR="00221A50" w:rsidRPr="00221A50" w:rsidRDefault="00221A50" w:rsidP="00810870">
            <w:pPr>
              <w:pStyle w:val="Listbullet2table"/>
            </w:pPr>
            <w:r w:rsidRPr="00221A50">
              <w:t>spirituality, Dreaming stories</w:t>
            </w:r>
          </w:p>
          <w:p w14:paraId="729933D2" w14:textId="77777777" w:rsidR="00221A50" w:rsidRPr="00221A50" w:rsidRDefault="00221A50" w:rsidP="00810870">
            <w:pPr>
              <w:pStyle w:val="Listbullet2table"/>
            </w:pPr>
            <w:r w:rsidRPr="00221A50">
              <w:t>knowledge of Country</w:t>
            </w:r>
          </w:p>
          <w:p w14:paraId="7A6600C3" w14:textId="77777777" w:rsidR="00221A50" w:rsidRPr="00221A50" w:rsidRDefault="00221A50" w:rsidP="00810870">
            <w:pPr>
              <w:pStyle w:val="Listbullet2table"/>
            </w:pPr>
            <w:r w:rsidRPr="00221A50">
              <w:t>kinship and family structures</w:t>
            </w:r>
          </w:p>
          <w:p w14:paraId="3638343F" w14:textId="77777777" w:rsidR="00221A50" w:rsidRPr="00221A50" w:rsidRDefault="00221A50" w:rsidP="00810870">
            <w:pPr>
              <w:pStyle w:val="Listbullettable"/>
              <w:rPr>
                <w:rFonts w:eastAsia="Franklin Gothic Book"/>
              </w:rPr>
            </w:pPr>
            <w:r w:rsidRPr="00221A50">
              <w:rPr>
                <w:rFonts w:eastAsia="Franklin Gothic Book"/>
              </w:rPr>
              <w:t>perspectives and experiences of ‘</w:t>
            </w:r>
            <w:proofErr w:type="spellStart"/>
            <w:r w:rsidRPr="00221A50">
              <w:rPr>
                <w:rFonts w:eastAsia="Franklin Gothic Book"/>
              </w:rPr>
              <w:t>colonisation</w:t>
            </w:r>
            <w:proofErr w:type="spellEnd"/>
            <w:r w:rsidRPr="00221A50">
              <w:rPr>
                <w:rFonts w:eastAsia="Franklin Gothic Book"/>
              </w:rPr>
              <w:t>’</w:t>
            </w:r>
          </w:p>
          <w:p w14:paraId="25393506" w14:textId="77777777" w:rsidR="00221A50" w:rsidRPr="00221A50" w:rsidRDefault="00221A50" w:rsidP="00810870">
            <w:pPr>
              <w:pStyle w:val="Listbullettable"/>
              <w:rPr>
                <w:rFonts w:eastAsia="Franklin Gothic Book"/>
              </w:rPr>
            </w:pPr>
            <w:r w:rsidRPr="00221A50">
              <w:rPr>
                <w:rFonts w:eastAsia="Franklin Gothic Book"/>
              </w:rPr>
              <w:t>places of significance and importance, including why they are significant</w:t>
            </w:r>
          </w:p>
          <w:p w14:paraId="1EB3DC62" w14:textId="77777777" w:rsidR="006309DF" w:rsidRPr="00642E62" w:rsidRDefault="006309DF" w:rsidP="00EF703B">
            <w:pPr>
              <w:pStyle w:val="Heading1table"/>
              <w:spacing w:after="0"/>
              <w:rPr>
                <w:rFonts w:eastAsiaTheme="minorEastAsia"/>
              </w:rPr>
            </w:pPr>
            <w:r w:rsidRPr="00642E62">
              <w:rPr>
                <w:rFonts w:eastAsiaTheme="minorEastAsia"/>
              </w:rPr>
              <w:t>Intercultural skills</w:t>
            </w:r>
          </w:p>
          <w:p w14:paraId="751A4DBA" w14:textId="77777777" w:rsidR="00BA72C0" w:rsidRDefault="00BA72C0" w:rsidP="00810870">
            <w:pPr>
              <w:pStyle w:val="Listbullettable"/>
            </w:pPr>
            <w:r w:rsidRPr="00D55CF4">
              <w:t>Research</w:t>
            </w:r>
            <w:r w:rsidR="00221A50">
              <w:t xml:space="preserve"> </w:t>
            </w:r>
          </w:p>
          <w:p w14:paraId="0D24C645" w14:textId="77777777" w:rsidR="00221A50" w:rsidRPr="00221A50" w:rsidRDefault="00221A50" w:rsidP="00810870">
            <w:pPr>
              <w:pStyle w:val="Listbullettable"/>
              <w:rPr>
                <w:iCs/>
              </w:rPr>
            </w:pPr>
            <w:r w:rsidRPr="00221A50">
              <w:rPr>
                <w:iCs/>
              </w:rPr>
              <w:t xml:space="preserve">Analysis and use of sources </w:t>
            </w:r>
          </w:p>
          <w:p w14:paraId="56D6F58B" w14:textId="77777777" w:rsidR="00221A50" w:rsidRPr="00221A50" w:rsidRDefault="00221A50" w:rsidP="00810870">
            <w:pPr>
              <w:pStyle w:val="Listbullettable"/>
            </w:pPr>
            <w:r w:rsidRPr="00221A50">
              <w:t xml:space="preserve">Evaluating and communicating </w:t>
            </w:r>
          </w:p>
          <w:p w14:paraId="0F96C358" w14:textId="77777777" w:rsidR="00293FE6" w:rsidRPr="00293FE6" w:rsidRDefault="00293FE6" w:rsidP="00EF703B">
            <w:pPr>
              <w:pStyle w:val="Heading1table"/>
              <w:spacing w:after="0"/>
              <w:rPr>
                <w:rFonts w:eastAsiaTheme="minorEastAsia"/>
              </w:rPr>
            </w:pPr>
            <w:r w:rsidRPr="00545AF7">
              <w:t>Task 3: Inquiry</w:t>
            </w:r>
          </w:p>
        </w:tc>
      </w:tr>
      <w:tr w:rsidR="009B6BB2" w:rsidRPr="00813951" w14:paraId="5BC173EE" w14:textId="77777777" w:rsidTr="00C74098">
        <w:tc>
          <w:tcPr>
            <w:tcW w:w="993" w:type="dxa"/>
            <w:shd w:val="clear" w:color="auto" w:fill="E4D8EB" w:themeFill="accent4" w:themeFillTint="66"/>
            <w:vAlign w:val="center"/>
            <w:hideMark/>
          </w:tcPr>
          <w:p w14:paraId="55312634" w14:textId="77777777" w:rsidR="009B6BB2" w:rsidRPr="00813951" w:rsidRDefault="00AC79B8" w:rsidP="009B6BB2">
            <w:pPr>
              <w:jc w:val="center"/>
              <w:rPr>
                <w:rFonts w:cstheme="minorHAnsi"/>
                <w:szCs w:val="20"/>
              </w:rPr>
            </w:pPr>
            <w:r>
              <w:rPr>
                <w:rFonts w:cstheme="minorHAnsi"/>
                <w:szCs w:val="20"/>
              </w:rPr>
              <w:t>11–12</w:t>
            </w:r>
          </w:p>
        </w:tc>
        <w:tc>
          <w:tcPr>
            <w:tcW w:w="8363" w:type="dxa"/>
          </w:tcPr>
          <w:p w14:paraId="59937E6B" w14:textId="77777777" w:rsidR="00221A50" w:rsidRPr="00221A50" w:rsidRDefault="00221A50" w:rsidP="00810870">
            <w:pPr>
              <w:pStyle w:val="Listbullettable"/>
              <w:rPr>
                <w:rFonts w:eastAsia="Franklin Gothic Book"/>
              </w:rPr>
            </w:pPr>
            <w:r w:rsidRPr="00221A50">
              <w:rPr>
                <w:rFonts w:eastAsia="Franklin Gothic Book"/>
                <w:b/>
              </w:rPr>
              <w:t>one</w:t>
            </w:r>
            <w:r w:rsidRPr="00221A50">
              <w:rPr>
                <w:rFonts w:eastAsia="Franklin Gothic Book"/>
              </w:rPr>
              <w:t xml:space="preserve"> significant First Nations individual, group or </w:t>
            </w:r>
            <w:proofErr w:type="spellStart"/>
            <w:r w:rsidRPr="00221A50">
              <w:rPr>
                <w:rFonts w:eastAsia="Franklin Gothic Book"/>
              </w:rPr>
              <w:t>organisation</w:t>
            </w:r>
            <w:proofErr w:type="spellEnd"/>
            <w:r w:rsidRPr="00221A50">
              <w:rPr>
                <w:rFonts w:eastAsia="Franklin Gothic Book"/>
              </w:rPr>
              <w:t xml:space="preserve"> and their contribution to </w:t>
            </w:r>
            <w:r w:rsidRPr="00221A50">
              <w:rPr>
                <w:rFonts w:eastAsia="Franklin Gothic Book"/>
                <w:b/>
              </w:rPr>
              <w:t>two</w:t>
            </w:r>
            <w:r w:rsidRPr="00221A50">
              <w:rPr>
                <w:rFonts w:eastAsia="Franklin Gothic Book"/>
              </w:rPr>
              <w:t xml:space="preserve"> of the following:</w:t>
            </w:r>
          </w:p>
          <w:p w14:paraId="0A65AD6F" w14:textId="77777777" w:rsidR="00221A50" w:rsidRPr="00221A50" w:rsidRDefault="00221A50" w:rsidP="00810870">
            <w:pPr>
              <w:pStyle w:val="Listbullet2table"/>
            </w:pPr>
            <w:r w:rsidRPr="00221A50">
              <w:t xml:space="preserve">the continuation of their culture </w:t>
            </w:r>
          </w:p>
          <w:p w14:paraId="79BB37A3" w14:textId="77777777" w:rsidR="00221A50" w:rsidRPr="00221A50" w:rsidRDefault="00221A50" w:rsidP="00810870">
            <w:pPr>
              <w:pStyle w:val="Listbullet2table"/>
            </w:pPr>
            <w:r w:rsidRPr="00221A50">
              <w:t>promoting First Nations Peoples’ issues in the wider community</w:t>
            </w:r>
          </w:p>
          <w:p w14:paraId="1E5270E3" w14:textId="77777777" w:rsidR="00221A50" w:rsidRPr="006309DF" w:rsidRDefault="00221A50" w:rsidP="00810870">
            <w:pPr>
              <w:pStyle w:val="Listbullet2table"/>
            </w:pPr>
            <w:r w:rsidRPr="00221A50">
              <w:t>being a role model to the younger generation</w:t>
            </w:r>
          </w:p>
        </w:tc>
      </w:tr>
      <w:tr w:rsidR="00AC79B8" w:rsidRPr="00813951" w14:paraId="564D9864" w14:textId="77777777" w:rsidTr="00C74098">
        <w:tc>
          <w:tcPr>
            <w:tcW w:w="993" w:type="dxa"/>
            <w:shd w:val="clear" w:color="auto" w:fill="E4D8EB" w:themeFill="accent4" w:themeFillTint="66"/>
            <w:vAlign w:val="center"/>
          </w:tcPr>
          <w:p w14:paraId="27894588" w14:textId="103A9773" w:rsidR="00AC79B8" w:rsidRDefault="00AC79B8" w:rsidP="008233E8">
            <w:pPr>
              <w:jc w:val="center"/>
              <w:rPr>
                <w:rFonts w:cstheme="minorHAnsi"/>
                <w:szCs w:val="20"/>
              </w:rPr>
            </w:pPr>
            <w:r>
              <w:rPr>
                <w:rFonts w:cstheme="minorHAnsi"/>
                <w:szCs w:val="20"/>
              </w:rPr>
              <w:t>13</w:t>
            </w:r>
            <w:r w:rsidR="008233E8">
              <w:rPr>
                <w:rFonts w:cstheme="minorHAnsi"/>
                <w:szCs w:val="20"/>
              </w:rPr>
              <w:t>–</w:t>
            </w:r>
            <w:r>
              <w:rPr>
                <w:rFonts w:cstheme="minorHAnsi"/>
                <w:szCs w:val="20"/>
              </w:rPr>
              <w:t>16</w:t>
            </w:r>
          </w:p>
        </w:tc>
        <w:tc>
          <w:tcPr>
            <w:tcW w:w="8363" w:type="dxa"/>
          </w:tcPr>
          <w:p w14:paraId="417DABC0" w14:textId="07BAAC1E" w:rsidR="00221A50" w:rsidRPr="00221A50" w:rsidRDefault="006309DF" w:rsidP="00044730">
            <w:pPr>
              <w:pStyle w:val="Bodytable"/>
              <w:spacing w:before="0" w:after="0"/>
              <w:ind w:right="-28"/>
            </w:pPr>
            <w:r>
              <w:rPr>
                <w:b/>
              </w:rPr>
              <w:t>Depth study t</w:t>
            </w:r>
            <w:r w:rsidR="00AC79B8" w:rsidRPr="00AC79B8">
              <w:rPr>
                <w:b/>
              </w:rPr>
              <w:t>wo</w:t>
            </w:r>
            <w:r>
              <w:rPr>
                <w:b/>
              </w:rPr>
              <w:t xml:space="preserve"> – </w:t>
            </w:r>
            <w:r w:rsidR="00221A50" w:rsidRPr="00221A50">
              <w:t xml:space="preserve">Through community experiences and/or secondary sources, and by privileging First Nations Peoples’ voices and perspectives, students investigate the effects of </w:t>
            </w:r>
            <w:r w:rsidR="00221A50" w:rsidRPr="00221A50">
              <w:rPr>
                <w:b/>
              </w:rPr>
              <w:t>one</w:t>
            </w:r>
            <w:r w:rsidR="00221A50" w:rsidRPr="00221A50">
              <w:t xml:space="preserve"> event, experience, issue, or proposal on the identities and cultures of Australian First Nations Peoples.</w:t>
            </w:r>
          </w:p>
          <w:p w14:paraId="0D32BC7F" w14:textId="77777777" w:rsidR="00221A50" w:rsidRPr="00221A50" w:rsidRDefault="00221A50" w:rsidP="00810870">
            <w:pPr>
              <w:pStyle w:val="Bodytable"/>
            </w:pPr>
            <w:r w:rsidRPr="00221A50">
              <w:t>Examples of events/experiences include (this list is not exhaustive or prescriptive):</w:t>
            </w:r>
          </w:p>
          <w:p w14:paraId="6E75FC25" w14:textId="77777777" w:rsidR="00221A50" w:rsidRPr="00221A50" w:rsidRDefault="00221A50" w:rsidP="00810870">
            <w:pPr>
              <w:pStyle w:val="Listbullettable"/>
            </w:pPr>
            <w:r w:rsidRPr="00221A50">
              <w:t>constitutional recognition</w:t>
            </w:r>
          </w:p>
          <w:p w14:paraId="3F57177F" w14:textId="77777777" w:rsidR="00221A50" w:rsidRPr="00221A50" w:rsidRDefault="00221A50" w:rsidP="00810870">
            <w:pPr>
              <w:pStyle w:val="Listbullettable"/>
            </w:pPr>
            <w:r w:rsidRPr="00221A50">
              <w:t>Australia Day, 26 January</w:t>
            </w:r>
          </w:p>
          <w:p w14:paraId="0B2D26F3" w14:textId="77777777" w:rsidR="00221A50" w:rsidRPr="00221A50" w:rsidRDefault="00221A50" w:rsidP="00810870">
            <w:pPr>
              <w:pStyle w:val="Listbullettable"/>
            </w:pPr>
            <w:r w:rsidRPr="00221A50">
              <w:t xml:space="preserve">the Uluru Statement from the Heart </w:t>
            </w:r>
          </w:p>
          <w:p w14:paraId="5E3BFA83" w14:textId="77777777" w:rsidR="00221A50" w:rsidRPr="00221A50" w:rsidRDefault="00221A50" w:rsidP="00810870">
            <w:pPr>
              <w:pStyle w:val="Listbullettable"/>
            </w:pPr>
            <w:r w:rsidRPr="00221A50">
              <w:t>Pilbara Aboriginal Strike</w:t>
            </w:r>
          </w:p>
          <w:p w14:paraId="3E06634F" w14:textId="77777777" w:rsidR="00221A50" w:rsidRPr="00221A50" w:rsidRDefault="00221A50" w:rsidP="00810870">
            <w:pPr>
              <w:pStyle w:val="Listbullettable"/>
            </w:pPr>
            <w:proofErr w:type="spellStart"/>
            <w:r w:rsidRPr="00221A50">
              <w:t>Makarrata</w:t>
            </w:r>
            <w:proofErr w:type="spellEnd"/>
            <w:r w:rsidRPr="00221A50">
              <w:t xml:space="preserve"> </w:t>
            </w:r>
          </w:p>
          <w:p w14:paraId="161CA0DF" w14:textId="77777777" w:rsidR="00221A50" w:rsidRPr="00221A50" w:rsidRDefault="00221A50" w:rsidP="00810870">
            <w:pPr>
              <w:pStyle w:val="Listbullettable"/>
            </w:pPr>
            <w:r w:rsidRPr="00221A50">
              <w:t>Black Lives Matter movement</w:t>
            </w:r>
          </w:p>
          <w:p w14:paraId="63545650" w14:textId="77777777" w:rsidR="00221A50" w:rsidRPr="00221A50" w:rsidRDefault="00221A50" w:rsidP="00810870">
            <w:pPr>
              <w:pStyle w:val="Listbullettable"/>
            </w:pPr>
            <w:r w:rsidRPr="00221A50">
              <w:t>Stolen Generation.</w:t>
            </w:r>
          </w:p>
          <w:p w14:paraId="358029F5" w14:textId="77777777" w:rsidR="00221A50" w:rsidRPr="00221A50" w:rsidRDefault="00221A50" w:rsidP="00810870">
            <w:pPr>
              <w:pStyle w:val="Bodytable"/>
            </w:pPr>
            <w:r w:rsidRPr="00221A50">
              <w:t>For the selected event, experience, issue, or proposal, investigate:</w:t>
            </w:r>
          </w:p>
          <w:p w14:paraId="10D66F41" w14:textId="77777777" w:rsidR="00221A50" w:rsidRPr="00221A50" w:rsidRDefault="00221A50" w:rsidP="00810870">
            <w:pPr>
              <w:pStyle w:val="Listbullettable"/>
            </w:pPr>
            <w:r w:rsidRPr="00221A50">
              <w:t xml:space="preserve">the background, including significant individuals and </w:t>
            </w:r>
            <w:proofErr w:type="spellStart"/>
            <w:r w:rsidRPr="00221A50">
              <w:t>organisations</w:t>
            </w:r>
            <w:proofErr w:type="spellEnd"/>
          </w:p>
          <w:p w14:paraId="0D76BC86" w14:textId="77777777" w:rsidR="00221A50" w:rsidRPr="00221A50" w:rsidRDefault="00221A50" w:rsidP="00810870">
            <w:pPr>
              <w:pStyle w:val="Listbullettable"/>
            </w:pPr>
            <w:r w:rsidRPr="00221A50">
              <w:t>the perspectives of Australian First Nations Peoples and non-Australian First Nations Peoples</w:t>
            </w:r>
          </w:p>
          <w:p w14:paraId="1F2B2517" w14:textId="77777777" w:rsidR="00221A50" w:rsidRPr="00221A50" w:rsidRDefault="00221A50" w:rsidP="00810870">
            <w:pPr>
              <w:pStyle w:val="Listbullettable"/>
            </w:pPr>
            <w:r w:rsidRPr="00221A50">
              <w:t>the way in which information and telecommunications, such as film, television and/or social media has influenced people’s perceptions</w:t>
            </w:r>
          </w:p>
          <w:p w14:paraId="553AB6F9" w14:textId="77777777" w:rsidR="00221A50" w:rsidRPr="00221A50" w:rsidRDefault="00221A50" w:rsidP="00810870">
            <w:pPr>
              <w:pStyle w:val="Listbullettable"/>
            </w:pPr>
            <w:r w:rsidRPr="00221A50">
              <w:t>the effects on the identities and cultures of Australian First Nations Peoples</w:t>
            </w:r>
          </w:p>
          <w:p w14:paraId="488A6392" w14:textId="77777777" w:rsidR="006309DF" w:rsidRPr="00642E62" w:rsidRDefault="006309DF" w:rsidP="00EF703B">
            <w:pPr>
              <w:pStyle w:val="Heading1table"/>
              <w:spacing w:after="0"/>
              <w:rPr>
                <w:rFonts w:eastAsiaTheme="minorEastAsia"/>
              </w:rPr>
            </w:pPr>
            <w:r w:rsidRPr="00642E62">
              <w:rPr>
                <w:rFonts w:eastAsiaTheme="minorEastAsia"/>
              </w:rPr>
              <w:t>Intercultural skills</w:t>
            </w:r>
          </w:p>
          <w:p w14:paraId="001AAE36" w14:textId="77777777" w:rsidR="00221A50" w:rsidRDefault="00221A50" w:rsidP="00810870">
            <w:pPr>
              <w:pStyle w:val="Listbullettable"/>
            </w:pPr>
            <w:r w:rsidRPr="00D55CF4">
              <w:t>Research</w:t>
            </w:r>
            <w:r>
              <w:t xml:space="preserve"> </w:t>
            </w:r>
          </w:p>
          <w:p w14:paraId="1A99FCC0" w14:textId="77777777" w:rsidR="00221A50" w:rsidRPr="00221A50" w:rsidRDefault="00221A50" w:rsidP="00810870">
            <w:pPr>
              <w:pStyle w:val="Listbullettable"/>
              <w:rPr>
                <w:iCs/>
              </w:rPr>
            </w:pPr>
            <w:r w:rsidRPr="00221A50">
              <w:rPr>
                <w:iCs/>
              </w:rPr>
              <w:t xml:space="preserve">Analysis and use of sources </w:t>
            </w:r>
          </w:p>
          <w:p w14:paraId="20820EE5" w14:textId="77777777" w:rsidR="00221A50" w:rsidRPr="00221A50" w:rsidRDefault="00221A50" w:rsidP="00810870">
            <w:pPr>
              <w:pStyle w:val="Listbullettable"/>
            </w:pPr>
            <w:r w:rsidRPr="00221A50">
              <w:t xml:space="preserve">Evaluating and communicating </w:t>
            </w:r>
          </w:p>
          <w:p w14:paraId="3882316D" w14:textId="77777777" w:rsidR="00A91DFB" w:rsidRPr="00221A50" w:rsidRDefault="00A91DFB" w:rsidP="00810870">
            <w:pPr>
              <w:pStyle w:val="Listbullettable"/>
            </w:pPr>
            <w:r w:rsidRPr="00221A50">
              <w:t>Reflection</w:t>
            </w:r>
            <w:r w:rsidR="00221A50">
              <w:t xml:space="preserve"> skills</w:t>
            </w:r>
          </w:p>
          <w:p w14:paraId="75AF0487" w14:textId="77777777" w:rsidR="00E07E4A" w:rsidRPr="00E07E4A" w:rsidRDefault="00E07E4A" w:rsidP="00810870">
            <w:pPr>
              <w:pStyle w:val="Heading1table"/>
            </w:pPr>
            <w:r w:rsidRPr="00E07E4A">
              <w:t>Task 4: Social Action</w:t>
            </w:r>
          </w:p>
        </w:tc>
      </w:tr>
    </w:tbl>
    <w:p w14:paraId="26D55CB8" w14:textId="77777777" w:rsidR="00016F22" w:rsidRDefault="00016F22" w:rsidP="008233E8"/>
    <w:p w14:paraId="11E96A81" w14:textId="77777777" w:rsidR="008233E8" w:rsidRDefault="008233E8" w:rsidP="008233E8">
      <w:r>
        <w:br w:type="page"/>
      </w:r>
    </w:p>
    <w:p w14:paraId="79DC1D26" w14:textId="52B8AD9E" w:rsidR="00734412" w:rsidRDefault="00993715" w:rsidP="00982C8A">
      <w:pPr>
        <w:pStyle w:val="Heading2"/>
      </w:pPr>
      <w:r w:rsidRPr="00CD2820">
        <w:lastRenderedPageBreak/>
        <w:t xml:space="preserve">Semester 2 </w:t>
      </w:r>
      <w:r w:rsidR="00C74098">
        <w:t>–</w:t>
      </w:r>
      <w:r w:rsidR="00000C95">
        <w:t xml:space="preserve"> Unit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734412" w:rsidRPr="00CD2820" w14:paraId="67A082BC" w14:textId="77777777" w:rsidTr="00C74098">
        <w:trPr>
          <w:tblHeader/>
        </w:trPr>
        <w:tc>
          <w:tcPr>
            <w:tcW w:w="993" w:type="dxa"/>
            <w:tcBorders>
              <w:right w:val="single" w:sz="4" w:space="0" w:color="FFFFFF" w:themeColor="background1"/>
            </w:tcBorders>
            <w:shd w:val="clear" w:color="auto" w:fill="BD9FCF" w:themeFill="accent4"/>
            <w:vAlign w:val="center"/>
            <w:hideMark/>
          </w:tcPr>
          <w:p w14:paraId="0C573F6E" w14:textId="77777777" w:rsidR="00734412" w:rsidRPr="00CD2820" w:rsidRDefault="00734412" w:rsidP="00CD2820">
            <w:pPr>
              <w:spacing w:before="120"/>
              <w:jc w:val="center"/>
              <w:rPr>
                <w:b/>
                <w:color w:val="FFFFFF" w:themeColor="background1"/>
                <w:szCs w:val="20"/>
              </w:rPr>
            </w:pPr>
            <w:r w:rsidRPr="00CD2820">
              <w:rPr>
                <w:b/>
                <w:color w:val="FFFFFF" w:themeColor="background1"/>
                <w:szCs w:val="20"/>
              </w:rPr>
              <w:t>Week</w:t>
            </w:r>
          </w:p>
        </w:tc>
        <w:tc>
          <w:tcPr>
            <w:tcW w:w="8363" w:type="dxa"/>
            <w:tcBorders>
              <w:left w:val="single" w:sz="4" w:space="0" w:color="FFFFFF" w:themeColor="background1"/>
            </w:tcBorders>
            <w:shd w:val="clear" w:color="auto" w:fill="BD9FCF" w:themeFill="accent4"/>
            <w:vAlign w:val="center"/>
            <w:hideMark/>
          </w:tcPr>
          <w:p w14:paraId="0A2925EC" w14:textId="77777777" w:rsidR="00734412" w:rsidRPr="00CD2820" w:rsidRDefault="00734412" w:rsidP="00CD2820">
            <w:pPr>
              <w:spacing w:before="120"/>
              <w:jc w:val="center"/>
              <w:rPr>
                <w:b/>
                <w:color w:val="FFFFFF" w:themeColor="background1"/>
                <w:szCs w:val="20"/>
              </w:rPr>
            </w:pPr>
            <w:r w:rsidRPr="00CD2820">
              <w:rPr>
                <w:b/>
                <w:color w:val="FFFFFF" w:themeColor="background1"/>
                <w:szCs w:val="20"/>
              </w:rPr>
              <w:t>Key teaching points</w:t>
            </w:r>
          </w:p>
        </w:tc>
      </w:tr>
      <w:tr w:rsidR="00734412" w:rsidRPr="00CD2820" w14:paraId="1134667D" w14:textId="77777777" w:rsidTr="00C74098">
        <w:tc>
          <w:tcPr>
            <w:tcW w:w="993" w:type="dxa"/>
            <w:shd w:val="clear" w:color="auto" w:fill="E4D8EB" w:themeFill="accent4" w:themeFillTint="66"/>
            <w:vAlign w:val="center"/>
            <w:hideMark/>
          </w:tcPr>
          <w:p w14:paraId="13C44263" w14:textId="77777777" w:rsidR="00734412" w:rsidRPr="00CD2820" w:rsidRDefault="00734412" w:rsidP="0083554F">
            <w:pPr>
              <w:spacing w:line="276" w:lineRule="auto"/>
              <w:jc w:val="center"/>
              <w:rPr>
                <w:rFonts w:cstheme="minorHAnsi"/>
                <w:szCs w:val="20"/>
              </w:rPr>
            </w:pPr>
            <w:r w:rsidRPr="00CD2820">
              <w:rPr>
                <w:rFonts w:cstheme="minorHAnsi"/>
                <w:szCs w:val="20"/>
              </w:rPr>
              <w:t>1–</w:t>
            </w:r>
            <w:r w:rsidR="0083554F">
              <w:rPr>
                <w:rFonts w:cstheme="minorHAnsi"/>
                <w:szCs w:val="20"/>
              </w:rPr>
              <w:t>3</w:t>
            </w:r>
          </w:p>
        </w:tc>
        <w:tc>
          <w:tcPr>
            <w:tcW w:w="8363" w:type="dxa"/>
          </w:tcPr>
          <w:p w14:paraId="6B338C81" w14:textId="77777777" w:rsidR="00D03EA1" w:rsidRPr="00D03EA1" w:rsidRDefault="00D03EA1" w:rsidP="00EF703B">
            <w:pPr>
              <w:pStyle w:val="Heading1table"/>
              <w:spacing w:before="0" w:after="0"/>
              <w:rPr>
                <w:rFonts w:eastAsiaTheme="minorHAnsi"/>
              </w:rPr>
            </w:pPr>
            <w:r w:rsidRPr="00D03EA1">
              <w:t>Overview of the diversity of Australian First Nations Peoples’ cultural expressions and protocols</w:t>
            </w:r>
          </w:p>
          <w:p w14:paraId="33A22813" w14:textId="77777777" w:rsidR="00D03EA1" w:rsidRDefault="00D03EA1" w:rsidP="00810870">
            <w:pPr>
              <w:pStyle w:val="Listbullettable"/>
            </w:pPr>
            <w:r w:rsidRPr="00901BD7">
              <w:rPr>
                <w:rFonts w:cs="Calibri"/>
              </w:rPr>
              <w:t>define</w:t>
            </w:r>
            <w:r w:rsidRPr="007D39C8">
              <w:t xml:space="preserve"> the following key terms and concepts as they relate to, and by privileging First Nations Peoples</w:t>
            </w:r>
            <w:r>
              <w:t>’</w:t>
            </w:r>
            <w:r w:rsidRPr="007D39C8">
              <w:t xml:space="preserve"> </w:t>
            </w:r>
            <w:r>
              <w:t>voices</w:t>
            </w:r>
            <w:r w:rsidRPr="007D39C8">
              <w:t xml:space="preserve"> and perspective</w:t>
            </w:r>
            <w:r w:rsidRPr="00D26F80">
              <w:t xml:space="preserve"> </w:t>
            </w:r>
          </w:p>
          <w:p w14:paraId="6EE83A70" w14:textId="77777777" w:rsidR="00D03EA1" w:rsidRPr="00901BD7" w:rsidRDefault="00D03EA1" w:rsidP="00810870">
            <w:pPr>
              <w:pStyle w:val="Listbullet2table"/>
            </w:pPr>
            <w:r w:rsidRPr="00901BD7">
              <w:t>Cultural Expression</w:t>
            </w:r>
          </w:p>
          <w:p w14:paraId="5E16DD36" w14:textId="77777777" w:rsidR="00D03EA1" w:rsidRPr="00901BD7" w:rsidRDefault="00D03EA1" w:rsidP="00810870">
            <w:pPr>
              <w:pStyle w:val="Listbullet2table"/>
            </w:pPr>
            <w:r w:rsidRPr="00901BD7">
              <w:t>Cultural Values</w:t>
            </w:r>
          </w:p>
          <w:p w14:paraId="2E314AA4" w14:textId="77777777" w:rsidR="00D03EA1" w:rsidRPr="00901BD7" w:rsidRDefault="00D03EA1" w:rsidP="00810870">
            <w:pPr>
              <w:pStyle w:val="Listbullet2table"/>
            </w:pPr>
            <w:r w:rsidRPr="00901BD7">
              <w:t>Perspectives</w:t>
            </w:r>
          </w:p>
          <w:p w14:paraId="3409503E" w14:textId="77777777" w:rsidR="00D03EA1" w:rsidRPr="00901BD7" w:rsidRDefault="00D03EA1" w:rsidP="00810870">
            <w:pPr>
              <w:pStyle w:val="Listbullet2table"/>
            </w:pPr>
            <w:proofErr w:type="spellStart"/>
            <w:r w:rsidRPr="00901BD7">
              <w:t>Colonisation</w:t>
            </w:r>
            <w:proofErr w:type="spellEnd"/>
          </w:p>
          <w:p w14:paraId="64582C1E" w14:textId="77777777" w:rsidR="00D03EA1" w:rsidRPr="00901BD7" w:rsidRDefault="00D03EA1" w:rsidP="00810870">
            <w:pPr>
              <w:pStyle w:val="Listbullet2table"/>
            </w:pPr>
            <w:r w:rsidRPr="00901BD7">
              <w:t xml:space="preserve">Dispossession </w:t>
            </w:r>
          </w:p>
          <w:p w14:paraId="25A173AF" w14:textId="36453C5B" w:rsidR="00D03EA1" w:rsidRPr="00901BD7" w:rsidRDefault="009701B5" w:rsidP="00810870">
            <w:pPr>
              <w:pStyle w:val="Listbullet2table"/>
            </w:pPr>
            <w:r>
              <w:t>Resistance</w:t>
            </w:r>
            <w:r w:rsidR="00016F22">
              <w:t xml:space="preserve"> </w:t>
            </w:r>
          </w:p>
          <w:p w14:paraId="3DDFD2EC" w14:textId="77777777" w:rsidR="00D03EA1" w:rsidRDefault="00D03EA1" w:rsidP="00810870">
            <w:pPr>
              <w:pStyle w:val="Listbullet2table"/>
            </w:pPr>
            <w:r w:rsidRPr="00901BD7">
              <w:t>Protocols</w:t>
            </w:r>
          </w:p>
          <w:p w14:paraId="4EAB731D" w14:textId="77777777" w:rsidR="00D03EA1" w:rsidRPr="00901BD7" w:rsidRDefault="00D03EA1" w:rsidP="00810870">
            <w:pPr>
              <w:pStyle w:val="Listbullet2table"/>
            </w:pPr>
            <w:r>
              <w:t>Resilience</w:t>
            </w:r>
            <w:r w:rsidRPr="00901BD7">
              <w:t xml:space="preserve"> </w:t>
            </w:r>
          </w:p>
          <w:p w14:paraId="226BEF09" w14:textId="77777777" w:rsidR="00D03EA1" w:rsidRPr="00D26F80" w:rsidRDefault="00D03EA1" w:rsidP="00810870">
            <w:pPr>
              <w:pStyle w:val="Listbullettable"/>
            </w:pPr>
            <w:r w:rsidRPr="00901BD7">
              <w:rPr>
                <w:rFonts w:cs="Calibri"/>
              </w:rPr>
              <w:t>examples</w:t>
            </w:r>
            <w:r w:rsidRPr="00D26F80">
              <w:t xml:space="preserve"> </w:t>
            </w:r>
            <w:r w:rsidRPr="00901BD7">
              <w:rPr>
                <w:rFonts w:cs="Calibri"/>
                <w:szCs w:val="16"/>
              </w:rPr>
              <w:t>of</w:t>
            </w:r>
            <w:r w:rsidRPr="00D26F80">
              <w:t xml:space="preserve"> Australian First Nations Peoples’ cultural expressions over time and location, including:</w:t>
            </w:r>
          </w:p>
          <w:p w14:paraId="21BDFB65" w14:textId="77777777" w:rsidR="00D03EA1" w:rsidRPr="00901BD7" w:rsidRDefault="00D03EA1" w:rsidP="00810870">
            <w:pPr>
              <w:pStyle w:val="Listbullet2table"/>
            </w:pPr>
            <w:r w:rsidRPr="00901BD7">
              <w:t>oral and performance traditions, e.g. yarning, stories, songs, musical instruments, dance, film, live theatre)</w:t>
            </w:r>
          </w:p>
          <w:p w14:paraId="10622457" w14:textId="77777777" w:rsidR="00D03EA1" w:rsidRPr="00901BD7" w:rsidRDefault="00D03EA1" w:rsidP="00810870">
            <w:pPr>
              <w:pStyle w:val="Listbullet2table"/>
            </w:pPr>
            <w:r w:rsidRPr="00901BD7">
              <w:t>written literature, e.g. plays, film scripts, documentaries, children’s books</w:t>
            </w:r>
          </w:p>
          <w:p w14:paraId="2018DE7F" w14:textId="77777777" w:rsidR="00D03EA1" w:rsidRPr="00901BD7" w:rsidRDefault="00D03EA1" w:rsidP="00810870">
            <w:pPr>
              <w:pStyle w:val="Listbullet2table"/>
            </w:pPr>
            <w:r w:rsidRPr="00901BD7">
              <w:t xml:space="preserve">visual art, e.g. materials, symbols, paintings, </w:t>
            </w:r>
            <w:proofErr w:type="spellStart"/>
            <w:r w:rsidRPr="00901BD7">
              <w:t>fibre</w:t>
            </w:r>
            <w:proofErr w:type="spellEnd"/>
            <w:r w:rsidRPr="00901BD7">
              <w:t xml:space="preserve"> craft, rock art, fashion, textiles</w:t>
            </w:r>
          </w:p>
          <w:p w14:paraId="751C6D26" w14:textId="77777777" w:rsidR="00D03EA1" w:rsidRPr="00D26F80" w:rsidRDefault="00D03EA1" w:rsidP="00810870">
            <w:pPr>
              <w:pStyle w:val="Listbullettable"/>
            </w:pPr>
            <w:r>
              <w:t>t</w:t>
            </w:r>
            <w:r w:rsidRPr="00D26F80">
              <w:t xml:space="preserve">he ways cultural </w:t>
            </w:r>
            <w:r w:rsidRPr="00901BD7">
              <w:rPr>
                <w:rFonts w:cs="Calibri"/>
              </w:rPr>
              <w:t>expressions</w:t>
            </w:r>
            <w:r w:rsidRPr="00D26F80">
              <w:t xml:space="preserve"> contribute to maintaining and retaining the identity and cultural values of the A</w:t>
            </w:r>
            <w:r>
              <w:t>ustralian First Nations Peoples</w:t>
            </w:r>
            <w:r w:rsidRPr="00D26F80">
              <w:t>, including</w:t>
            </w:r>
          </w:p>
          <w:p w14:paraId="5E9441CA" w14:textId="77777777" w:rsidR="00D03EA1" w:rsidRPr="00901BD7" w:rsidRDefault="00D03EA1" w:rsidP="00810870">
            <w:pPr>
              <w:pStyle w:val="Listbullet2table"/>
            </w:pPr>
            <w:r w:rsidRPr="00901BD7">
              <w:t xml:space="preserve">sharing and maintaining cultural knowledge, e.g. customary law, histories, language, ceremonies, creation stories </w:t>
            </w:r>
          </w:p>
          <w:p w14:paraId="78ACCD4D" w14:textId="77777777" w:rsidR="00D03EA1" w:rsidRPr="00901BD7" w:rsidRDefault="00D03EA1" w:rsidP="00810870">
            <w:pPr>
              <w:pStyle w:val="Listbullet2table"/>
            </w:pPr>
            <w:r w:rsidRPr="00901BD7">
              <w:t>maintenance of family and kinship systems</w:t>
            </w:r>
          </w:p>
          <w:p w14:paraId="184D0AE5" w14:textId="77777777" w:rsidR="00293FE6" w:rsidRDefault="00D03EA1" w:rsidP="00810870">
            <w:pPr>
              <w:pStyle w:val="Listbullet2table"/>
            </w:pPr>
            <w:r w:rsidRPr="00901BD7">
              <w:t xml:space="preserve">connection to Country, e.g. trade routes, survival, sustainability, </w:t>
            </w:r>
            <w:proofErr w:type="spellStart"/>
            <w:r>
              <w:t>S</w:t>
            </w:r>
            <w:r w:rsidRPr="00901BD7">
              <w:t>onglines</w:t>
            </w:r>
            <w:proofErr w:type="spellEnd"/>
            <w:r w:rsidRPr="00901BD7">
              <w:t>, sacred sites, caring for Country</w:t>
            </w:r>
          </w:p>
          <w:p w14:paraId="5EA7B9D9" w14:textId="77777777" w:rsidR="00B30F5E" w:rsidRPr="00642E62" w:rsidRDefault="00B30F5E" w:rsidP="00EF703B">
            <w:pPr>
              <w:pStyle w:val="Heading1table"/>
              <w:spacing w:after="0"/>
              <w:rPr>
                <w:rFonts w:eastAsiaTheme="minorEastAsia"/>
              </w:rPr>
            </w:pPr>
            <w:r w:rsidRPr="00642E62">
              <w:rPr>
                <w:rFonts w:eastAsiaTheme="minorEastAsia"/>
              </w:rPr>
              <w:t>Intercultural skills</w:t>
            </w:r>
          </w:p>
          <w:p w14:paraId="63919EAF" w14:textId="77777777" w:rsidR="00DA5B18" w:rsidRDefault="00DA5B18" w:rsidP="00810870">
            <w:pPr>
              <w:pStyle w:val="Listbullettable"/>
            </w:pPr>
            <w:r w:rsidRPr="00D55CF4">
              <w:t>Research</w:t>
            </w:r>
            <w:r>
              <w:t xml:space="preserve"> </w:t>
            </w:r>
          </w:p>
          <w:p w14:paraId="64818C25" w14:textId="77777777" w:rsidR="00DA5B18" w:rsidRPr="00221A50" w:rsidRDefault="00DA5B18" w:rsidP="00810870">
            <w:pPr>
              <w:pStyle w:val="Listbullettable"/>
              <w:rPr>
                <w:iCs/>
              </w:rPr>
            </w:pPr>
            <w:r w:rsidRPr="00221A50">
              <w:rPr>
                <w:iCs/>
              </w:rPr>
              <w:t xml:space="preserve">Analysis and use of sources </w:t>
            </w:r>
          </w:p>
          <w:p w14:paraId="58EA48D9" w14:textId="77777777" w:rsidR="00DA5B18" w:rsidRPr="00221A50" w:rsidRDefault="00DA5B18" w:rsidP="00810870">
            <w:pPr>
              <w:pStyle w:val="Listbullettable"/>
            </w:pPr>
            <w:r w:rsidRPr="00221A50">
              <w:t xml:space="preserve">Evaluating and communicating </w:t>
            </w:r>
          </w:p>
          <w:p w14:paraId="2EF98BC4" w14:textId="77777777" w:rsidR="00DA5B18" w:rsidRPr="00DA5B18" w:rsidRDefault="00DA5B18" w:rsidP="00810870">
            <w:pPr>
              <w:pStyle w:val="Listbullettable"/>
            </w:pPr>
            <w:r w:rsidRPr="00221A50">
              <w:t>Reflection</w:t>
            </w:r>
            <w:r>
              <w:t xml:space="preserve"> </w:t>
            </w:r>
          </w:p>
          <w:p w14:paraId="3673BD5D" w14:textId="77777777" w:rsidR="009A383A" w:rsidRPr="00D03EA1" w:rsidRDefault="009A383A" w:rsidP="00810870">
            <w:pPr>
              <w:pStyle w:val="Heading1table"/>
              <w:rPr>
                <w:rFonts w:eastAsia="Times"/>
              </w:rPr>
            </w:pPr>
            <w:r w:rsidRPr="009A383A">
              <w:rPr>
                <w:rFonts w:eastAsia="Times"/>
              </w:rPr>
              <w:t>Task 5: Response</w:t>
            </w:r>
          </w:p>
        </w:tc>
      </w:tr>
      <w:tr w:rsidR="00734412" w:rsidRPr="00CD2820" w14:paraId="0955B7E1" w14:textId="77777777" w:rsidTr="00C74098">
        <w:tc>
          <w:tcPr>
            <w:tcW w:w="993" w:type="dxa"/>
            <w:shd w:val="clear" w:color="auto" w:fill="E4D8EB" w:themeFill="accent4" w:themeFillTint="66"/>
            <w:vAlign w:val="center"/>
            <w:hideMark/>
          </w:tcPr>
          <w:p w14:paraId="224C8AC0" w14:textId="77777777" w:rsidR="00734412" w:rsidRPr="00CD2820" w:rsidRDefault="0083554F">
            <w:pPr>
              <w:spacing w:line="276" w:lineRule="auto"/>
              <w:jc w:val="center"/>
              <w:rPr>
                <w:rFonts w:cstheme="minorHAnsi"/>
                <w:szCs w:val="20"/>
              </w:rPr>
            </w:pPr>
            <w:r>
              <w:rPr>
                <w:rFonts w:cstheme="minorHAnsi"/>
                <w:szCs w:val="20"/>
              </w:rPr>
              <w:t>4</w:t>
            </w:r>
          </w:p>
        </w:tc>
        <w:tc>
          <w:tcPr>
            <w:tcW w:w="8363" w:type="dxa"/>
          </w:tcPr>
          <w:p w14:paraId="6D73AA35" w14:textId="77777777" w:rsidR="00734412" w:rsidRPr="00D03EA1" w:rsidRDefault="00D03EA1" w:rsidP="00810870">
            <w:pPr>
              <w:pStyle w:val="Listbullettable"/>
            </w:pPr>
            <w:r>
              <w:t>t</w:t>
            </w:r>
            <w:r w:rsidRPr="00DA4D1E">
              <w:t xml:space="preserve">he impact of </w:t>
            </w:r>
            <w:r w:rsidRPr="00901BD7">
              <w:rPr>
                <w:rFonts w:cs="Calibri"/>
              </w:rPr>
              <w:t>invasion</w:t>
            </w:r>
            <w:r w:rsidRPr="00DA4D1E">
              <w:t xml:space="preserve"> and </w:t>
            </w:r>
            <w:proofErr w:type="spellStart"/>
            <w:r w:rsidRPr="00DA4D1E">
              <w:t>colonisation</w:t>
            </w:r>
            <w:proofErr w:type="spellEnd"/>
            <w:r w:rsidRPr="00DA4D1E">
              <w:t xml:space="preserve"> on Australian First Nations Peoples</w:t>
            </w:r>
            <w:r>
              <w:t>’</w:t>
            </w:r>
            <w:r w:rsidRPr="00DA4D1E">
              <w:t xml:space="preserve"> cultural expressions, including dispossession of Country, and Government Assimilation policies, contributing to the </w:t>
            </w:r>
            <w:r>
              <w:t>interruption</w:t>
            </w:r>
            <w:r w:rsidRPr="00DA4D1E">
              <w:t xml:space="preserve"> of culture, language and social </w:t>
            </w:r>
            <w:proofErr w:type="spellStart"/>
            <w:r w:rsidRPr="00DA4D1E">
              <w:t>organisation</w:t>
            </w:r>
            <w:proofErr w:type="spellEnd"/>
            <w:r w:rsidRPr="00DA4D1E">
              <w:t xml:space="preserve"> over several generations</w:t>
            </w:r>
          </w:p>
        </w:tc>
      </w:tr>
      <w:tr w:rsidR="00734412" w:rsidRPr="00CD2820" w14:paraId="0B271124" w14:textId="77777777" w:rsidTr="00C74098">
        <w:tc>
          <w:tcPr>
            <w:tcW w:w="993" w:type="dxa"/>
            <w:shd w:val="clear" w:color="auto" w:fill="E4D8EB" w:themeFill="accent4" w:themeFillTint="66"/>
            <w:vAlign w:val="center"/>
            <w:hideMark/>
          </w:tcPr>
          <w:p w14:paraId="387BF9B2" w14:textId="77777777" w:rsidR="00734412" w:rsidRPr="00CD2820" w:rsidRDefault="0083554F">
            <w:pPr>
              <w:spacing w:line="276" w:lineRule="auto"/>
              <w:jc w:val="center"/>
              <w:rPr>
                <w:rFonts w:cstheme="minorHAnsi"/>
                <w:szCs w:val="20"/>
              </w:rPr>
            </w:pPr>
            <w:r>
              <w:rPr>
                <w:rFonts w:cstheme="minorHAnsi"/>
                <w:szCs w:val="20"/>
              </w:rPr>
              <w:t>5–6</w:t>
            </w:r>
          </w:p>
        </w:tc>
        <w:tc>
          <w:tcPr>
            <w:tcW w:w="8363" w:type="dxa"/>
          </w:tcPr>
          <w:p w14:paraId="0726FC08" w14:textId="77777777" w:rsidR="00D03EA1" w:rsidRPr="00DA4D1E" w:rsidRDefault="00D03EA1" w:rsidP="00810870">
            <w:pPr>
              <w:pStyle w:val="Listbullettable"/>
            </w:pPr>
            <w:r w:rsidRPr="00901BD7">
              <w:rPr>
                <w:rFonts w:cs="Calibri"/>
                <w:szCs w:val="16"/>
              </w:rPr>
              <w:t>Indigenous</w:t>
            </w:r>
            <w:r w:rsidRPr="00DA4D1E">
              <w:t xml:space="preserve"> Cultural and Intellectual Property and the Protocols for using First Nations Peoples’ </w:t>
            </w:r>
            <w:r w:rsidRPr="00901BD7">
              <w:t>Intellectual</w:t>
            </w:r>
            <w:r w:rsidRPr="00DA4D1E">
              <w:t xml:space="preserve"> and Cultural Property</w:t>
            </w:r>
            <w:r>
              <w:t xml:space="preserve"> </w:t>
            </w:r>
            <w:hyperlink r:id="rId13" w:history="1">
              <w:r w:rsidRPr="00891036">
                <w:rPr>
                  <w:rStyle w:val="Hyperlink"/>
                </w:rPr>
                <w:t>https://australiacouncil.gov.au/investment-and-development/protocols-and-resources/protocols-for-using-first-nations-cultural-and-intellectual-property-in-the-arts/</w:t>
              </w:r>
            </w:hyperlink>
          </w:p>
          <w:p w14:paraId="7D9F74A0" w14:textId="77777777" w:rsidR="00D03EA1" w:rsidRPr="00901BD7" w:rsidRDefault="00D03EA1" w:rsidP="00810870">
            <w:pPr>
              <w:pStyle w:val="Listbullettable"/>
            </w:pPr>
            <w:r w:rsidRPr="00901BD7">
              <w:t xml:space="preserve">Cultural rights of Australian First Nations Peoples’, including: </w:t>
            </w:r>
          </w:p>
          <w:p w14:paraId="694A2764" w14:textId="77777777" w:rsidR="00D03EA1" w:rsidRPr="00D26F80" w:rsidRDefault="00D03EA1" w:rsidP="00810870">
            <w:pPr>
              <w:pStyle w:val="Listbullet2table"/>
            </w:pPr>
            <w:r w:rsidRPr="00D26F80">
              <w:t>Section 28 of the </w:t>
            </w:r>
            <w:r w:rsidRPr="00810870">
              <w:rPr>
                <w:i/>
              </w:rPr>
              <w:t>Human Rights Act 2019</w:t>
            </w:r>
          </w:p>
          <w:p w14:paraId="5CD61E8A" w14:textId="77777777" w:rsidR="00D03EA1" w:rsidRDefault="00D03EA1" w:rsidP="00810870">
            <w:pPr>
              <w:pStyle w:val="Listbullet2table"/>
            </w:pPr>
            <w:r w:rsidRPr="00D26F80">
              <w:t>Article 31 of the United Nations Declaration on the Rights of Indigenous Peoples</w:t>
            </w:r>
          </w:p>
          <w:p w14:paraId="1D5E6D9A" w14:textId="77777777" w:rsidR="00B30F5E" w:rsidRPr="00642E62" w:rsidRDefault="00B30F5E" w:rsidP="00EF703B">
            <w:pPr>
              <w:pStyle w:val="Heading1table"/>
              <w:spacing w:after="0"/>
              <w:rPr>
                <w:rFonts w:eastAsiaTheme="minorEastAsia"/>
              </w:rPr>
            </w:pPr>
            <w:r w:rsidRPr="00642E62">
              <w:rPr>
                <w:rFonts w:eastAsiaTheme="minorEastAsia"/>
              </w:rPr>
              <w:t>Intercultural skills</w:t>
            </w:r>
          </w:p>
          <w:p w14:paraId="4A9F5BC6" w14:textId="77777777" w:rsidR="00F66A9B" w:rsidRPr="00221A50" w:rsidRDefault="00F66A9B" w:rsidP="00810870">
            <w:pPr>
              <w:pStyle w:val="Listbullettable"/>
            </w:pPr>
            <w:r w:rsidRPr="00221A50">
              <w:t xml:space="preserve">Analysis and use of sources </w:t>
            </w:r>
          </w:p>
          <w:p w14:paraId="5E90A8EC" w14:textId="77777777" w:rsidR="00F66A9B" w:rsidRPr="00221A50" w:rsidRDefault="00F66A9B" w:rsidP="00810870">
            <w:pPr>
              <w:pStyle w:val="Listbullettable"/>
            </w:pPr>
            <w:r w:rsidRPr="00221A50">
              <w:t xml:space="preserve">Evaluating and communicating </w:t>
            </w:r>
          </w:p>
          <w:p w14:paraId="6EAD5872" w14:textId="77777777" w:rsidR="00734412" w:rsidRPr="00CD2820" w:rsidRDefault="00545AF7" w:rsidP="00810870">
            <w:pPr>
              <w:pStyle w:val="Heading1table"/>
              <w:rPr>
                <w:szCs w:val="20"/>
              </w:rPr>
            </w:pPr>
            <w:r w:rsidRPr="00545AF7">
              <w:t>Task</w:t>
            </w:r>
            <w:r>
              <w:t xml:space="preserve"> </w:t>
            </w:r>
            <w:r w:rsidR="009A383A">
              <w:t>6</w:t>
            </w:r>
            <w:r w:rsidRPr="00545AF7">
              <w:t xml:space="preserve">: </w:t>
            </w:r>
            <w:r>
              <w:t>Response</w:t>
            </w:r>
          </w:p>
        </w:tc>
      </w:tr>
      <w:tr w:rsidR="00734412" w:rsidRPr="00CD2820" w14:paraId="26CBF530" w14:textId="77777777" w:rsidTr="00C74098">
        <w:trPr>
          <w:cantSplit/>
        </w:trPr>
        <w:tc>
          <w:tcPr>
            <w:tcW w:w="993" w:type="dxa"/>
            <w:shd w:val="clear" w:color="auto" w:fill="E4D8EB" w:themeFill="accent4" w:themeFillTint="66"/>
            <w:vAlign w:val="center"/>
            <w:hideMark/>
          </w:tcPr>
          <w:p w14:paraId="74C95224" w14:textId="77777777" w:rsidR="00734412" w:rsidRPr="00CD2820" w:rsidRDefault="00295579">
            <w:pPr>
              <w:spacing w:line="276" w:lineRule="auto"/>
              <w:jc w:val="center"/>
              <w:rPr>
                <w:rFonts w:cstheme="minorHAnsi"/>
                <w:szCs w:val="20"/>
              </w:rPr>
            </w:pPr>
            <w:r>
              <w:rPr>
                <w:rFonts w:cstheme="minorHAnsi"/>
                <w:szCs w:val="20"/>
              </w:rPr>
              <w:lastRenderedPageBreak/>
              <w:t>7–10</w:t>
            </w:r>
          </w:p>
        </w:tc>
        <w:tc>
          <w:tcPr>
            <w:tcW w:w="8363" w:type="dxa"/>
          </w:tcPr>
          <w:p w14:paraId="295D7D26" w14:textId="50C2BAFB" w:rsidR="00D03EA1" w:rsidRPr="00D03EA1" w:rsidRDefault="00B30F5E" w:rsidP="00016F22">
            <w:pPr>
              <w:pStyle w:val="Bodytable"/>
              <w:spacing w:after="0"/>
              <w:ind w:right="-28"/>
            </w:pPr>
            <w:r>
              <w:rPr>
                <w:b/>
              </w:rPr>
              <w:t xml:space="preserve">Depth </w:t>
            </w:r>
            <w:r w:rsidR="00A67C1D">
              <w:rPr>
                <w:b/>
              </w:rPr>
              <w:t>S</w:t>
            </w:r>
            <w:r>
              <w:rPr>
                <w:b/>
              </w:rPr>
              <w:t xml:space="preserve">tudy </w:t>
            </w:r>
            <w:r w:rsidR="00A67C1D">
              <w:rPr>
                <w:b/>
              </w:rPr>
              <w:t>O</w:t>
            </w:r>
            <w:r w:rsidR="00295579" w:rsidRPr="00295579">
              <w:rPr>
                <w:b/>
              </w:rPr>
              <w:t>ne</w:t>
            </w:r>
            <w:r w:rsidR="00016F22">
              <w:rPr>
                <w:b/>
              </w:rPr>
              <w:t xml:space="preserve"> </w:t>
            </w:r>
            <w:r w:rsidR="00016F22" w:rsidRPr="00016F22">
              <w:rPr>
                <w:bCs/>
              </w:rPr>
              <w:t xml:space="preserve">– </w:t>
            </w:r>
            <w:r w:rsidR="00D03EA1" w:rsidRPr="00D03EA1">
              <w:t xml:space="preserve">Through community experiences and/or secondary sources, and by privileging First Nations Peoples’ voices and perspectives, students investigate </w:t>
            </w:r>
            <w:r w:rsidR="00D03EA1" w:rsidRPr="00D03EA1">
              <w:rPr>
                <w:b/>
              </w:rPr>
              <w:t>one</w:t>
            </w:r>
            <w:r w:rsidR="00D03EA1" w:rsidRPr="00D03EA1">
              <w:t xml:space="preserve"> form of cultural expression and its significance for </w:t>
            </w:r>
            <w:r w:rsidR="00D03EA1" w:rsidRPr="00D03EA1">
              <w:rPr>
                <w:b/>
              </w:rPr>
              <w:t>one</w:t>
            </w:r>
            <w:r w:rsidR="00D03EA1" w:rsidRPr="00D03EA1">
              <w:t xml:space="preserve"> Australian First Nations People.</w:t>
            </w:r>
          </w:p>
          <w:p w14:paraId="0296E92F" w14:textId="77777777" w:rsidR="00D03EA1" w:rsidRPr="00D03EA1" w:rsidRDefault="00D03EA1" w:rsidP="009701B5">
            <w:pPr>
              <w:pStyle w:val="Bodytable"/>
              <w:spacing w:after="0"/>
              <w:ind w:right="-28"/>
            </w:pPr>
            <w:r w:rsidRPr="00D03EA1">
              <w:t xml:space="preserve">From the list below, select </w:t>
            </w:r>
            <w:r w:rsidRPr="00D03EA1">
              <w:rPr>
                <w:b/>
              </w:rPr>
              <w:t>one</w:t>
            </w:r>
            <w:r w:rsidRPr="00D03EA1">
              <w:t xml:space="preserve"> of the forms of cultural expression:</w:t>
            </w:r>
          </w:p>
          <w:p w14:paraId="727C6366" w14:textId="77777777" w:rsidR="00D03EA1" w:rsidRPr="00901BD7" w:rsidRDefault="00D03EA1" w:rsidP="00810870">
            <w:pPr>
              <w:pStyle w:val="Listbullettable"/>
            </w:pPr>
            <w:r w:rsidRPr="00901BD7">
              <w:t>visual arts – through painting, drawing, printmaking, sculpture, photography, crafts and design, such as ceramics, textiles and homewares</w:t>
            </w:r>
          </w:p>
          <w:p w14:paraId="28FE2A28" w14:textId="77777777" w:rsidR="00D03EA1" w:rsidRPr="00901BD7" w:rsidRDefault="00D03EA1" w:rsidP="00810870">
            <w:pPr>
              <w:pStyle w:val="Listbullettable"/>
            </w:pPr>
            <w:proofErr w:type="gramStart"/>
            <w:r w:rsidRPr="00901BD7">
              <w:t>music</w:t>
            </w:r>
            <w:proofErr w:type="gramEnd"/>
            <w:r w:rsidRPr="00901BD7">
              <w:t xml:space="preserve"> – in songs and performances. This includes activities</w:t>
            </w:r>
            <w:r w:rsidR="00A67C1D">
              <w:t>,</w:t>
            </w:r>
            <w:r w:rsidRPr="00901BD7">
              <w:t xml:space="preserve"> such as composing, recording, publishing music, performing and touring </w:t>
            </w:r>
          </w:p>
          <w:p w14:paraId="39A412E1" w14:textId="77777777" w:rsidR="00D03EA1" w:rsidRPr="00901BD7" w:rsidRDefault="00D03EA1" w:rsidP="00810870">
            <w:pPr>
              <w:pStyle w:val="Listbullettable"/>
            </w:pPr>
            <w:r w:rsidRPr="00901BD7">
              <w:t>theatre – this includes plays, scripted works, music theatre, puppetry</w:t>
            </w:r>
          </w:p>
          <w:p w14:paraId="66750D1D" w14:textId="77777777" w:rsidR="00D03EA1" w:rsidRPr="00901BD7" w:rsidRDefault="00D03EA1" w:rsidP="00810870">
            <w:pPr>
              <w:pStyle w:val="Listbullettable"/>
            </w:pPr>
            <w:r w:rsidRPr="00901BD7">
              <w:t>dance – such as ballet, contemporary dance, traditional dance, intercultural dance</w:t>
            </w:r>
          </w:p>
          <w:p w14:paraId="33850766" w14:textId="513FF58E" w:rsidR="00D03EA1" w:rsidRPr="00901BD7" w:rsidRDefault="00D03EA1" w:rsidP="00810870">
            <w:pPr>
              <w:pStyle w:val="Listbullettable"/>
            </w:pPr>
            <w:r w:rsidRPr="00901BD7">
              <w:t>literature – written works</w:t>
            </w:r>
            <w:r w:rsidR="00A67C1D">
              <w:t>,</w:t>
            </w:r>
            <w:r w:rsidRPr="00901BD7">
              <w:t xml:space="preserve"> such as fiction and non-fiction works, poetry, biographies, and playwriting</w:t>
            </w:r>
          </w:p>
          <w:p w14:paraId="1179A32F" w14:textId="620EA29D" w:rsidR="00D03EA1" w:rsidRPr="00901BD7" w:rsidRDefault="00D03EA1" w:rsidP="00810870">
            <w:pPr>
              <w:pStyle w:val="Listbullettable"/>
            </w:pPr>
            <w:r w:rsidRPr="00901BD7">
              <w:t>events-based projects – including art and cultural festivals</w:t>
            </w:r>
          </w:p>
          <w:p w14:paraId="0275EE5C" w14:textId="77777777" w:rsidR="00D03EA1" w:rsidRPr="00D03EA1" w:rsidRDefault="00D03EA1" w:rsidP="00810870">
            <w:pPr>
              <w:pStyle w:val="Bodytable"/>
            </w:pPr>
            <w:r w:rsidRPr="00D03EA1">
              <w:t>For the selected form of cultural expression, investigate (where applicable and culturally appropriate):</w:t>
            </w:r>
          </w:p>
          <w:p w14:paraId="01460050" w14:textId="77777777" w:rsidR="00D03EA1" w:rsidRPr="00901BD7" w:rsidRDefault="00D03EA1" w:rsidP="0034284A">
            <w:pPr>
              <w:pStyle w:val="Listbullettable"/>
            </w:pPr>
            <w:r w:rsidRPr="00901BD7">
              <w:rPr>
                <w:b/>
              </w:rPr>
              <w:t>two</w:t>
            </w:r>
            <w:r w:rsidRPr="00901BD7">
              <w:t xml:space="preserve"> examples of Australian First Nations Peoples</w:t>
            </w:r>
            <w:r>
              <w:t>’</w:t>
            </w:r>
            <w:r w:rsidRPr="00901BD7">
              <w:t xml:space="preserve"> perspectives, stories and/or information represented through the form of cultural expression</w:t>
            </w:r>
          </w:p>
          <w:p w14:paraId="7586BC14" w14:textId="77777777" w:rsidR="00D03EA1" w:rsidRPr="00901BD7" w:rsidRDefault="00D03EA1" w:rsidP="0034284A">
            <w:pPr>
              <w:pStyle w:val="Listbullettable"/>
            </w:pPr>
            <w:r w:rsidRPr="00901BD7">
              <w:t>how the form of cultural expression/practice has changed and evolved over time, e.g. types of materials, symbols used</w:t>
            </w:r>
          </w:p>
          <w:p w14:paraId="4CEA32E3" w14:textId="77777777" w:rsidR="00D03EA1" w:rsidRPr="00901BD7" w:rsidRDefault="00D03EA1" w:rsidP="0034284A">
            <w:pPr>
              <w:pStyle w:val="Listbullettable"/>
            </w:pPr>
            <w:r w:rsidRPr="00901BD7">
              <w:t>the role of information and telecommunications technologies in showcasing and celebrating the selected form of cultural expressions locally, nationally and globally</w:t>
            </w:r>
          </w:p>
          <w:p w14:paraId="4FAEFD37" w14:textId="5AB98AA0" w:rsidR="00734412" w:rsidRDefault="00D03EA1" w:rsidP="0034284A">
            <w:pPr>
              <w:pStyle w:val="Listbullettable"/>
            </w:pPr>
            <w:r w:rsidRPr="00901BD7">
              <w:t>the importance and contribution of the form of cultural expression to Australian culture and identity</w:t>
            </w:r>
          </w:p>
          <w:p w14:paraId="0734FD27" w14:textId="77777777" w:rsidR="009D11B6" w:rsidRDefault="009D11B6" w:rsidP="00EF703B">
            <w:pPr>
              <w:pStyle w:val="Heading1table"/>
              <w:spacing w:after="0"/>
              <w:rPr>
                <w:rFonts w:ascii="Calibri" w:hAnsi="Calibri"/>
                <w:sz w:val="22"/>
              </w:rPr>
            </w:pPr>
            <w:r w:rsidRPr="00642E62">
              <w:rPr>
                <w:rFonts w:eastAsiaTheme="minorEastAsia"/>
              </w:rPr>
              <w:t>Intercultural skills</w:t>
            </w:r>
            <w:r w:rsidRPr="00D55CF4">
              <w:rPr>
                <w:rFonts w:ascii="Calibri" w:hAnsi="Calibri"/>
                <w:sz w:val="22"/>
              </w:rPr>
              <w:t xml:space="preserve"> </w:t>
            </w:r>
          </w:p>
          <w:p w14:paraId="16E0704D" w14:textId="77777777" w:rsidR="00F66A9B" w:rsidRDefault="00F66A9B" w:rsidP="0034284A">
            <w:pPr>
              <w:pStyle w:val="Listbullettable"/>
            </w:pPr>
            <w:r w:rsidRPr="00D55CF4">
              <w:t>Research</w:t>
            </w:r>
            <w:r>
              <w:t xml:space="preserve"> </w:t>
            </w:r>
          </w:p>
          <w:p w14:paraId="3B40F71D" w14:textId="77777777" w:rsidR="00F66A9B" w:rsidRPr="00221A50" w:rsidRDefault="00F66A9B" w:rsidP="0034284A">
            <w:pPr>
              <w:pStyle w:val="Listbullettable"/>
              <w:rPr>
                <w:iCs/>
              </w:rPr>
            </w:pPr>
            <w:r w:rsidRPr="00221A50">
              <w:rPr>
                <w:iCs/>
              </w:rPr>
              <w:t xml:space="preserve">Analysis and use of sources </w:t>
            </w:r>
          </w:p>
          <w:p w14:paraId="4654F5C4" w14:textId="77777777" w:rsidR="00F66A9B" w:rsidRPr="00221A50" w:rsidRDefault="00F66A9B" w:rsidP="0034284A">
            <w:pPr>
              <w:pStyle w:val="Listbullettable"/>
            </w:pPr>
            <w:r w:rsidRPr="00221A50">
              <w:t xml:space="preserve">Evaluating and communicating </w:t>
            </w:r>
          </w:p>
          <w:p w14:paraId="44653F10" w14:textId="77777777" w:rsidR="00F66A9B" w:rsidRPr="00F66A9B" w:rsidRDefault="00F66A9B" w:rsidP="0034284A">
            <w:pPr>
              <w:pStyle w:val="Listbullettable"/>
            </w:pPr>
            <w:r w:rsidRPr="00221A50">
              <w:t>Reflection</w:t>
            </w:r>
            <w:r>
              <w:t xml:space="preserve"> </w:t>
            </w:r>
          </w:p>
          <w:p w14:paraId="7B312100" w14:textId="77777777" w:rsidR="00545AF7" w:rsidRPr="00D03EA1" w:rsidRDefault="00545AF7" w:rsidP="00EF703B">
            <w:pPr>
              <w:pStyle w:val="Heading1table"/>
              <w:spacing w:after="0"/>
              <w:rPr>
                <w:rFonts w:cs="Calibri"/>
                <w:szCs w:val="16"/>
              </w:rPr>
            </w:pPr>
            <w:r w:rsidRPr="00545AF7">
              <w:t xml:space="preserve">Task </w:t>
            </w:r>
            <w:r>
              <w:t>7</w:t>
            </w:r>
            <w:r w:rsidRPr="00545AF7">
              <w:t xml:space="preserve">: </w:t>
            </w:r>
            <w:r>
              <w:t>Social Action</w:t>
            </w:r>
          </w:p>
        </w:tc>
      </w:tr>
      <w:tr w:rsidR="00295579" w:rsidRPr="00CD2820" w14:paraId="79F33DDC" w14:textId="77777777" w:rsidTr="00C74098">
        <w:trPr>
          <w:cantSplit/>
        </w:trPr>
        <w:tc>
          <w:tcPr>
            <w:tcW w:w="993" w:type="dxa"/>
            <w:shd w:val="clear" w:color="auto" w:fill="E4D8EB" w:themeFill="accent4" w:themeFillTint="66"/>
            <w:vAlign w:val="center"/>
          </w:tcPr>
          <w:p w14:paraId="7989F366" w14:textId="77777777" w:rsidR="00295579" w:rsidRDefault="00295579">
            <w:pPr>
              <w:spacing w:line="276" w:lineRule="auto"/>
              <w:jc w:val="center"/>
              <w:rPr>
                <w:rFonts w:cstheme="minorHAnsi"/>
                <w:szCs w:val="20"/>
              </w:rPr>
            </w:pPr>
            <w:r>
              <w:rPr>
                <w:rFonts w:cstheme="minorHAnsi"/>
                <w:szCs w:val="20"/>
              </w:rPr>
              <w:t>11–14</w:t>
            </w:r>
          </w:p>
        </w:tc>
        <w:tc>
          <w:tcPr>
            <w:tcW w:w="8363" w:type="dxa"/>
          </w:tcPr>
          <w:p w14:paraId="36F04812" w14:textId="1E7B4945" w:rsidR="00D03EA1" w:rsidRPr="00D03EA1" w:rsidRDefault="009D11B6" w:rsidP="00A67C1D">
            <w:pPr>
              <w:pStyle w:val="Bodytable"/>
              <w:spacing w:before="0" w:after="0"/>
              <w:ind w:right="-28"/>
            </w:pPr>
            <w:r>
              <w:rPr>
                <w:b/>
              </w:rPr>
              <w:t xml:space="preserve">Depth </w:t>
            </w:r>
            <w:r w:rsidR="00016F22">
              <w:rPr>
                <w:b/>
              </w:rPr>
              <w:t>S</w:t>
            </w:r>
            <w:r>
              <w:rPr>
                <w:b/>
              </w:rPr>
              <w:t xml:space="preserve">tudy </w:t>
            </w:r>
            <w:r w:rsidR="00016F22">
              <w:rPr>
                <w:b/>
              </w:rPr>
              <w:t>T</w:t>
            </w:r>
            <w:r>
              <w:rPr>
                <w:b/>
              </w:rPr>
              <w:t>w</w:t>
            </w:r>
            <w:r w:rsidR="00D03EA1" w:rsidRPr="00D03EA1">
              <w:rPr>
                <w:b/>
              </w:rPr>
              <w:t>o</w:t>
            </w:r>
            <w:r>
              <w:rPr>
                <w:b/>
              </w:rPr>
              <w:t xml:space="preserve"> – </w:t>
            </w:r>
            <w:r w:rsidR="00D03EA1" w:rsidRPr="00D03EA1">
              <w:t xml:space="preserve">Through community experiences and/or secondary sources, </w:t>
            </w:r>
            <w:r w:rsidR="00D03EA1" w:rsidRPr="00D03EA1">
              <w:rPr>
                <w:bCs/>
              </w:rPr>
              <w:t xml:space="preserve">and by privileging First Nations Peoples’ voices and perspectives, </w:t>
            </w:r>
            <w:r w:rsidR="00D03EA1" w:rsidRPr="00D03EA1">
              <w:t xml:space="preserve">students investigate the contribution of cultural expressions to the empowerment and resiliency of First Nations Peoples’ cultures and identities both in Australia and internationally. </w:t>
            </w:r>
          </w:p>
          <w:p w14:paraId="3B09AD69" w14:textId="77777777" w:rsidR="00D03EA1" w:rsidRPr="00D03EA1" w:rsidRDefault="00D03EA1" w:rsidP="00270065">
            <w:pPr>
              <w:pStyle w:val="Bodytable"/>
              <w:spacing w:after="0"/>
              <w:ind w:right="-28"/>
            </w:pPr>
            <w:r w:rsidRPr="00D03EA1">
              <w:t>Students investigate (where applicable and culturally appropriate):</w:t>
            </w:r>
          </w:p>
          <w:p w14:paraId="7D4E6AEF" w14:textId="77777777" w:rsidR="00D03EA1" w:rsidRPr="00D03EA1" w:rsidRDefault="00D03EA1" w:rsidP="0034284A">
            <w:pPr>
              <w:pStyle w:val="Listbullettable"/>
            </w:pPr>
            <w:r w:rsidRPr="00D03EA1">
              <w:t xml:space="preserve">the importance of </w:t>
            </w:r>
            <w:proofErr w:type="spellStart"/>
            <w:r w:rsidRPr="00D03EA1">
              <w:t>revitalising</w:t>
            </w:r>
            <w:proofErr w:type="spellEnd"/>
            <w:r w:rsidRPr="00D03EA1">
              <w:t xml:space="preserve"> First Nation Peoples’ languages</w:t>
            </w:r>
          </w:p>
          <w:p w14:paraId="44695234" w14:textId="77777777" w:rsidR="00D03EA1" w:rsidRPr="00D03EA1" w:rsidRDefault="00D03EA1" w:rsidP="0034284A">
            <w:pPr>
              <w:pStyle w:val="Listbullettable"/>
            </w:pPr>
            <w:r w:rsidRPr="00D03EA1">
              <w:t>the connection between cultural expressions and the health and wellbeing of First Nations Peoples</w:t>
            </w:r>
          </w:p>
          <w:p w14:paraId="178366A4" w14:textId="77777777" w:rsidR="00D03EA1" w:rsidRPr="00D03EA1" w:rsidRDefault="00D03EA1" w:rsidP="0034284A">
            <w:pPr>
              <w:pStyle w:val="Listbullettable"/>
            </w:pPr>
            <w:r w:rsidRPr="00D03EA1">
              <w:t>the economic benefits of cultural expressions for First Nations Peoples</w:t>
            </w:r>
          </w:p>
          <w:p w14:paraId="27055B93" w14:textId="77777777" w:rsidR="00295579" w:rsidRDefault="00D03EA1" w:rsidP="0034284A">
            <w:pPr>
              <w:pStyle w:val="Listbullettable"/>
            </w:pPr>
            <w:r w:rsidRPr="00D03EA1">
              <w:t>the use of cultural expressions to advocate for the rights of First Nations Peoples and make social and political statements</w:t>
            </w:r>
          </w:p>
          <w:p w14:paraId="1396E082" w14:textId="77777777" w:rsidR="009D11B6" w:rsidRDefault="009D11B6" w:rsidP="00EF703B">
            <w:pPr>
              <w:pStyle w:val="Heading1table"/>
              <w:spacing w:after="0"/>
              <w:rPr>
                <w:rFonts w:ascii="Calibri" w:hAnsi="Calibri"/>
                <w:sz w:val="22"/>
              </w:rPr>
            </w:pPr>
            <w:r w:rsidRPr="00642E62">
              <w:rPr>
                <w:rFonts w:eastAsiaTheme="minorEastAsia"/>
              </w:rPr>
              <w:t>Intercultural skills</w:t>
            </w:r>
            <w:r w:rsidRPr="00D55CF4">
              <w:rPr>
                <w:rFonts w:ascii="Calibri" w:hAnsi="Calibri"/>
                <w:sz w:val="22"/>
              </w:rPr>
              <w:t xml:space="preserve"> </w:t>
            </w:r>
          </w:p>
          <w:p w14:paraId="1E2FA75B" w14:textId="77777777" w:rsidR="00F66A9B" w:rsidRDefault="00F66A9B" w:rsidP="0034284A">
            <w:pPr>
              <w:pStyle w:val="Listbullettable"/>
            </w:pPr>
            <w:r w:rsidRPr="00D55CF4">
              <w:t>Research</w:t>
            </w:r>
            <w:r w:rsidR="009D11B6">
              <w:t xml:space="preserve"> </w:t>
            </w:r>
          </w:p>
          <w:p w14:paraId="25341684" w14:textId="77777777" w:rsidR="00F66A9B" w:rsidRPr="00221A50" w:rsidRDefault="00F66A9B" w:rsidP="0034284A">
            <w:pPr>
              <w:pStyle w:val="Listbullettable"/>
              <w:rPr>
                <w:iCs/>
              </w:rPr>
            </w:pPr>
            <w:r w:rsidRPr="00221A50">
              <w:rPr>
                <w:iCs/>
              </w:rPr>
              <w:t>An</w:t>
            </w:r>
            <w:r w:rsidR="009D11B6">
              <w:rPr>
                <w:iCs/>
              </w:rPr>
              <w:t xml:space="preserve">alysis and use of sources </w:t>
            </w:r>
          </w:p>
          <w:p w14:paraId="5A50923B" w14:textId="77777777" w:rsidR="00F66A9B" w:rsidRPr="00221A50" w:rsidRDefault="00F66A9B" w:rsidP="0034284A">
            <w:pPr>
              <w:pStyle w:val="Listbullettable"/>
            </w:pPr>
            <w:r w:rsidRPr="00221A50">
              <w:t>Eva</w:t>
            </w:r>
            <w:r w:rsidR="009D11B6">
              <w:t xml:space="preserve">luating and communicating </w:t>
            </w:r>
          </w:p>
          <w:p w14:paraId="6006B7D3" w14:textId="77777777" w:rsidR="00F66A9B" w:rsidRPr="00F66A9B" w:rsidRDefault="00F66A9B" w:rsidP="0034284A">
            <w:pPr>
              <w:pStyle w:val="Listbullettable"/>
            </w:pPr>
            <w:r w:rsidRPr="00221A50">
              <w:t>Reflection</w:t>
            </w:r>
            <w:r w:rsidR="009D11B6">
              <w:t xml:space="preserve"> </w:t>
            </w:r>
          </w:p>
          <w:p w14:paraId="7CC7040C" w14:textId="77777777" w:rsidR="00545AF7" w:rsidRPr="00D03EA1" w:rsidRDefault="00545AF7" w:rsidP="00EF703B">
            <w:pPr>
              <w:pStyle w:val="Heading1table"/>
              <w:spacing w:after="0"/>
              <w:rPr>
                <w:rFonts w:ascii="Calibri" w:hAnsi="Calibri" w:cs="Calibri"/>
                <w:iCs/>
                <w:szCs w:val="16"/>
              </w:rPr>
            </w:pPr>
            <w:r w:rsidRPr="00545AF7">
              <w:t>T</w:t>
            </w:r>
            <w:r w:rsidR="009A383A">
              <w:t>ask 8</w:t>
            </w:r>
            <w:r w:rsidRPr="00545AF7">
              <w:t>: Inquiry</w:t>
            </w:r>
          </w:p>
        </w:tc>
      </w:tr>
      <w:tr w:rsidR="00295579" w:rsidRPr="00CD2820" w14:paraId="6BDA6511" w14:textId="77777777" w:rsidTr="00C74098">
        <w:trPr>
          <w:cantSplit/>
        </w:trPr>
        <w:tc>
          <w:tcPr>
            <w:tcW w:w="993" w:type="dxa"/>
            <w:shd w:val="clear" w:color="auto" w:fill="E4D8EB" w:themeFill="accent4" w:themeFillTint="66"/>
            <w:vAlign w:val="center"/>
          </w:tcPr>
          <w:p w14:paraId="03992AB8" w14:textId="77777777" w:rsidR="00295579" w:rsidRDefault="00295579">
            <w:pPr>
              <w:spacing w:line="276" w:lineRule="auto"/>
              <w:jc w:val="center"/>
              <w:rPr>
                <w:rFonts w:cstheme="minorHAnsi"/>
                <w:szCs w:val="20"/>
              </w:rPr>
            </w:pPr>
            <w:r>
              <w:rPr>
                <w:rFonts w:cstheme="minorHAnsi"/>
                <w:szCs w:val="20"/>
              </w:rPr>
              <w:lastRenderedPageBreak/>
              <w:t>15–16</w:t>
            </w:r>
          </w:p>
        </w:tc>
        <w:tc>
          <w:tcPr>
            <w:tcW w:w="8363" w:type="dxa"/>
          </w:tcPr>
          <w:p w14:paraId="260889D2" w14:textId="77777777" w:rsidR="00D03EA1" w:rsidRPr="00D03EA1" w:rsidRDefault="00D03EA1" w:rsidP="0034284A">
            <w:pPr>
              <w:pStyle w:val="Listbullettable"/>
            </w:pPr>
            <w:r w:rsidRPr="00D03EA1">
              <w:rPr>
                <w:b/>
              </w:rPr>
              <w:t>two</w:t>
            </w:r>
            <w:r w:rsidRPr="00D03EA1">
              <w:t xml:space="preserve"> examples of programs or initiatives, which provide opportunities for individual and community cultural practice and expression, including the benefit of these to First Nations Peoples</w:t>
            </w:r>
          </w:p>
          <w:p w14:paraId="309C00E0" w14:textId="77777777" w:rsidR="00295579" w:rsidRPr="00FF75D7" w:rsidRDefault="00D03EA1" w:rsidP="0034284A">
            <w:pPr>
              <w:pStyle w:val="Listbullettable"/>
            </w:pPr>
            <w:r w:rsidRPr="00D03EA1">
              <w:t>the impact of cultural expressions in educating people and changing perceptions about First Nations Peoples’ histories and cultures</w:t>
            </w:r>
          </w:p>
        </w:tc>
      </w:tr>
    </w:tbl>
    <w:p w14:paraId="34643942" w14:textId="77777777" w:rsidR="00734412" w:rsidRPr="0057503C" w:rsidRDefault="00734412" w:rsidP="00734412">
      <w:pPr>
        <w:rPr>
          <w:rFonts w:cstheme="minorHAnsi"/>
          <w:sz w:val="20"/>
          <w:szCs w:val="20"/>
        </w:rPr>
      </w:pPr>
    </w:p>
    <w:sectPr w:rsidR="00734412" w:rsidRPr="0057503C" w:rsidSect="00813951">
      <w:headerReference w:type="even" r:id="rId14"/>
      <w:headerReference w:type="default" r:id="rId15"/>
      <w:footerReference w:type="even" r:id="rId16"/>
      <w:footerReference w:type="default" r:id="rId17"/>
      <w:headerReference w:type="first" r:id="rId18"/>
      <w:footerReference w:type="first" r:id="rId19"/>
      <w:pgSz w:w="11906" w:h="16838" w:code="9"/>
      <w:pgMar w:top="1440"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0208" w14:textId="77777777" w:rsidR="00DF76EF" w:rsidRDefault="00DF76EF" w:rsidP="00DB14C9">
      <w:r>
        <w:separator/>
      </w:r>
    </w:p>
  </w:endnote>
  <w:endnote w:type="continuationSeparator" w:id="0">
    <w:p w14:paraId="29AA9F52" w14:textId="77777777" w:rsidR="00DF76EF" w:rsidRDefault="00DF76E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143A" w14:textId="74641D28" w:rsidR="00535A29" w:rsidRPr="00982C8A" w:rsidRDefault="00F937F0" w:rsidP="00982C8A">
    <w:pPr>
      <w:pStyle w:val="Footer"/>
      <w:pBdr>
        <w:top w:val="single" w:sz="4" w:space="4" w:color="5C815C"/>
      </w:pBdr>
      <w:tabs>
        <w:tab w:val="clear" w:pos="4513"/>
        <w:tab w:val="clear" w:pos="9026"/>
      </w:tabs>
      <w:spacing w:after="0" w:line="240" w:lineRule="auto"/>
      <w:rPr>
        <w:rFonts w:eastAsia="Times New Roman" w:cstheme="minorHAnsi"/>
        <w:noProof/>
        <w:color w:val="342568"/>
        <w:sz w:val="18"/>
        <w:szCs w:val="18"/>
        <w:lang w:val="en-AU" w:eastAsia="en-AU"/>
      </w:rPr>
    </w:pPr>
    <w:r w:rsidRPr="00982C8A">
      <w:rPr>
        <w:rFonts w:eastAsia="Times New Roman" w:cstheme="minorHAnsi"/>
        <w:noProof/>
        <w:color w:val="342568"/>
        <w:sz w:val="18"/>
        <w:szCs w:val="18"/>
        <w:lang w:val="en-AU" w:eastAsia="en-AU"/>
      </w:rPr>
      <w:t>2022/31125</w:t>
    </w:r>
    <w:r w:rsidR="0034284A" w:rsidRPr="00982C8A">
      <w:rPr>
        <w:rFonts w:eastAsia="Times New Roman" w:cstheme="minorHAnsi"/>
        <w:noProof/>
        <w:color w:val="342568"/>
        <w:sz w:val="18"/>
        <w:szCs w:val="18"/>
        <w:lang w:val="en-AU" w:eastAsia="en-AU"/>
      </w:rPr>
      <w:t>v</w:t>
    </w:r>
    <w:r w:rsidR="00CF1132" w:rsidRPr="00982C8A">
      <w:rPr>
        <w:rFonts w:eastAsia="Times New Roman" w:cstheme="minorHAnsi"/>
        <w:noProof/>
        <w:color w:val="342568"/>
        <w:sz w:val="18"/>
        <w:szCs w:val="18"/>
        <w:lang w:val="en-AU" w:eastAsia="en-AU"/>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90EA5" w14:textId="77777777" w:rsidR="00535A29" w:rsidRPr="00DE34C4" w:rsidRDefault="00535A29" w:rsidP="00B5011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1888" w14:textId="77777777" w:rsidR="00535A29" w:rsidRPr="00813951" w:rsidRDefault="00535A29" w:rsidP="00D81CAA">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Aboriginal and Intercultural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6873" w14:textId="77777777" w:rsidR="00535A29" w:rsidRPr="00813951" w:rsidRDefault="00535A29" w:rsidP="00D81CAA">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Aboriginal and Intercultural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BC45" w14:textId="77777777" w:rsidR="00535A29" w:rsidRPr="00813951" w:rsidRDefault="00535A29" w:rsidP="00D81CAA">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Aboriginal and Intercultural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D7532" w14:textId="77777777" w:rsidR="00DF76EF" w:rsidRDefault="00DF76EF" w:rsidP="00DB14C9">
      <w:r>
        <w:separator/>
      </w:r>
    </w:p>
  </w:footnote>
  <w:footnote w:type="continuationSeparator" w:id="0">
    <w:p w14:paraId="0D903E1D" w14:textId="77777777" w:rsidR="00DF76EF" w:rsidRDefault="00DF76E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B1BF" w14:textId="77777777" w:rsidR="00535A29" w:rsidRDefault="00535A29" w:rsidP="007A5C92">
    <w:pPr>
      <w:pStyle w:val="Header"/>
      <w:ind w:left="-851"/>
    </w:pPr>
    <w:r>
      <w:rPr>
        <w:noProof/>
        <w:lang w:val="en-AU" w:eastAsia="en-AU"/>
      </w:rPr>
      <w:drawing>
        <wp:inline distT="0" distB="0" distL="0" distR="0" wp14:anchorId="538DF632" wp14:editId="082ABC4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6233" w14:textId="5DED319F" w:rsidR="00535A29" w:rsidRPr="0034284A" w:rsidRDefault="00535A29" w:rsidP="0034284A">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5FE0">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FF3C" w14:textId="7DEBC695" w:rsidR="00535A29" w:rsidRPr="0034284A" w:rsidRDefault="00535A29" w:rsidP="0034284A">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5FE0">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67CF" w14:textId="7A561B47" w:rsidR="00535A29" w:rsidRPr="0034284A" w:rsidRDefault="00535A29" w:rsidP="0034284A">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5FE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C6F6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C1F3951"/>
    <w:multiLevelType w:val="hybridMultilevel"/>
    <w:tmpl w:val="4D6EE816"/>
    <w:lvl w:ilvl="0" w:tplc="28EEB3BE">
      <w:start w:val="1"/>
      <w:numFmt w:val="bullet"/>
      <w:pStyle w:val="Listbullet2table"/>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68F30897"/>
    <w:multiLevelType w:val="hybridMultilevel"/>
    <w:tmpl w:val="745089EE"/>
    <w:lvl w:ilvl="0" w:tplc="FD649D08">
      <w:start w:val="1"/>
      <w:numFmt w:val="bullet"/>
      <w:pStyle w:val="ListBullet2"/>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9951B4"/>
    <w:multiLevelType w:val="hybridMultilevel"/>
    <w:tmpl w:val="4BA097FA"/>
    <w:lvl w:ilvl="0" w:tplc="8B000D4E">
      <w:start w:val="1"/>
      <w:numFmt w:val="bullet"/>
      <w:pStyle w:val="Listbullet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0D5746"/>
    <w:multiLevelType w:val="hybridMultilevel"/>
    <w:tmpl w:val="B32AF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0C95"/>
    <w:rsid w:val="000021A7"/>
    <w:rsid w:val="00016F22"/>
    <w:rsid w:val="00020EC0"/>
    <w:rsid w:val="00021937"/>
    <w:rsid w:val="00034AC7"/>
    <w:rsid w:val="00044730"/>
    <w:rsid w:val="00045089"/>
    <w:rsid w:val="00051F55"/>
    <w:rsid w:val="00054AC3"/>
    <w:rsid w:val="00054C3B"/>
    <w:rsid w:val="000555B7"/>
    <w:rsid w:val="00060FA2"/>
    <w:rsid w:val="00077EFA"/>
    <w:rsid w:val="000939E4"/>
    <w:rsid w:val="0009771E"/>
    <w:rsid w:val="000A358A"/>
    <w:rsid w:val="000B00F0"/>
    <w:rsid w:val="000B2186"/>
    <w:rsid w:val="000B4992"/>
    <w:rsid w:val="000C0BED"/>
    <w:rsid w:val="000E3C32"/>
    <w:rsid w:val="000F4D26"/>
    <w:rsid w:val="000F6E58"/>
    <w:rsid w:val="000F73AD"/>
    <w:rsid w:val="00134438"/>
    <w:rsid w:val="00134FB8"/>
    <w:rsid w:val="00140A32"/>
    <w:rsid w:val="00145ED9"/>
    <w:rsid w:val="00160E6D"/>
    <w:rsid w:val="00172BC0"/>
    <w:rsid w:val="001758D8"/>
    <w:rsid w:val="001804D8"/>
    <w:rsid w:val="001A065F"/>
    <w:rsid w:val="001A5755"/>
    <w:rsid w:val="001B22F1"/>
    <w:rsid w:val="001C0918"/>
    <w:rsid w:val="001C5CF3"/>
    <w:rsid w:val="001D5BB7"/>
    <w:rsid w:val="001E504E"/>
    <w:rsid w:val="001E64C2"/>
    <w:rsid w:val="001F05BB"/>
    <w:rsid w:val="001F245B"/>
    <w:rsid w:val="00221A50"/>
    <w:rsid w:val="00240545"/>
    <w:rsid w:val="002547E0"/>
    <w:rsid w:val="00270065"/>
    <w:rsid w:val="00274E98"/>
    <w:rsid w:val="00292291"/>
    <w:rsid w:val="00293FE6"/>
    <w:rsid w:val="002942EE"/>
    <w:rsid w:val="00295579"/>
    <w:rsid w:val="002A2AA6"/>
    <w:rsid w:val="002D5FE0"/>
    <w:rsid w:val="002F1C83"/>
    <w:rsid w:val="002F3A7F"/>
    <w:rsid w:val="002F6ED2"/>
    <w:rsid w:val="00330167"/>
    <w:rsid w:val="00331BFB"/>
    <w:rsid w:val="0034284A"/>
    <w:rsid w:val="00380269"/>
    <w:rsid w:val="003809B1"/>
    <w:rsid w:val="00385668"/>
    <w:rsid w:val="0038623B"/>
    <w:rsid w:val="00393332"/>
    <w:rsid w:val="003C102D"/>
    <w:rsid w:val="003C5A53"/>
    <w:rsid w:val="003D54FF"/>
    <w:rsid w:val="003E3CED"/>
    <w:rsid w:val="003E66D3"/>
    <w:rsid w:val="003F7B1D"/>
    <w:rsid w:val="004072DC"/>
    <w:rsid w:val="0042750B"/>
    <w:rsid w:val="00433343"/>
    <w:rsid w:val="00433D18"/>
    <w:rsid w:val="00435EB0"/>
    <w:rsid w:val="004437E9"/>
    <w:rsid w:val="00453360"/>
    <w:rsid w:val="004814F0"/>
    <w:rsid w:val="00482763"/>
    <w:rsid w:val="00485EB9"/>
    <w:rsid w:val="004863E5"/>
    <w:rsid w:val="004970EC"/>
    <w:rsid w:val="004A2CEC"/>
    <w:rsid w:val="004C304D"/>
    <w:rsid w:val="004D16B5"/>
    <w:rsid w:val="004D6CFE"/>
    <w:rsid w:val="004E1286"/>
    <w:rsid w:val="00501183"/>
    <w:rsid w:val="00504630"/>
    <w:rsid w:val="0051569D"/>
    <w:rsid w:val="00527E06"/>
    <w:rsid w:val="00535A29"/>
    <w:rsid w:val="00536409"/>
    <w:rsid w:val="005402F5"/>
    <w:rsid w:val="00545AF7"/>
    <w:rsid w:val="0055063D"/>
    <w:rsid w:val="005607F6"/>
    <w:rsid w:val="005709DE"/>
    <w:rsid w:val="00571B9D"/>
    <w:rsid w:val="0057503C"/>
    <w:rsid w:val="005768F5"/>
    <w:rsid w:val="0059509B"/>
    <w:rsid w:val="005B1950"/>
    <w:rsid w:val="005C6605"/>
    <w:rsid w:val="005D12A8"/>
    <w:rsid w:val="005D32AF"/>
    <w:rsid w:val="005D7E1F"/>
    <w:rsid w:val="00601E82"/>
    <w:rsid w:val="006309DF"/>
    <w:rsid w:val="00631C5F"/>
    <w:rsid w:val="006323FD"/>
    <w:rsid w:val="00642E62"/>
    <w:rsid w:val="00657338"/>
    <w:rsid w:val="0067794A"/>
    <w:rsid w:val="00684A89"/>
    <w:rsid w:val="006A3093"/>
    <w:rsid w:val="006A6E18"/>
    <w:rsid w:val="006C364D"/>
    <w:rsid w:val="006C4F50"/>
    <w:rsid w:val="006C691C"/>
    <w:rsid w:val="00700FFF"/>
    <w:rsid w:val="00702D02"/>
    <w:rsid w:val="00710E1B"/>
    <w:rsid w:val="00731A37"/>
    <w:rsid w:val="00734412"/>
    <w:rsid w:val="00736DD8"/>
    <w:rsid w:val="00737DF0"/>
    <w:rsid w:val="00742B1D"/>
    <w:rsid w:val="00745AA5"/>
    <w:rsid w:val="00762834"/>
    <w:rsid w:val="00767E5F"/>
    <w:rsid w:val="007737EB"/>
    <w:rsid w:val="00786597"/>
    <w:rsid w:val="007869E4"/>
    <w:rsid w:val="007A5C92"/>
    <w:rsid w:val="007D7C15"/>
    <w:rsid w:val="007E3CE0"/>
    <w:rsid w:val="007F0940"/>
    <w:rsid w:val="0080237F"/>
    <w:rsid w:val="00810870"/>
    <w:rsid w:val="00813951"/>
    <w:rsid w:val="008233E8"/>
    <w:rsid w:val="0082730B"/>
    <w:rsid w:val="00832E93"/>
    <w:rsid w:val="0083554F"/>
    <w:rsid w:val="00840722"/>
    <w:rsid w:val="00843E92"/>
    <w:rsid w:val="00851EFE"/>
    <w:rsid w:val="008802DD"/>
    <w:rsid w:val="00883AED"/>
    <w:rsid w:val="008A1966"/>
    <w:rsid w:val="008D5CE5"/>
    <w:rsid w:val="008E7C87"/>
    <w:rsid w:val="008F5C11"/>
    <w:rsid w:val="008F76DF"/>
    <w:rsid w:val="00902EEE"/>
    <w:rsid w:val="0091189B"/>
    <w:rsid w:val="00925EEF"/>
    <w:rsid w:val="00930FD4"/>
    <w:rsid w:val="00943B85"/>
    <w:rsid w:val="00952D80"/>
    <w:rsid w:val="00954010"/>
    <w:rsid w:val="00960B92"/>
    <w:rsid w:val="009701B5"/>
    <w:rsid w:val="00971D40"/>
    <w:rsid w:val="00982C8A"/>
    <w:rsid w:val="00987628"/>
    <w:rsid w:val="00993715"/>
    <w:rsid w:val="009A2E4B"/>
    <w:rsid w:val="009A3082"/>
    <w:rsid w:val="009A383A"/>
    <w:rsid w:val="009B5540"/>
    <w:rsid w:val="009B6BB2"/>
    <w:rsid w:val="009D0B1C"/>
    <w:rsid w:val="009D11B6"/>
    <w:rsid w:val="009D2E89"/>
    <w:rsid w:val="009F28E7"/>
    <w:rsid w:val="00A002D4"/>
    <w:rsid w:val="00A12966"/>
    <w:rsid w:val="00A331FE"/>
    <w:rsid w:val="00A35963"/>
    <w:rsid w:val="00A36757"/>
    <w:rsid w:val="00A42112"/>
    <w:rsid w:val="00A45E7E"/>
    <w:rsid w:val="00A479E5"/>
    <w:rsid w:val="00A57719"/>
    <w:rsid w:val="00A67C1D"/>
    <w:rsid w:val="00A76349"/>
    <w:rsid w:val="00A80C8F"/>
    <w:rsid w:val="00A91DFB"/>
    <w:rsid w:val="00AA1680"/>
    <w:rsid w:val="00AA5FB7"/>
    <w:rsid w:val="00AC79B8"/>
    <w:rsid w:val="00AD1643"/>
    <w:rsid w:val="00AD1D88"/>
    <w:rsid w:val="00AE01D6"/>
    <w:rsid w:val="00AE182A"/>
    <w:rsid w:val="00AF04E2"/>
    <w:rsid w:val="00AF317D"/>
    <w:rsid w:val="00AF7965"/>
    <w:rsid w:val="00B230AC"/>
    <w:rsid w:val="00B30F5E"/>
    <w:rsid w:val="00B37C10"/>
    <w:rsid w:val="00B452EE"/>
    <w:rsid w:val="00B50112"/>
    <w:rsid w:val="00B75A82"/>
    <w:rsid w:val="00B77708"/>
    <w:rsid w:val="00B839B6"/>
    <w:rsid w:val="00B9028A"/>
    <w:rsid w:val="00B90AC6"/>
    <w:rsid w:val="00BA13BF"/>
    <w:rsid w:val="00BA696A"/>
    <w:rsid w:val="00BA72C0"/>
    <w:rsid w:val="00BA7CBC"/>
    <w:rsid w:val="00BD193F"/>
    <w:rsid w:val="00BD7C4A"/>
    <w:rsid w:val="00BE59C4"/>
    <w:rsid w:val="00BF0CC5"/>
    <w:rsid w:val="00C132B1"/>
    <w:rsid w:val="00C1725D"/>
    <w:rsid w:val="00C56285"/>
    <w:rsid w:val="00C720E3"/>
    <w:rsid w:val="00C74098"/>
    <w:rsid w:val="00C775AF"/>
    <w:rsid w:val="00C91C79"/>
    <w:rsid w:val="00C923FE"/>
    <w:rsid w:val="00CA375B"/>
    <w:rsid w:val="00CB0006"/>
    <w:rsid w:val="00CC5DC3"/>
    <w:rsid w:val="00CD2820"/>
    <w:rsid w:val="00CE3DA4"/>
    <w:rsid w:val="00CF1132"/>
    <w:rsid w:val="00CF4E82"/>
    <w:rsid w:val="00D0323B"/>
    <w:rsid w:val="00D03EA1"/>
    <w:rsid w:val="00D16CEB"/>
    <w:rsid w:val="00D3715A"/>
    <w:rsid w:val="00D42A1E"/>
    <w:rsid w:val="00D47F40"/>
    <w:rsid w:val="00D53220"/>
    <w:rsid w:val="00D55CE2"/>
    <w:rsid w:val="00D55CF4"/>
    <w:rsid w:val="00D810B0"/>
    <w:rsid w:val="00D81CAA"/>
    <w:rsid w:val="00DA5B18"/>
    <w:rsid w:val="00DA7B6A"/>
    <w:rsid w:val="00DB0769"/>
    <w:rsid w:val="00DB14C9"/>
    <w:rsid w:val="00DC1469"/>
    <w:rsid w:val="00DC49C3"/>
    <w:rsid w:val="00DC7DD0"/>
    <w:rsid w:val="00DD4E87"/>
    <w:rsid w:val="00DE2043"/>
    <w:rsid w:val="00DE4E57"/>
    <w:rsid w:val="00DF4C0D"/>
    <w:rsid w:val="00DF6A1F"/>
    <w:rsid w:val="00DF76EF"/>
    <w:rsid w:val="00E07E4A"/>
    <w:rsid w:val="00E115B0"/>
    <w:rsid w:val="00E12504"/>
    <w:rsid w:val="00E1701F"/>
    <w:rsid w:val="00E32BD5"/>
    <w:rsid w:val="00E3312F"/>
    <w:rsid w:val="00E416CD"/>
    <w:rsid w:val="00E449E7"/>
    <w:rsid w:val="00E4675A"/>
    <w:rsid w:val="00E56961"/>
    <w:rsid w:val="00E84E3A"/>
    <w:rsid w:val="00E87B28"/>
    <w:rsid w:val="00E92E83"/>
    <w:rsid w:val="00EA13DF"/>
    <w:rsid w:val="00EA5706"/>
    <w:rsid w:val="00EC07A7"/>
    <w:rsid w:val="00ED4ACA"/>
    <w:rsid w:val="00EE2334"/>
    <w:rsid w:val="00EF21A0"/>
    <w:rsid w:val="00EF3AF4"/>
    <w:rsid w:val="00EF703B"/>
    <w:rsid w:val="00F159EA"/>
    <w:rsid w:val="00F26FFF"/>
    <w:rsid w:val="00F53533"/>
    <w:rsid w:val="00F667AA"/>
    <w:rsid w:val="00F66A9B"/>
    <w:rsid w:val="00F7346B"/>
    <w:rsid w:val="00F74EF9"/>
    <w:rsid w:val="00F853E0"/>
    <w:rsid w:val="00F9051B"/>
    <w:rsid w:val="00F937F0"/>
    <w:rsid w:val="00FB379A"/>
    <w:rsid w:val="00FC4EFB"/>
    <w:rsid w:val="00FD536B"/>
    <w:rsid w:val="00FE2BCF"/>
    <w:rsid w:val="00FE58B4"/>
    <w:rsid w:val="00FF446F"/>
    <w:rsid w:val="00FF57FE"/>
    <w:rsid w:val="00FF75D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2592"/>
  <w15:docId w15:val="{08B91023-76F9-4C8C-A61E-764C7845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3B"/>
    <w:pPr>
      <w:spacing w:after="120"/>
    </w:pPr>
    <w:rPr>
      <w:rFonts w:asciiTheme="minorHAnsi" w:hAnsiTheme="minorHAnsi"/>
    </w:rPr>
  </w:style>
  <w:style w:type="paragraph" w:styleId="Heading1">
    <w:name w:val="heading 1"/>
    <w:basedOn w:val="Normal"/>
    <w:next w:val="Normal"/>
    <w:link w:val="Heading1Char"/>
    <w:uiPriority w:val="9"/>
    <w:qFormat/>
    <w:rsid w:val="00054C3B"/>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Heading4"/>
    <w:next w:val="Normal"/>
    <w:link w:val="Heading2Char"/>
    <w:uiPriority w:val="9"/>
    <w:unhideWhenUsed/>
    <w:qFormat/>
    <w:rsid w:val="00982C8A"/>
    <w:pPr>
      <w:spacing w:after="240"/>
      <w:outlineLvl w:val="1"/>
    </w:pPr>
    <w:rPr>
      <w:rFonts w:ascii="Franklin Gothic Book" w:eastAsia="MS Mincho" w:hAnsi="Franklin Gothic Book"/>
      <w:b w:val="0"/>
      <w:color w:val="342568"/>
      <w:sz w:val="24"/>
      <w:szCs w:val="24"/>
      <w:lang w:val="en-GB" w:eastAsia="ja-JP"/>
    </w:rPr>
  </w:style>
  <w:style w:type="paragraph" w:styleId="Heading3">
    <w:name w:val="heading 3"/>
    <w:basedOn w:val="Normal"/>
    <w:next w:val="Normal"/>
    <w:link w:val="Heading3Char"/>
    <w:uiPriority w:val="9"/>
    <w:unhideWhenUsed/>
    <w:qFormat/>
    <w:rsid w:val="00710E1B"/>
    <w:pPr>
      <w:spacing w:before="240" w:after="60" w:line="264" w:lineRule="auto"/>
      <w:outlineLvl w:val="2"/>
    </w:pPr>
    <w:rPr>
      <w:rFonts w:ascii="Calibri" w:eastAsiaTheme="minorEastAsia" w:hAnsi="Calibri" w:cstheme="minorBidi"/>
      <w:b/>
      <w:bCs/>
      <w:color w:val="595959" w:themeColor="text1" w:themeTint="A6"/>
      <w:sz w:val="26"/>
      <w:szCs w:val="26"/>
    </w:rPr>
  </w:style>
  <w:style w:type="paragraph" w:styleId="Heading4">
    <w:name w:val="heading 4"/>
    <w:basedOn w:val="Normal"/>
    <w:next w:val="Normal"/>
    <w:link w:val="Heading4Char"/>
    <w:uiPriority w:val="9"/>
    <w:unhideWhenUsed/>
    <w:qFormat/>
    <w:rsid w:val="00710E1B"/>
    <w:pPr>
      <w:spacing w:before="120"/>
      <w:outlineLvl w:val="3"/>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3Char">
    <w:name w:val="Heading 3 Char"/>
    <w:basedOn w:val="DefaultParagraphFont"/>
    <w:link w:val="Heading3"/>
    <w:uiPriority w:val="9"/>
    <w:rsid w:val="00710E1B"/>
    <w:rPr>
      <w:rFonts w:ascii="Calibri" w:eastAsiaTheme="minorEastAsia" w:hAnsi="Calibri" w:cstheme="minorBidi"/>
      <w:b/>
      <w:bCs/>
      <w:color w:val="595959" w:themeColor="text1" w:themeTint="A6"/>
      <w:sz w:val="26"/>
      <w:szCs w:val="26"/>
      <w:lang w:val="en-AU"/>
    </w:rPr>
  </w:style>
  <w:style w:type="character" w:customStyle="1" w:styleId="Heading4Char">
    <w:name w:val="Heading 4 Char"/>
    <w:basedOn w:val="DefaultParagraphFont"/>
    <w:link w:val="Heading4"/>
    <w:uiPriority w:val="9"/>
    <w:rsid w:val="00710E1B"/>
    <w:rPr>
      <w:rFonts w:ascii="Calibri" w:hAnsi="Calibri" w:cs="Calibri"/>
      <w:b/>
      <w:szCs w:val="22"/>
      <w:lang w:val="en-AU" w:eastAsia="en-AU"/>
    </w:rPr>
  </w:style>
  <w:style w:type="paragraph" w:customStyle="1" w:styleId="ListItem">
    <w:name w:val="List Item"/>
    <w:basedOn w:val="Normal"/>
    <w:link w:val="ListItemChar"/>
    <w:qFormat/>
    <w:rsid w:val="00710E1B"/>
    <w:pPr>
      <w:spacing w:before="120"/>
    </w:pPr>
    <w:rPr>
      <w:rFonts w:ascii="Calibri" w:hAnsi="Calibri" w:cs="Calibri"/>
    </w:rPr>
  </w:style>
  <w:style w:type="character" w:customStyle="1" w:styleId="ListItemChar">
    <w:name w:val="List Item Char"/>
    <w:basedOn w:val="DefaultParagraphFont"/>
    <w:link w:val="ListItem"/>
    <w:rsid w:val="00710E1B"/>
    <w:rPr>
      <w:rFonts w:ascii="Calibri" w:hAnsi="Calibri" w:cs="Calibri"/>
      <w:szCs w:val="22"/>
      <w:lang w:val="en-AU" w:eastAsia="en-AU"/>
    </w:rPr>
  </w:style>
  <w:style w:type="character" w:customStyle="1" w:styleId="Heading1Char">
    <w:name w:val="Heading 1 Char"/>
    <w:basedOn w:val="DefaultParagraphFont"/>
    <w:link w:val="Heading1"/>
    <w:uiPriority w:val="9"/>
    <w:rsid w:val="00054C3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82C8A"/>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813951"/>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rsid w:val="007A5C92"/>
    <w:rPr>
      <w:rFonts w:ascii="Arial" w:hAnsi="Arial"/>
      <w:szCs w:val="20"/>
    </w:rPr>
  </w:style>
  <w:style w:type="paragraph" w:styleId="ListBullet2">
    <w:name w:val="List Bullet 2"/>
    <w:basedOn w:val="Normal"/>
    <w:uiPriority w:val="99"/>
    <w:unhideWhenUsed/>
    <w:qFormat/>
    <w:rsid w:val="00054C3B"/>
    <w:pPr>
      <w:numPr>
        <w:numId w:val="4"/>
      </w:numPr>
      <w:ind w:left="714" w:hanging="357"/>
      <w:contextualSpacing/>
    </w:pPr>
    <w:rPr>
      <w:rFonts w:ascii="Calibri" w:eastAsiaTheme="minorEastAsia" w:hAnsi="Calibri" w:cstheme="minorBidi"/>
    </w:rPr>
  </w:style>
  <w:style w:type="paragraph" w:customStyle="1" w:styleId="List1">
    <w:name w:val="List 1"/>
    <w:basedOn w:val="Normal"/>
    <w:link w:val="List1Char"/>
    <w:qFormat/>
    <w:rsid w:val="00CF4E82"/>
    <w:pPr>
      <w:spacing w:before="120"/>
    </w:pPr>
    <w:rPr>
      <w:rFonts w:ascii="Calibri" w:hAnsi="Calibri"/>
      <w:iCs/>
    </w:rPr>
  </w:style>
  <w:style w:type="character" w:customStyle="1" w:styleId="List1Char">
    <w:name w:val="List 1 Char"/>
    <w:basedOn w:val="DefaultParagraphFont"/>
    <w:link w:val="List1"/>
    <w:rsid w:val="00CF4E82"/>
    <w:rPr>
      <w:rFonts w:ascii="Calibri" w:hAnsi="Calibri"/>
      <w:iCs/>
      <w:szCs w:val="22"/>
      <w:lang w:val="en-AU" w:eastAsia="en-AU"/>
    </w:rPr>
  </w:style>
  <w:style w:type="character" w:styleId="Hyperlink">
    <w:name w:val="Hyperlink"/>
    <w:uiPriority w:val="99"/>
    <w:unhideWhenUsed/>
    <w:rsid w:val="008802DD"/>
    <w:rPr>
      <w:rFonts w:ascii="Calibri" w:hAnsi="Calibri"/>
      <w:color w:val="410082" w:themeColor="hyperlink"/>
      <w:u w:val="single"/>
    </w:rPr>
  </w:style>
  <w:style w:type="paragraph" w:styleId="Title">
    <w:name w:val="Title"/>
    <w:basedOn w:val="Normal"/>
    <w:link w:val="TitleChar"/>
    <w:uiPriority w:val="99"/>
    <w:qFormat/>
    <w:rsid w:val="009A383A"/>
    <w:pPr>
      <w:jc w:val="center"/>
    </w:pPr>
    <w:rPr>
      <w:b/>
      <w:bCs/>
    </w:rPr>
  </w:style>
  <w:style w:type="character" w:customStyle="1" w:styleId="TitleChar">
    <w:name w:val="Title Char"/>
    <w:basedOn w:val="DefaultParagraphFont"/>
    <w:link w:val="Title"/>
    <w:uiPriority w:val="99"/>
    <w:rsid w:val="009A383A"/>
    <w:rPr>
      <w:rFonts w:ascii="Times New Roman" w:eastAsia="Times New Roman" w:hAnsi="Times New Roman" w:cs="Times New Roman"/>
      <w:b/>
      <w:bCs/>
      <w:sz w:val="24"/>
    </w:rPr>
  </w:style>
  <w:style w:type="paragraph" w:styleId="NoSpacing">
    <w:name w:val="No Spacing"/>
    <w:uiPriority w:val="1"/>
    <w:qFormat/>
    <w:rsid w:val="00054C3B"/>
    <w:pPr>
      <w:spacing w:after="0" w:line="240" w:lineRule="auto"/>
    </w:pPr>
    <w:rPr>
      <w:rFonts w:asciiTheme="minorHAnsi" w:hAnsiTheme="minorHAnsi"/>
    </w:rPr>
  </w:style>
  <w:style w:type="paragraph" w:styleId="ListBullet">
    <w:name w:val="List Bullet"/>
    <w:basedOn w:val="Normal"/>
    <w:uiPriority w:val="99"/>
    <w:unhideWhenUsed/>
    <w:rsid w:val="00054C3B"/>
    <w:pPr>
      <w:numPr>
        <w:numId w:val="3"/>
      </w:numPr>
      <w:spacing w:after="0"/>
      <w:ind w:left="357" w:hanging="357"/>
      <w:contextualSpacing/>
    </w:pPr>
  </w:style>
  <w:style w:type="paragraph" w:customStyle="1" w:styleId="Listbullettable">
    <w:name w:val="List bullet table"/>
    <w:qFormat/>
    <w:rsid w:val="00054C3B"/>
    <w:pPr>
      <w:numPr>
        <w:numId w:val="5"/>
      </w:numPr>
      <w:spacing w:after="0" w:line="240" w:lineRule="auto"/>
      <w:ind w:left="357" w:hanging="357"/>
    </w:pPr>
    <w:rPr>
      <w:rFonts w:asciiTheme="minorHAnsi" w:eastAsia="Times New Roman" w:hAnsiTheme="minorHAnsi"/>
      <w:sz w:val="20"/>
    </w:rPr>
  </w:style>
  <w:style w:type="paragraph" w:customStyle="1" w:styleId="Listbullet2table">
    <w:name w:val="List bullet 2 table"/>
    <w:next w:val="Normal"/>
    <w:qFormat/>
    <w:rsid w:val="00054C3B"/>
    <w:pPr>
      <w:numPr>
        <w:numId w:val="2"/>
      </w:numPr>
      <w:tabs>
        <w:tab w:val="left" w:pos="709"/>
      </w:tabs>
      <w:spacing w:after="0" w:line="240" w:lineRule="auto"/>
      <w:ind w:left="714" w:hanging="357"/>
    </w:pPr>
    <w:rPr>
      <w:rFonts w:ascii="Calibri" w:eastAsia="Times" w:hAnsi="Calibri" w:cs="Calibri"/>
      <w:sz w:val="20"/>
      <w:szCs w:val="16"/>
    </w:rPr>
  </w:style>
  <w:style w:type="paragraph" w:customStyle="1" w:styleId="Heading1table">
    <w:name w:val="Heading 1 table"/>
    <w:basedOn w:val="Normal"/>
    <w:qFormat/>
    <w:rsid w:val="00810870"/>
    <w:pPr>
      <w:tabs>
        <w:tab w:val="left" w:pos="-851"/>
      </w:tabs>
      <w:spacing w:before="60" w:after="60" w:line="240" w:lineRule="auto"/>
      <w:contextualSpacing/>
    </w:pPr>
    <w:rPr>
      <w:rFonts w:eastAsia="Times New Roman" w:cstheme="minorHAnsi"/>
      <w:b/>
      <w:sz w:val="20"/>
    </w:rPr>
  </w:style>
  <w:style w:type="paragraph" w:customStyle="1" w:styleId="Bodytable">
    <w:name w:val="Body table"/>
    <w:basedOn w:val="Normal"/>
    <w:qFormat/>
    <w:rsid w:val="00810870"/>
    <w:pPr>
      <w:spacing w:before="60" w:after="60"/>
      <w:ind w:right="-26"/>
    </w:pPr>
    <w:rPr>
      <w:rFonts w:ascii="Calibri" w:eastAsia="Times New Roman" w:hAnsi="Calibri"/>
      <w:sz w:val="20"/>
    </w:rPr>
  </w:style>
  <w:style w:type="character" w:styleId="CommentReference">
    <w:name w:val="annotation reference"/>
    <w:basedOn w:val="DefaultParagraphFont"/>
    <w:uiPriority w:val="99"/>
    <w:semiHidden/>
    <w:unhideWhenUsed/>
    <w:rsid w:val="00DD4E87"/>
    <w:rPr>
      <w:sz w:val="16"/>
      <w:szCs w:val="16"/>
    </w:rPr>
  </w:style>
  <w:style w:type="paragraph" w:styleId="CommentText">
    <w:name w:val="annotation text"/>
    <w:basedOn w:val="Normal"/>
    <w:link w:val="CommentTextChar"/>
    <w:uiPriority w:val="99"/>
    <w:semiHidden/>
    <w:unhideWhenUsed/>
    <w:rsid w:val="00DD4E87"/>
    <w:pPr>
      <w:spacing w:line="240" w:lineRule="auto"/>
    </w:pPr>
    <w:rPr>
      <w:sz w:val="20"/>
      <w:szCs w:val="20"/>
    </w:rPr>
  </w:style>
  <w:style w:type="character" w:customStyle="1" w:styleId="CommentTextChar">
    <w:name w:val="Comment Text Char"/>
    <w:basedOn w:val="DefaultParagraphFont"/>
    <w:link w:val="CommentText"/>
    <w:uiPriority w:val="99"/>
    <w:semiHidden/>
    <w:rsid w:val="00DD4E8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D4E87"/>
    <w:rPr>
      <w:b/>
      <w:bCs/>
    </w:rPr>
  </w:style>
  <w:style w:type="character" w:customStyle="1" w:styleId="CommentSubjectChar">
    <w:name w:val="Comment Subject Char"/>
    <w:basedOn w:val="CommentTextChar"/>
    <w:link w:val="CommentSubject"/>
    <w:uiPriority w:val="99"/>
    <w:semiHidden/>
    <w:rsid w:val="00DD4E87"/>
    <w:rPr>
      <w:rFonts w:asciiTheme="minorHAnsi" w:hAnsiTheme="minorHAnsi"/>
      <w:b/>
      <w:bCs/>
      <w:sz w:val="20"/>
      <w:szCs w:val="20"/>
    </w:rPr>
  </w:style>
  <w:style w:type="character" w:styleId="FollowedHyperlink">
    <w:name w:val="FollowedHyperlink"/>
    <w:basedOn w:val="DefaultParagraphFont"/>
    <w:uiPriority w:val="99"/>
    <w:semiHidden/>
    <w:unhideWhenUsed/>
    <w:rsid w:val="009701B5"/>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2212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straliacouncil.gov.au/investment-and-development/protocols-and-resources/protocols-for-using-first-nations-cultural-and-intellectual-property-in-the-art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99A8-7F1F-49DA-8247-A04775DA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Carolyn.Fleischer@scsa.wa.edu.au</dc:creator>
  <cp:keywords/>
  <dc:description/>
  <cp:lastModifiedBy>Jo Merrey</cp:lastModifiedBy>
  <cp:revision>6</cp:revision>
  <cp:lastPrinted>2022-08-17T01:27:00Z</cp:lastPrinted>
  <dcterms:created xsi:type="dcterms:W3CDTF">2022-08-30T05:08:00Z</dcterms:created>
  <dcterms:modified xsi:type="dcterms:W3CDTF">2022-09-28T05:10:00Z</dcterms:modified>
</cp:coreProperties>
</file>