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1E64" w14:textId="6B644740" w:rsidR="00456F14" w:rsidRPr="00456F14" w:rsidRDefault="00096F4E" w:rsidP="00456F14">
      <w:pPr>
        <w:spacing w:line="256" w:lineRule="auto"/>
        <w:rPr>
          <w:rFonts w:eastAsia="Calibri" w:cs="Times New Roman"/>
          <w:b/>
          <w:bCs/>
          <w:kern w:val="0"/>
          <w14:ligatures w14:val="none"/>
        </w:rPr>
      </w:pPr>
      <w:bookmarkStart w:id="0" w:name="_Hlk203403011"/>
      <w:bookmarkStart w:id="1" w:name="_Hlk203478615"/>
      <w:r>
        <w:rPr>
          <w:rFonts w:eastAsia="Calibri" w:cs="Times New Roman"/>
          <w:b/>
          <w:bCs/>
          <w:kern w:val="0"/>
          <w14:ligatures w14:val="none"/>
        </w:rPr>
        <w:t>Drama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| </w:t>
      </w:r>
      <w:r>
        <w:rPr>
          <w:rFonts w:eastAsia="Calibri" w:cs="Times New Roman"/>
          <w:b/>
          <w:bCs/>
          <w:kern w:val="0"/>
          <w14:ligatures w14:val="none"/>
        </w:rPr>
        <w:t>ATAR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Year </w:t>
      </w:r>
      <w:r w:rsidR="00C45C29">
        <w:rPr>
          <w:rFonts w:eastAsia="Calibri" w:cs="Times New Roman"/>
          <w:b/>
          <w:bCs/>
          <w:kern w:val="0"/>
          <w14:ligatures w14:val="none"/>
        </w:rPr>
        <w:t>12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| Summary of minor syllabus changes for 202</w:t>
      </w:r>
      <w:r w:rsidR="00E95483">
        <w:rPr>
          <w:rFonts w:eastAsia="Calibri" w:cs="Times New Roman"/>
          <w:b/>
          <w:bCs/>
          <w:kern w:val="0"/>
          <w14:ligatures w14:val="none"/>
        </w:rPr>
        <w:t>6</w:t>
      </w:r>
    </w:p>
    <w:p w14:paraId="3C5388D0" w14:textId="2731FCE2" w:rsidR="003C3841" w:rsidRDefault="00456F14" w:rsidP="00456F14">
      <w:pPr>
        <w:spacing w:line="256" w:lineRule="auto"/>
        <w:rPr>
          <w:rFonts w:eastAsia="Calibri" w:cs="Times New Roman"/>
          <w:kern w:val="0"/>
          <w14:ligatures w14:val="none"/>
        </w:rPr>
      </w:pPr>
      <w:r w:rsidRPr="001F5239">
        <w:rPr>
          <w:rFonts w:eastAsia="Calibri" w:cs="Times New Roman"/>
          <w:kern w:val="0"/>
          <w14:ligatures w14:val="none"/>
        </w:rPr>
        <w:t xml:space="preserve">The content identified by </w:t>
      </w:r>
      <w:r w:rsidRPr="001F5239">
        <w:rPr>
          <w:rFonts w:eastAsia="Calibri" w:cs="Times New Roman"/>
          <w:strike/>
          <w:kern w:val="0"/>
          <w14:ligatures w14:val="none"/>
        </w:rPr>
        <w:t>strikethrough</w:t>
      </w:r>
      <w:r w:rsidRPr="001F5239">
        <w:rPr>
          <w:rFonts w:eastAsia="Calibri" w:cs="Times New Roman"/>
          <w:kern w:val="0"/>
          <w14:ligatures w14:val="none"/>
        </w:rPr>
        <w:t xml:space="preserve"> has been deleted from the syllabus and the content identified in </w:t>
      </w:r>
      <w:r w:rsidRPr="001F5239">
        <w:rPr>
          <w:rFonts w:eastAsia="Calibri" w:cs="Times New Roman"/>
          <w:i/>
          <w:kern w:val="0"/>
          <w14:ligatures w14:val="none"/>
        </w:rPr>
        <w:t>italics</w:t>
      </w:r>
      <w:r w:rsidRPr="001F5239">
        <w:rPr>
          <w:rFonts w:eastAsia="Calibri" w:cs="Times New Roman"/>
          <w:kern w:val="0"/>
          <w14:ligatures w14:val="none"/>
        </w:rPr>
        <w:t xml:space="preserve"> has been revised in the syllabus for teaching from 202</w:t>
      </w:r>
      <w:r w:rsidR="00BE1875">
        <w:rPr>
          <w:rFonts w:eastAsia="Calibri" w:cs="Times New Roman"/>
          <w:kern w:val="0"/>
          <w14:ligatures w14:val="none"/>
        </w:rPr>
        <w:t>6</w:t>
      </w:r>
      <w:r w:rsidRPr="001F5239">
        <w:rPr>
          <w:rFonts w:eastAsia="Calibri" w:cs="Times New Roman"/>
          <w:kern w:val="0"/>
          <w14:ligatures w14:val="none"/>
        </w:rPr>
        <w:t>.</w:t>
      </w:r>
    </w:p>
    <w:p w14:paraId="58455188" w14:textId="0F0AE227" w:rsidR="00AF731A" w:rsidRPr="000B25B3" w:rsidRDefault="00235FD6" w:rsidP="000B25B3">
      <w:pPr>
        <w:rPr>
          <w:b/>
          <w:bCs/>
        </w:rPr>
      </w:pPr>
      <w:bookmarkStart w:id="2" w:name="_Toc32839431"/>
      <w:bookmarkStart w:id="3" w:name="_Toc33190909"/>
      <w:bookmarkEnd w:id="0"/>
      <w:r w:rsidRPr="000B25B3">
        <w:rPr>
          <w:b/>
          <w:bCs/>
        </w:rPr>
        <w:t xml:space="preserve">Unit 3 </w:t>
      </w:r>
    </w:p>
    <w:p w14:paraId="38720730" w14:textId="18964798" w:rsidR="00235FD6" w:rsidRPr="000B25B3" w:rsidRDefault="00235FD6" w:rsidP="000B25B3">
      <w:pPr>
        <w:spacing w:after="0"/>
        <w:rPr>
          <w:b/>
          <w:bCs/>
        </w:rPr>
      </w:pPr>
      <w:r w:rsidRPr="000B25B3">
        <w:rPr>
          <w:b/>
          <w:bCs/>
        </w:rPr>
        <w:t>Contextual knowledge</w:t>
      </w:r>
      <w:bookmarkEnd w:id="2"/>
      <w:bookmarkEnd w:id="3"/>
    </w:p>
    <w:p w14:paraId="1B60FBD5" w14:textId="77777777" w:rsidR="00AF731A" w:rsidRPr="000B25B3" w:rsidRDefault="00AF731A" w:rsidP="000B25B3">
      <w:pPr>
        <w:pStyle w:val="ListParagraph"/>
        <w:numPr>
          <w:ilvl w:val="0"/>
          <w:numId w:val="8"/>
        </w:numPr>
        <w:rPr>
          <w:i/>
          <w:iCs/>
        </w:rPr>
      </w:pPr>
      <w:r w:rsidRPr="000B25B3">
        <w:rPr>
          <w:i/>
          <w:iCs/>
        </w:rPr>
        <w:t xml:space="preserve">historical, social and cultural context </w:t>
      </w:r>
    </w:p>
    <w:p w14:paraId="72A9EDC5" w14:textId="77777777" w:rsidR="00AF731A" w:rsidRPr="000B25B3" w:rsidRDefault="00AF731A" w:rsidP="000B25B3">
      <w:pPr>
        <w:pStyle w:val="ListParagraph"/>
        <w:numPr>
          <w:ilvl w:val="0"/>
          <w:numId w:val="8"/>
        </w:numPr>
        <w:rPr>
          <w:i/>
          <w:iCs/>
        </w:rPr>
      </w:pPr>
      <w:r w:rsidRPr="000B25B3">
        <w:rPr>
          <w:i/>
          <w:iCs/>
        </w:rPr>
        <w:t>character value/s</w:t>
      </w:r>
    </w:p>
    <w:p w14:paraId="54DF738E" w14:textId="14C5DBF6" w:rsidR="00AF731A" w:rsidRPr="000B25B3" w:rsidRDefault="00AF731A" w:rsidP="000B25B3">
      <w:pPr>
        <w:pStyle w:val="ListParagraph"/>
        <w:numPr>
          <w:ilvl w:val="0"/>
          <w:numId w:val="8"/>
        </w:numPr>
        <w:rPr>
          <w:i/>
          <w:iCs/>
        </w:rPr>
      </w:pPr>
      <w:r w:rsidRPr="000B25B3">
        <w:rPr>
          <w:i/>
          <w:iCs/>
        </w:rPr>
        <w:t>point of view to shape audience perspective</w:t>
      </w:r>
    </w:p>
    <w:p w14:paraId="098A89D8" w14:textId="77777777" w:rsidR="00235FD6" w:rsidRPr="00345171" w:rsidRDefault="00235FD6" w:rsidP="000B25B3">
      <w:pPr>
        <w:spacing w:after="0" w:line="269" w:lineRule="auto"/>
        <w:rPr>
          <w:b/>
          <w:bCs/>
        </w:rPr>
      </w:pPr>
      <w:r w:rsidRPr="00345171">
        <w:rPr>
          <w:b/>
          <w:bCs/>
        </w:rPr>
        <w:t>Drama conventions</w:t>
      </w:r>
    </w:p>
    <w:p w14:paraId="22D6C8EF" w14:textId="77777777" w:rsidR="00235FD6" w:rsidRPr="000B25B3" w:rsidRDefault="00235FD6" w:rsidP="000B25B3">
      <w:pPr>
        <w:pStyle w:val="ListParagraph"/>
        <w:numPr>
          <w:ilvl w:val="0"/>
          <w:numId w:val="10"/>
        </w:numPr>
      </w:pPr>
      <w:r w:rsidRPr="000B25B3">
        <w:t xml:space="preserve">conventions and strategies in rehearsing and performing drama based on a selected approach </w:t>
      </w:r>
    </w:p>
    <w:p w14:paraId="24E74BC6" w14:textId="77777777" w:rsidR="00235FD6" w:rsidRPr="000B25B3" w:rsidRDefault="00235FD6" w:rsidP="000B25B3">
      <w:pPr>
        <w:pStyle w:val="ListParagraph"/>
        <w:numPr>
          <w:ilvl w:val="0"/>
          <w:numId w:val="10"/>
        </w:numPr>
      </w:pPr>
      <w:r w:rsidRPr="000B25B3">
        <w:t xml:space="preserve">form and style </w:t>
      </w:r>
    </w:p>
    <w:p w14:paraId="5852A154" w14:textId="77777777" w:rsidR="00235FD6" w:rsidRPr="000B25B3" w:rsidRDefault="00235FD6" w:rsidP="000B25B3">
      <w:pPr>
        <w:pStyle w:val="ListParagraph"/>
        <w:numPr>
          <w:ilvl w:val="0"/>
          <w:numId w:val="10"/>
        </w:numPr>
        <w:rPr>
          <w:strike/>
        </w:rPr>
      </w:pPr>
      <w:r w:rsidRPr="000B25B3">
        <w:rPr>
          <w:strike/>
        </w:rPr>
        <w:t xml:space="preserve">historical, social and cultural context </w:t>
      </w:r>
    </w:p>
    <w:p w14:paraId="7503E868" w14:textId="77777777" w:rsidR="00235FD6" w:rsidRPr="000B25B3" w:rsidRDefault="00235FD6" w:rsidP="000B25B3">
      <w:pPr>
        <w:pStyle w:val="ListParagraph"/>
        <w:numPr>
          <w:ilvl w:val="0"/>
          <w:numId w:val="10"/>
        </w:numPr>
        <w:rPr>
          <w:strike/>
        </w:rPr>
      </w:pPr>
      <w:r w:rsidRPr="000B25B3">
        <w:rPr>
          <w:strike/>
        </w:rPr>
        <w:t>character value/s</w:t>
      </w:r>
    </w:p>
    <w:p w14:paraId="049CA980" w14:textId="5F3E9E61" w:rsidR="00284844" w:rsidRPr="000B25B3" w:rsidRDefault="00235FD6" w:rsidP="000B25B3">
      <w:pPr>
        <w:pStyle w:val="ListParagraph"/>
        <w:numPr>
          <w:ilvl w:val="0"/>
          <w:numId w:val="10"/>
        </w:numPr>
        <w:rPr>
          <w:strike/>
        </w:rPr>
      </w:pPr>
      <w:r w:rsidRPr="000B25B3">
        <w:rPr>
          <w:strike/>
        </w:rPr>
        <w:t>point of view to shape audience perspective</w:t>
      </w:r>
    </w:p>
    <w:p w14:paraId="3D182B1D" w14:textId="1328BBB3" w:rsidR="00235FD6" w:rsidRPr="000B25B3" w:rsidRDefault="00235FD6" w:rsidP="000B25B3">
      <w:pPr>
        <w:rPr>
          <w:b/>
          <w:bCs/>
        </w:rPr>
      </w:pPr>
      <w:r w:rsidRPr="000B25B3">
        <w:rPr>
          <w:b/>
          <w:bCs/>
        </w:rPr>
        <w:t>Unit 4</w:t>
      </w:r>
    </w:p>
    <w:p w14:paraId="6C729358" w14:textId="77777777" w:rsidR="00235FD6" w:rsidRPr="000B25B3" w:rsidRDefault="00235FD6" w:rsidP="000B25B3">
      <w:pPr>
        <w:spacing w:after="0"/>
        <w:rPr>
          <w:b/>
          <w:bCs/>
        </w:rPr>
      </w:pPr>
      <w:bookmarkStart w:id="4" w:name="_Toc32839440"/>
      <w:bookmarkStart w:id="5" w:name="_Toc33190918"/>
      <w:r w:rsidRPr="000B25B3">
        <w:rPr>
          <w:b/>
          <w:bCs/>
        </w:rPr>
        <w:t>Contextual knowledge</w:t>
      </w:r>
      <w:bookmarkEnd w:id="4"/>
      <w:bookmarkEnd w:id="5"/>
    </w:p>
    <w:p w14:paraId="3BA1C6F0" w14:textId="77777777" w:rsidR="00AF731A" w:rsidRPr="000B25B3" w:rsidRDefault="00AF731A" w:rsidP="000B25B3">
      <w:pPr>
        <w:pStyle w:val="ListParagraph"/>
        <w:numPr>
          <w:ilvl w:val="0"/>
          <w:numId w:val="12"/>
        </w:numPr>
        <w:rPr>
          <w:i/>
          <w:iCs/>
        </w:rPr>
      </w:pPr>
      <w:r w:rsidRPr="000B25B3">
        <w:rPr>
          <w:i/>
          <w:iCs/>
        </w:rPr>
        <w:t>historical, social and cultural context</w:t>
      </w:r>
    </w:p>
    <w:p w14:paraId="4859CC10" w14:textId="77777777" w:rsidR="00AF731A" w:rsidRPr="000B25B3" w:rsidRDefault="00AF731A" w:rsidP="000B25B3">
      <w:pPr>
        <w:pStyle w:val="ListParagraph"/>
        <w:numPr>
          <w:ilvl w:val="0"/>
          <w:numId w:val="12"/>
        </w:numPr>
        <w:rPr>
          <w:i/>
          <w:iCs/>
        </w:rPr>
      </w:pPr>
      <w:r w:rsidRPr="000B25B3">
        <w:rPr>
          <w:i/>
          <w:iCs/>
        </w:rPr>
        <w:t>character value/s</w:t>
      </w:r>
    </w:p>
    <w:p w14:paraId="7961E52C" w14:textId="3D274991" w:rsidR="00AF731A" w:rsidRPr="000B25B3" w:rsidRDefault="00AF731A" w:rsidP="000B25B3">
      <w:pPr>
        <w:pStyle w:val="ListParagraph"/>
        <w:numPr>
          <w:ilvl w:val="0"/>
          <w:numId w:val="12"/>
        </w:numPr>
        <w:rPr>
          <w:i/>
          <w:iCs/>
        </w:rPr>
      </w:pPr>
      <w:r w:rsidRPr="000B25B3">
        <w:rPr>
          <w:i/>
          <w:iCs/>
        </w:rPr>
        <w:t>point of view to shape audience impact</w:t>
      </w:r>
    </w:p>
    <w:p w14:paraId="028B98AC" w14:textId="77777777" w:rsidR="00235FD6" w:rsidRPr="000B25B3" w:rsidRDefault="00235FD6" w:rsidP="000B25B3">
      <w:pPr>
        <w:spacing w:after="0"/>
        <w:rPr>
          <w:b/>
          <w:bCs/>
        </w:rPr>
      </w:pPr>
      <w:r w:rsidRPr="000B25B3">
        <w:rPr>
          <w:b/>
          <w:bCs/>
        </w:rPr>
        <w:t>Drama conventions</w:t>
      </w:r>
    </w:p>
    <w:p w14:paraId="406CC225" w14:textId="77777777" w:rsidR="00235FD6" w:rsidRPr="000B25B3" w:rsidRDefault="00235FD6" w:rsidP="000B25B3">
      <w:pPr>
        <w:pStyle w:val="ListParagraph"/>
        <w:numPr>
          <w:ilvl w:val="0"/>
          <w:numId w:val="14"/>
        </w:numPr>
      </w:pPr>
      <w:r w:rsidRPr="000B25B3">
        <w:t>conventions and strategies in rehearsing and performing drama based on a selected approach</w:t>
      </w:r>
    </w:p>
    <w:p w14:paraId="2760E01C" w14:textId="77777777" w:rsidR="00235FD6" w:rsidRPr="000B25B3" w:rsidRDefault="00235FD6" w:rsidP="000B25B3">
      <w:pPr>
        <w:pStyle w:val="ListParagraph"/>
        <w:numPr>
          <w:ilvl w:val="0"/>
          <w:numId w:val="14"/>
        </w:numPr>
      </w:pPr>
      <w:r w:rsidRPr="000B25B3">
        <w:t>form and style</w:t>
      </w:r>
    </w:p>
    <w:p w14:paraId="4A825468" w14:textId="77777777" w:rsidR="00235FD6" w:rsidRPr="000B25B3" w:rsidRDefault="00235FD6" w:rsidP="000B25B3">
      <w:pPr>
        <w:pStyle w:val="ListParagraph"/>
        <w:numPr>
          <w:ilvl w:val="0"/>
          <w:numId w:val="14"/>
        </w:numPr>
        <w:rPr>
          <w:strike/>
        </w:rPr>
      </w:pPr>
      <w:r w:rsidRPr="000B25B3">
        <w:rPr>
          <w:strike/>
        </w:rPr>
        <w:t>historical, social and cultural context</w:t>
      </w:r>
    </w:p>
    <w:p w14:paraId="04ED0981" w14:textId="77777777" w:rsidR="00235FD6" w:rsidRPr="000B25B3" w:rsidRDefault="00235FD6" w:rsidP="000B25B3">
      <w:pPr>
        <w:pStyle w:val="ListParagraph"/>
        <w:numPr>
          <w:ilvl w:val="0"/>
          <w:numId w:val="14"/>
        </w:numPr>
        <w:rPr>
          <w:strike/>
        </w:rPr>
      </w:pPr>
      <w:r w:rsidRPr="000B25B3">
        <w:rPr>
          <w:strike/>
        </w:rPr>
        <w:t>character value/s</w:t>
      </w:r>
    </w:p>
    <w:p w14:paraId="4882B293" w14:textId="109DF9FA" w:rsidR="00235FD6" w:rsidRPr="000B25B3" w:rsidRDefault="00235FD6" w:rsidP="000B25B3">
      <w:pPr>
        <w:pStyle w:val="ListParagraph"/>
        <w:numPr>
          <w:ilvl w:val="0"/>
          <w:numId w:val="14"/>
        </w:numPr>
        <w:rPr>
          <w:strike/>
        </w:rPr>
      </w:pPr>
      <w:r w:rsidRPr="000B25B3">
        <w:rPr>
          <w:strike/>
        </w:rPr>
        <w:t>point of view to shape audience impact</w:t>
      </w:r>
    </w:p>
    <w:p w14:paraId="46E4AF5E" w14:textId="77777777" w:rsidR="000B25B3" w:rsidRDefault="000B25B3">
      <w:pPr>
        <w:rPr>
          <w:rFonts w:asciiTheme="majorHAnsi" w:eastAsiaTheme="majorEastAsia" w:hAnsiTheme="majorHAnsi" w:cstheme="majorBidi"/>
          <w:b/>
          <w:kern w:val="0"/>
          <w14:ligatures w14:val="none"/>
        </w:rPr>
      </w:pPr>
      <w:bookmarkStart w:id="6" w:name="_Toc171509333"/>
      <w:r>
        <w:br w:type="page"/>
      </w:r>
    </w:p>
    <w:p w14:paraId="47484C53" w14:textId="598B0FA9" w:rsidR="00EF657E" w:rsidRPr="00EF657E" w:rsidRDefault="00EF657E" w:rsidP="00EF657E">
      <w:pPr>
        <w:pStyle w:val="SyllabusAppendixHeading1"/>
        <w:rPr>
          <w:color w:val="auto"/>
          <w:sz w:val="22"/>
        </w:rPr>
      </w:pPr>
      <w:r w:rsidRPr="00EF657E">
        <w:rPr>
          <w:color w:val="auto"/>
          <w:sz w:val="22"/>
        </w:rPr>
        <w:lastRenderedPageBreak/>
        <w:t>Appendix 1 – Grade descriptions Year 12*</w:t>
      </w:r>
      <w:bookmarkEnd w:id="6"/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2D903097" w14:textId="77777777" w:rsidTr="00F90082">
        <w:trPr>
          <w:trHeight w:val="552"/>
        </w:trPr>
        <w:tc>
          <w:tcPr>
            <w:tcW w:w="481" w:type="pct"/>
            <w:vMerge w:val="restart"/>
            <w:shd w:val="clear" w:color="auto" w:fill="9983B5"/>
            <w:vAlign w:val="center"/>
          </w:tcPr>
          <w:p w14:paraId="3BA4ED56" w14:textId="77777777" w:rsidR="00EF657E" w:rsidRPr="009B5B68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4519" w:type="pct"/>
            <w:vAlign w:val="center"/>
          </w:tcPr>
          <w:p w14:paraId="4131C64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Insightfully and creatively integrates drama knowledge, conventions and processes in the interpretation of drama performances.</w:t>
            </w:r>
          </w:p>
        </w:tc>
      </w:tr>
      <w:tr w:rsidR="00EF657E" w:rsidRPr="007A30E4" w14:paraId="35B505FC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0FA4DD6F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42CFB73A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Effectively, sensitively and collaboratively applies processes and conventions to support drama that maximises dramatic meaning and audience impact.</w:t>
            </w:r>
          </w:p>
        </w:tc>
      </w:tr>
      <w:tr w:rsidR="00EF657E" w:rsidRPr="007A30E4" w14:paraId="1DABB182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7CB36D2F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0A709FB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Insightfully describes, interprets and analyses the text and context/s, with specific and detailed evidence and justification.</w:t>
            </w:r>
          </w:p>
        </w:tc>
      </w:tr>
      <w:tr w:rsidR="00EF657E" w:rsidRPr="007A30E4" w14:paraId="3F084C8F" w14:textId="77777777" w:rsidTr="00F90082">
        <w:trPr>
          <w:trHeight w:val="332"/>
        </w:trPr>
        <w:tc>
          <w:tcPr>
            <w:tcW w:w="481" w:type="pct"/>
            <w:vMerge/>
            <w:shd w:val="clear" w:color="auto" w:fill="9983B5"/>
            <w:vAlign w:val="center"/>
          </w:tcPr>
          <w:p w14:paraId="5EC57807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589AA06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Insightfully communicates using precise drama terminology.</w:t>
            </w:r>
          </w:p>
        </w:tc>
      </w:tr>
      <w:tr w:rsidR="00EF657E" w:rsidRPr="007A30E4" w14:paraId="0DCCDC3C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3C6DEC2E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600A7F92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Effectively and accurately structures work by selecting oral and written communication forms to maximise impact and meaning.</w:t>
            </w:r>
          </w:p>
        </w:tc>
      </w:tr>
    </w:tbl>
    <w:p w14:paraId="41556787" w14:textId="77777777" w:rsidR="00EF657E" w:rsidRPr="007A30E4" w:rsidRDefault="00EF657E" w:rsidP="00EF657E">
      <w:pPr>
        <w:spacing w:after="0"/>
        <w:ind w:left="357" w:hanging="357"/>
        <w:rPr>
          <w:strike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5CB0AB4B" w14:textId="77777777" w:rsidTr="00F90082">
        <w:trPr>
          <w:trHeight w:val="552"/>
        </w:trPr>
        <w:tc>
          <w:tcPr>
            <w:tcW w:w="481" w:type="pct"/>
            <w:vMerge w:val="restart"/>
            <w:shd w:val="clear" w:color="auto" w:fill="9983B5"/>
            <w:vAlign w:val="center"/>
          </w:tcPr>
          <w:p w14:paraId="047170D3" w14:textId="77777777" w:rsidR="00EF657E" w:rsidRPr="009B5B68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B</w:t>
            </w:r>
          </w:p>
        </w:tc>
        <w:tc>
          <w:tcPr>
            <w:tcW w:w="4519" w:type="pct"/>
            <w:vAlign w:val="center"/>
          </w:tcPr>
          <w:p w14:paraId="0F020CC5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Effectively and creatively applies drama knowledge, conventions and processes in the interpretation of drama performances.</w:t>
            </w:r>
          </w:p>
        </w:tc>
      </w:tr>
      <w:tr w:rsidR="00EF657E" w:rsidRPr="007A30E4" w14:paraId="49AAC90A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00A85243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54688B09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Effectively, accurately and collaboratively applies processes and conventions to support drama that communicates meaning and creates audience impact.</w:t>
            </w:r>
          </w:p>
        </w:tc>
      </w:tr>
      <w:tr w:rsidR="00EF657E" w:rsidRPr="007A30E4" w14:paraId="1809BD78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37EF51BC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731F6F9D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Describes and interprets the text and context/s, with detailed evidence and justification and some analysis</w:t>
            </w:r>
          </w:p>
        </w:tc>
      </w:tr>
      <w:tr w:rsidR="00EF657E" w:rsidRPr="007A30E4" w14:paraId="38F342D2" w14:textId="77777777" w:rsidTr="00F90082">
        <w:trPr>
          <w:trHeight w:val="224"/>
        </w:trPr>
        <w:tc>
          <w:tcPr>
            <w:tcW w:w="481" w:type="pct"/>
            <w:vMerge/>
            <w:shd w:val="clear" w:color="auto" w:fill="9983B5"/>
            <w:vAlign w:val="center"/>
          </w:tcPr>
          <w:p w14:paraId="48B65991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1696F9A1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Communicates clearly using accurate drama terminology.</w:t>
            </w:r>
          </w:p>
        </w:tc>
      </w:tr>
      <w:tr w:rsidR="00EF657E" w:rsidRPr="007A30E4" w14:paraId="2D11EFCD" w14:textId="77777777" w:rsidTr="00F90082">
        <w:trPr>
          <w:trHeight w:val="552"/>
        </w:trPr>
        <w:tc>
          <w:tcPr>
            <w:tcW w:w="481" w:type="pct"/>
            <w:vMerge/>
            <w:shd w:val="clear" w:color="auto" w:fill="9983B5"/>
            <w:vAlign w:val="center"/>
          </w:tcPr>
          <w:p w14:paraId="67574801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1A7246C7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Structures work effectively by selecting oral and written communication forms to create impact and meaning.</w:t>
            </w:r>
          </w:p>
        </w:tc>
      </w:tr>
    </w:tbl>
    <w:p w14:paraId="7B44B808" w14:textId="77777777" w:rsidR="00EF657E" w:rsidRPr="007A30E4" w:rsidRDefault="00EF657E" w:rsidP="00EF657E">
      <w:pPr>
        <w:spacing w:after="0"/>
        <w:ind w:left="357" w:hanging="357"/>
        <w:rPr>
          <w:strike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5898FBA9" w14:textId="77777777" w:rsidTr="00F90082">
        <w:trPr>
          <w:trHeight w:val="272"/>
        </w:trPr>
        <w:tc>
          <w:tcPr>
            <w:tcW w:w="481" w:type="pct"/>
            <w:vMerge w:val="restart"/>
            <w:shd w:val="clear" w:color="auto" w:fill="9983B5"/>
            <w:vAlign w:val="center"/>
          </w:tcPr>
          <w:p w14:paraId="44773248" w14:textId="77777777" w:rsidR="00EF657E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</w:p>
          <w:p w14:paraId="1654FED3" w14:textId="2933D4CB" w:rsidR="00EF657E" w:rsidRPr="009B5B68" w:rsidRDefault="00EF657E" w:rsidP="00EF657E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C</w:t>
            </w:r>
          </w:p>
        </w:tc>
        <w:tc>
          <w:tcPr>
            <w:tcW w:w="4519" w:type="pct"/>
            <w:vAlign w:val="center"/>
          </w:tcPr>
          <w:p w14:paraId="55C09821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Applies drama knowledge, conventions and processes in the interpretation of drama performances.</w:t>
            </w:r>
          </w:p>
        </w:tc>
      </w:tr>
      <w:tr w:rsidR="00EF657E" w:rsidRPr="007A30E4" w14:paraId="4C65C8A4" w14:textId="77777777" w:rsidTr="00F90082">
        <w:trPr>
          <w:trHeight w:val="441"/>
        </w:trPr>
        <w:tc>
          <w:tcPr>
            <w:tcW w:w="481" w:type="pct"/>
            <w:vMerge/>
            <w:shd w:val="clear" w:color="auto" w:fill="9983B5"/>
            <w:vAlign w:val="center"/>
          </w:tcPr>
          <w:p w14:paraId="7FFB5BC8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68FCFC3E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Adequately, with some accuracy and collaboration, applies processes and conventions to support drama that communicates meaning and creates audience impact.</w:t>
            </w:r>
          </w:p>
        </w:tc>
      </w:tr>
      <w:tr w:rsidR="00EF657E" w:rsidRPr="007A30E4" w14:paraId="45D143E7" w14:textId="77777777" w:rsidTr="00F90082">
        <w:trPr>
          <w:trHeight w:val="441"/>
        </w:trPr>
        <w:tc>
          <w:tcPr>
            <w:tcW w:w="481" w:type="pct"/>
            <w:vMerge w:val="restart"/>
            <w:shd w:val="clear" w:color="auto" w:fill="9983B5"/>
            <w:vAlign w:val="center"/>
          </w:tcPr>
          <w:p w14:paraId="437FAD47" w14:textId="77777777" w:rsidR="00EF657E" w:rsidRPr="007A30E4" w:rsidRDefault="00EF657E" w:rsidP="00F90082">
            <w:pPr>
              <w:spacing w:after="160" w:line="278" w:lineRule="auto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1427616D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Describes and interprets with minimal analysis the text and context/s, with some evidence and justification.</w:t>
            </w:r>
          </w:p>
        </w:tc>
      </w:tr>
      <w:tr w:rsidR="00EF657E" w:rsidRPr="007A30E4" w14:paraId="78065C17" w14:textId="77777777" w:rsidTr="00F90082">
        <w:trPr>
          <w:trHeight w:val="156"/>
        </w:trPr>
        <w:tc>
          <w:tcPr>
            <w:tcW w:w="481" w:type="pct"/>
            <w:vMerge/>
            <w:shd w:val="clear" w:color="auto" w:fill="9983B5"/>
            <w:vAlign w:val="center"/>
          </w:tcPr>
          <w:p w14:paraId="0826BC54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511399F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Communicates using some accurate drama terminology.</w:t>
            </w:r>
          </w:p>
        </w:tc>
      </w:tr>
      <w:tr w:rsidR="00EF657E" w:rsidRPr="007A30E4" w14:paraId="20BD4B5E" w14:textId="77777777" w:rsidTr="00F90082">
        <w:trPr>
          <w:trHeight w:val="346"/>
        </w:trPr>
        <w:tc>
          <w:tcPr>
            <w:tcW w:w="481" w:type="pct"/>
            <w:vMerge/>
            <w:shd w:val="clear" w:color="auto" w:fill="9983B5"/>
            <w:vAlign w:val="center"/>
          </w:tcPr>
          <w:p w14:paraId="2707C383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6FE43474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Structures work by using oral and written communication forms.</w:t>
            </w:r>
          </w:p>
        </w:tc>
      </w:tr>
    </w:tbl>
    <w:p w14:paraId="39BC29F6" w14:textId="77777777" w:rsidR="00EF657E" w:rsidRPr="007A30E4" w:rsidRDefault="00EF657E" w:rsidP="00EF657E">
      <w:pPr>
        <w:spacing w:after="0"/>
        <w:ind w:left="357" w:hanging="357"/>
        <w:rPr>
          <w:strike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50A3033F" w14:textId="77777777" w:rsidTr="00F90082">
        <w:trPr>
          <w:trHeight w:val="330"/>
        </w:trPr>
        <w:tc>
          <w:tcPr>
            <w:tcW w:w="481" w:type="pct"/>
            <w:vMerge w:val="restart"/>
            <w:shd w:val="clear" w:color="auto" w:fill="9983B5"/>
            <w:vAlign w:val="center"/>
          </w:tcPr>
          <w:p w14:paraId="02A28D4D" w14:textId="77777777" w:rsidR="00EF657E" w:rsidRPr="009B5B68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D</w:t>
            </w:r>
          </w:p>
        </w:tc>
        <w:tc>
          <w:tcPr>
            <w:tcW w:w="4519" w:type="pct"/>
            <w:vAlign w:val="center"/>
          </w:tcPr>
          <w:p w14:paraId="311368AA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Uses drama knowledge and processes in drama performances.</w:t>
            </w:r>
          </w:p>
        </w:tc>
      </w:tr>
      <w:tr w:rsidR="00EF657E" w:rsidRPr="007A30E4" w14:paraId="5096781F" w14:textId="77777777" w:rsidTr="00F90082">
        <w:trPr>
          <w:trHeight w:val="330"/>
        </w:trPr>
        <w:tc>
          <w:tcPr>
            <w:tcW w:w="481" w:type="pct"/>
            <w:vMerge/>
            <w:shd w:val="clear" w:color="auto" w:fill="9983B5"/>
            <w:vAlign w:val="center"/>
          </w:tcPr>
          <w:p w14:paraId="18C06F4A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297A36D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Uses processes to support drama that communicates limited meaning and audience impact.</w:t>
            </w:r>
          </w:p>
        </w:tc>
      </w:tr>
      <w:tr w:rsidR="00EF657E" w:rsidRPr="007A30E4" w14:paraId="65F45444" w14:textId="77777777" w:rsidTr="00F90082">
        <w:trPr>
          <w:trHeight w:val="330"/>
        </w:trPr>
        <w:tc>
          <w:tcPr>
            <w:tcW w:w="481" w:type="pct"/>
            <w:vMerge/>
            <w:shd w:val="clear" w:color="auto" w:fill="9983B5"/>
            <w:vAlign w:val="center"/>
          </w:tcPr>
          <w:p w14:paraId="378B28EF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70AE3356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Briefly describes the text and context/s, with limited evidence and justification.</w:t>
            </w:r>
          </w:p>
        </w:tc>
      </w:tr>
      <w:tr w:rsidR="00EF657E" w:rsidRPr="007A30E4" w14:paraId="791C0DB2" w14:textId="77777777" w:rsidTr="00F90082">
        <w:trPr>
          <w:trHeight w:val="330"/>
        </w:trPr>
        <w:tc>
          <w:tcPr>
            <w:tcW w:w="481" w:type="pct"/>
            <w:vMerge/>
            <w:shd w:val="clear" w:color="auto" w:fill="9983B5"/>
            <w:vAlign w:val="center"/>
          </w:tcPr>
          <w:p w14:paraId="69518F70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78F8BA9D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Communicates using minimal drama terminology.</w:t>
            </w:r>
          </w:p>
        </w:tc>
      </w:tr>
      <w:tr w:rsidR="00EF657E" w:rsidRPr="007A30E4" w14:paraId="43196C54" w14:textId="77777777" w:rsidTr="00F90082">
        <w:trPr>
          <w:trHeight w:val="330"/>
        </w:trPr>
        <w:tc>
          <w:tcPr>
            <w:tcW w:w="481" w:type="pct"/>
            <w:vMerge/>
            <w:shd w:val="clear" w:color="auto" w:fill="9983B5"/>
            <w:vAlign w:val="center"/>
          </w:tcPr>
          <w:p w14:paraId="44465ED3" w14:textId="77777777" w:rsidR="00EF657E" w:rsidRPr="007A30E4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strike/>
                <w:color w:val="FFFFFF" w:themeColor="background1"/>
                <w:sz w:val="40"/>
                <w:szCs w:val="40"/>
              </w:rPr>
            </w:pPr>
          </w:p>
        </w:tc>
        <w:tc>
          <w:tcPr>
            <w:tcW w:w="4519" w:type="pct"/>
            <w:vAlign w:val="center"/>
          </w:tcPr>
          <w:p w14:paraId="5AB0938D" w14:textId="77777777" w:rsidR="00EF657E" w:rsidRPr="007A30E4" w:rsidRDefault="00EF657E" w:rsidP="00F90082">
            <w:pPr>
              <w:spacing w:after="0"/>
              <w:rPr>
                <w:strike/>
                <w:sz w:val="20"/>
              </w:rPr>
            </w:pPr>
            <w:r w:rsidRPr="007A30E4">
              <w:rPr>
                <w:strike/>
                <w:sz w:val="20"/>
              </w:rPr>
              <w:t>Attempts work using oral and written communication forms.</w:t>
            </w:r>
          </w:p>
        </w:tc>
      </w:tr>
    </w:tbl>
    <w:p w14:paraId="0B4C54AF" w14:textId="77777777" w:rsidR="00EF657E" w:rsidRPr="007A30E4" w:rsidRDefault="00EF657E" w:rsidP="00EF657E">
      <w:pPr>
        <w:spacing w:after="0"/>
        <w:ind w:left="357" w:hanging="357"/>
        <w:rPr>
          <w:strike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76ABA0EC" w14:textId="77777777" w:rsidTr="00F90082">
        <w:trPr>
          <w:trHeight w:val="389"/>
        </w:trPr>
        <w:tc>
          <w:tcPr>
            <w:tcW w:w="481" w:type="pct"/>
            <w:shd w:val="clear" w:color="auto" w:fill="9983B5"/>
            <w:vAlign w:val="center"/>
          </w:tcPr>
          <w:p w14:paraId="0A5973E7" w14:textId="77777777" w:rsidR="00EF657E" w:rsidRPr="009B5B68" w:rsidRDefault="00EF657E" w:rsidP="00F90082">
            <w:pPr>
              <w:spacing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E</w:t>
            </w:r>
          </w:p>
        </w:tc>
        <w:tc>
          <w:tcPr>
            <w:tcW w:w="4519" w:type="pct"/>
            <w:vAlign w:val="center"/>
          </w:tcPr>
          <w:p w14:paraId="24C00C7B" w14:textId="77777777" w:rsidR="00EF657E" w:rsidRPr="00EF657E" w:rsidRDefault="00EF657E" w:rsidP="00F90082">
            <w:pPr>
              <w:spacing w:after="0"/>
              <w:ind w:left="62"/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EF657E">
              <w:rPr>
                <w:rFonts w:eastAsia="Times New Roman" w:cs="Calibri"/>
                <w:strike/>
                <w:sz w:val="20"/>
              </w:rPr>
              <w:t>Does not meet the requirements of a D grade and/or has completed insufficient assessment tasks to be assigned a higher grade.</w:t>
            </w:r>
          </w:p>
        </w:tc>
      </w:tr>
    </w:tbl>
    <w:p w14:paraId="3149808F" w14:textId="77777777" w:rsidR="00EF657E" w:rsidRPr="009B5B68" w:rsidRDefault="00EF657E" w:rsidP="00EF657E">
      <w:pPr>
        <w:spacing w:before="240" w:after="0"/>
        <w:rPr>
          <w:rFonts w:eastAsia="Times New Roman" w:cs="Arial"/>
          <w:strike/>
          <w:szCs w:val="20"/>
        </w:rPr>
      </w:pPr>
      <w:r w:rsidRPr="00473575">
        <w:rPr>
          <w:rFonts w:eastAsia="Times New Roman" w:cs="Arial"/>
          <w:strike/>
          <w:szCs w:val="20"/>
        </w:rPr>
        <w:t>* These grade descriptions will be reviewed at the end of the second year of implementation of this syllabus.</w:t>
      </w:r>
      <w:bookmarkStart w:id="7" w:name="_Hlk203641263"/>
    </w:p>
    <w:bookmarkEnd w:id="7"/>
    <w:p w14:paraId="06D4CBA7" w14:textId="77777777" w:rsidR="000B25B3" w:rsidRDefault="000B25B3">
      <w:pPr>
        <w:rPr>
          <w:rFonts w:asciiTheme="majorHAnsi" w:eastAsiaTheme="majorEastAsia" w:hAnsiTheme="majorHAnsi" w:cstheme="majorBidi"/>
          <w:b/>
          <w:kern w:val="0"/>
          <w14:ligatures w14:val="none"/>
        </w:rPr>
      </w:pPr>
      <w:r>
        <w:br w:type="page"/>
      </w:r>
    </w:p>
    <w:p w14:paraId="65AC90D8" w14:textId="04F35A1D" w:rsidR="00EF657E" w:rsidRPr="00EF657E" w:rsidRDefault="00EF657E" w:rsidP="00EF657E">
      <w:pPr>
        <w:pStyle w:val="SyllabusAppendixHeading1"/>
        <w:rPr>
          <w:color w:val="auto"/>
          <w:sz w:val="22"/>
        </w:rPr>
      </w:pPr>
      <w:r w:rsidRPr="00EF657E">
        <w:rPr>
          <w:color w:val="auto"/>
          <w:sz w:val="22"/>
        </w:rPr>
        <w:lastRenderedPageBreak/>
        <w:t>Appendix 1 – Grade descriptions Year 12</w:t>
      </w: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215D9799" w14:textId="77777777" w:rsidTr="00F90082">
        <w:trPr>
          <w:trHeight w:val="552"/>
        </w:trPr>
        <w:tc>
          <w:tcPr>
            <w:tcW w:w="481" w:type="pct"/>
            <w:shd w:val="clear" w:color="auto" w:fill="9983B5"/>
            <w:vAlign w:val="center"/>
          </w:tcPr>
          <w:p w14:paraId="7EA2CF56" w14:textId="1E8D9982" w:rsidR="00EF657E" w:rsidRPr="00EF657E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EF657E">
              <w:rPr>
                <w:rFonts w:cs="Arial"/>
                <w:b/>
                <w:color w:val="FFFFFF" w:themeColor="background1"/>
                <w:sz w:val="40"/>
                <w:szCs w:val="40"/>
              </w:rPr>
              <w:t>A</w:t>
            </w:r>
          </w:p>
        </w:tc>
        <w:tc>
          <w:tcPr>
            <w:tcW w:w="4519" w:type="pct"/>
            <w:vAlign w:val="center"/>
          </w:tcPr>
          <w:p w14:paraId="46F91518" w14:textId="77777777" w:rsidR="00EF657E" w:rsidRPr="0091556D" w:rsidRDefault="00EF657E" w:rsidP="00864779">
            <w:pPr>
              <w:pStyle w:val="NoSpacing"/>
              <w:spacing w:line="276" w:lineRule="auto"/>
              <w:rPr>
                <w:i/>
                <w:iCs/>
                <w:sz w:val="20"/>
                <w:szCs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Insightfully and creatively integrates drama knowledge, conventions and processes in the interpretation of practical/written drama tasks.</w:t>
            </w:r>
          </w:p>
          <w:p w14:paraId="2D16C439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  <w:szCs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Insightfully communicates dramatic meaning that maximises audience impact.</w:t>
            </w:r>
          </w:p>
          <w:p w14:paraId="0CF4AB55" w14:textId="291C55EA" w:rsidR="00EF657E" w:rsidRPr="000166A3" w:rsidRDefault="00EF657E" w:rsidP="00864779">
            <w:pPr>
              <w:spacing w:after="0"/>
              <w:rPr>
                <w:strike/>
                <w:sz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Insightfully interprets and analyses text and context, using specific and detailed evidence, justification and precise terminology in oral and written forms.</w:t>
            </w:r>
          </w:p>
        </w:tc>
      </w:tr>
    </w:tbl>
    <w:p w14:paraId="20E933E6" w14:textId="77777777" w:rsidR="00EF657E" w:rsidRPr="00EF657E" w:rsidRDefault="00EF657E">
      <w:pPr>
        <w:spacing w:after="160" w:line="278" w:lineRule="auto"/>
        <w:rPr>
          <w:rFonts w:eastAsia="Calibri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7C507BA1" w14:textId="77777777" w:rsidTr="00F90082">
        <w:trPr>
          <w:trHeight w:val="552"/>
        </w:trPr>
        <w:tc>
          <w:tcPr>
            <w:tcW w:w="481" w:type="pct"/>
            <w:shd w:val="clear" w:color="auto" w:fill="9983B5"/>
            <w:vAlign w:val="center"/>
          </w:tcPr>
          <w:bookmarkEnd w:id="1"/>
          <w:p w14:paraId="38FDE4DA" w14:textId="36A3C49A" w:rsidR="00EF657E" w:rsidRPr="00EF657E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EF657E">
              <w:rPr>
                <w:rFonts w:cs="Arial"/>
                <w:b/>
                <w:color w:val="FFFFFF" w:themeColor="background1"/>
                <w:sz w:val="40"/>
                <w:szCs w:val="40"/>
              </w:rPr>
              <w:t>B</w:t>
            </w:r>
          </w:p>
        </w:tc>
        <w:tc>
          <w:tcPr>
            <w:tcW w:w="4519" w:type="pct"/>
            <w:vAlign w:val="center"/>
          </w:tcPr>
          <w:p w14:paraId="7F415EBA" w14:textId="77777777" w:rsidR="00EF657E" w:rsidRPr="0091556D" w:rsidRDefault="00EF657E" w:rsidP="00864779">
            <w:pPr>
              <w:pStyle w:val="NoSpacing"/>
              <w:spacing w:line="276" w:lineRule="auto"/>
              <w:rPr>
                <w:i/>
                <w:iCs/>
                <w:sz w:val="20"/>
                <w:szCs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Effectively and creatively applies drama knowledge, conventions and processes in the interpretation of practical/written tasks.</w:t>
            </w:r>
          </w:p>
          <w:p w14:paraId="567D89C8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  <w:szCs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Effectively communicates meaning and creates audience impact.</w:t>
            </w:r>
          </w:p>
          <w:p w14:paraId="216D61DF" w14:textId="3FB76DF3" w:rsidR="00EF657E" w:rsidRPr="007A30E4" w:rsidRDefault="00EF657E" w:rsidP="00864779">
            <w:pPr>
              <w:spacing w:after="0"/>
              <w:rPr>
                <w:strike/>
                <w:sz w:val="20"/>
              </w:rPr>
            </w:pPr>
            <w:r w:rsidRPr="0091556D">
              <w:rPr>
                <w:i/>
                <w:iCs/>
                <w:sz w:val="20"/>
                <w:szCs w:val="20"/>
              </w:rPr>
              <w:t>Effectively interprets the text and context with some analysis, using detailed evidence, justification and accurate drama terminology in oral and written forms.</w:t>
            </w:r>
          </w:p>
        </w:tc>
      </w:tr>
    </w:tbl>
    <w:p w14:paraId="5F0869FF" w14:textId="77777777" w:rsidR="008D52A9" w:rsidRDefault="008D52A9" w:rsidP="008D52A9">
      <w:pPr>
        <w:rPr>
          <w:rFonts w:eastAsia="Calibri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7F308E34" w14:textId="77777777" w:rsidTr="00F90082">
        <w:trPr>
          <w:trHeight w:val="346"/>
        </w:trPr>
        <w:tc>
          <w:tcPr>
            <w:tcW w:w="481" w:type="pct"/>
            <w:shd w:val="clear" w:color="auto" w:fill="9983B5"/>
            <w:vAlign w:val="center"/>
          </w:tcPr>
          <w:p w14:paraId="1C83D5BC" w14:textId="02FC36C5" w:rsidR="00EF657E" w:rsidRPr="00EF657E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="Arial"/>
                <w:b/>
                <w:color w:val="FFFFFF" w:themeColor="background1"/>
                <w:sz w:val="40"/>
                <w:szCs w:val="40"/>
              </w:rPr>
              <w:t>C</w:t>
            </w:r>
          </w:p>
        </w:tc>
        <w:tc>
          <w:tcPr>
            <w:tcW w:w="4519" w:type="pct"/>
            <w:vAlign w:val="center"/>
          </w:tcPr>
          <w:p w14:paraId="08AB48DE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</w:rPr>
            </w:pPr>
            <w:r w:rsidRPr="0091556D">
              <w:rPr>
                <w:i/>
                <w:iCs/>
                <w:sz w:val="20"/>
              </w:rPr>
              <w:t>Adequately uses drama knowledge, conventions and processes in the interpretation of practical/written tasks.</w:t>
            </w:r>
          </w:p>
          <w:p w14:paraId="4A8B4287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</w:rPr>
            </w:pPr>
            <w:r w:rsidRPr="0091556D">
              <w:rPr>
                <w:i/>
                <w:iCs/>
                <w:sz w:val="20"/>
              </w:rPr>
              <w:t>Adequately communicates meaning and creates audience impact.</w:t>
            </w:r>
          </w:p>
          <w:p w14:paraId="72CEB632" w14:textId="5DB6164A" w:rsidR="00EF657E" w:rsidRPr="009B5B68" w:rsidRDefault="00EF657E" w:rsidP="00864779">
            <w:pPr>
              <w:spacing w:after="0"/>
              <w:rPr>
                <w:i/>
                <w:iCs/>
                <w:sz w:val="20"/>
              </w:rPr>
            </w:pPr>
            <w:r w:rsidRPr="0091556D">
              <w:rPr>
                <w:i/>
                <w:iCs/>
                <w:sz w:val="20"/>
              </w:rPr>
              <w:t>Adequately describes the text and context with some evidence, justification and some accurate drama terminology in oral and written forms.</w:t>
            </w:r>
          </w:p>
        </w:tc>
      </w:tr>
    </w:tbl>
    <w:p w14:paraId="70884286" w14:textId="77777777" w:rsidR="00EF657E" w:rsidRDefault="00EF657E" w:rsidP="008D52A9">
      <w:pPr>
        <w:rPr>
          <w:rFonts w:eastAsia="Calibri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79537F04" w14:textId="77777777" w:rsidTr="00F90082">
        <w:trPr>
          <w:trHeight w:val="330"/>
        </w:trPr>
        <w:tc>
          <w:tcPr>
            <w:tcW w:w="481" w:type="pct"/>
            <w:shd w:val="clear" w:color="auto" w:fill="9983B5"/>
            <w:vAlign w:val="center"/>
          </w:tcPr>
          <w:p w14:paraId="0ABE5E6F" w14:textId="133CC26E" w:rsidR="00EF657E" w:rsidRPr="00EF657E" w:rsidRDefault="00EF657E" w:rsidP="00F90082">
            <w:pPr>
              <w:spacing w:before="120"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EF657E">
              <w:rPr>
                <w:rFonts w:cs="Arial"/>
                <w:b/>
                <w:color w:val="FFFFFF" w:themeColor="background1"/>
                <w:sz w:val="40"/>
                <w:szCs w:val="40"/>
              </w:rPr>
              <w:t>D</w:t>
            </w:r>
          </w:p>
        </w:tc>
        <w:tc>
          <w:tcPr>
            <w:tcW w:w="4519" w:type="pct"/>
            <w:vAlign w:val="center"/>
          </w:tcPr>
          <w:p w14:paraId="44398FA8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</w:rPr>
            </w:pPr>
            <w:r w:rsidRPr="0091556D">
              <w:rPr>
                <w:i/>
                <w:iCs/>
                <w:sz w:val="20"/>
              </w:rPr>
              <w:t>Uses drama knowledge, conventions and processes in the interpretation of practical/written tasks.</w:t>
            </w:r>
          </w:p>
          <w:p w14:paraId="5EECF30A" w14:textId="77777777" w:rsidR="00EF657E" w:rsidRPr="0091556D" w:rsidRDefault="00EF657E" w:rsidP="00864779">
            <w:pPr>
              <w:spacing w:after="0"/>
              <w:rPr>
                <w:i/>
                <w:iCs/>
                <w:sz w:val="20"/>
              </w:rPr>
            </w:pPr>
            <w:r w:rsidRPr="0091556D">
              <w:rPr>
                <w:i/>
                <w:iCs/>
                <w:sz w:val="20"/>
              </w:rPr>
              <w:t>Communicates limited meaning and audience impact.</w:t>
            </w:r>
          </w:p>
          <w:p w14:paraId="5A1BD8A8" w14:textId="77777777" w:rsidR="00EF657E" w:rsidRPr="007A30E4" w:rsidRDefault="00EF657E" w:rsidP="00864779">
            <w:pPr>
              <w:spacing w:after="0"/>
              <w:rPr>
                <w:strike/>
                <w:sz w:val="20"/>
              </w:rPr>
            </w:pPr>
            <w:r w:rsidRPr="0091556D">
              <w:rPr>
                <w:i/>
                <w:iCs/>
                <w:sz w:val="20"/>
              </w:rPr>
              <w:t>Minimally describes the text with limited evidence, justification and drama terminology in oral and written forms.</w:t>
            </w:r>
          </w:p>
        </w:tc>
      </w:tr>
    </w:tbl>
    <w:p w14:paraId="5E2F6A4B" w14:textId="77777777" w:rsidR="00EF657E" w:rsidRDefault="00EF657E" w:rsidP="008D52A9">
      <w:pPr>
        <w:rPr>
          <w:rFonts w:eastAsia="Calibri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9983B5"/>
          <w:left w:val="single" w:sz="4" w:space="0" w:color="9983B5"/>
          <w:bottom w:val="single" w:sz="4" w:space="0" w:color="9983B5"/>
          <w:right w:val="single" w:sz="4" w:space="0" w:color="9983B5"/>
          <w:insideH w:val="single" w:sz="4" w:space="0" w:color="9983B5"/>
          <w:insideV w:val="single" w:sz="4" w:space="0" w:color="9983B5"/>
        </w:tblBorders>
        <w:tblLook w:val="00A0" w:firstRow="1" w:lastRow="0" w:firstColumn="1" w:lastColumn="0" w:noHBand="0" w:noVBand="0"/>
      </w:tblPr>
      <w:tblGrid>
        <w:gridCol w:w="872"/>
        <w:gridCol w:w="8188"/>
      </w:tblGrid>
      <w:tr w:rsidR="00EF657E" w:rsidRPr="007A30E4" w14:paraId="23CB6043" w14:textId="77777777" w:rsidTr="00F90082">
        <w:trPr>
          <w:trHeight w:val="389"/>
        </w:trPr>
        <w:tc>
          <w:tcPr>
            <w:tcW w:w="481" w:type="pct"/>
            <w:shd w:val="clear" w:color="auto" w:fill="9983B5"/>
            <w:vAlign w:val="center"/>
          </w:tcPr>
          <w:p w14:paraId="7F26D28A" w14:textId="77777777" w:rsidR="00EF657E" w:rsidRPr="009B5B68" w:rsidRDefault="00EF657E" w:rsidP="00F90082">
            <w:pPr>
              <w:spacing w:after="0"/>
              <w:ind w:left="357" w:hanging="357"/>
              <w:jc w:val="center"/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9B5B68">
              <w:rPr>
                <w:rFonts w:cs="Arial"/>
                <w:b/>
                <w:color w:val="FFFFFF" w:themeColor="background1"/>
                <w:sz w:val="40"/>
                <w:szCs w:val="40"/>
              </w:rPr>
              <w:t>E</w:t>
            </w:r>
          </w:p>
        </w:tc>
        <w:tc>
          <w:tcPr>
            <w:tcW w:w="4519" w:type="pct"/>
            <w:vAlign w:val="center"/>
          </w:tcPr>
          <w:p w14:paraId="0F67FFC2" w14:textId="77777777" w:rsidR="00EF657E" w:rsidRPr="0091556D" w:rsidRDefault="00EF657E" w:rsidP="00F90082">
            <w:pPr>
              <w:spacing w:after="0"/>
              <w:ind w:left="62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91556D">
              <w:rPr>
                <w:rFonts w:eastAsia="Times New Roman" w:cs="Calibri"/>
                <w:i/>
                <w:iCs/>
                <w:sz w:val="20"/>
              </w:rPr>
              <w:t>Does not meet the requirements of a D grade and/or has completed insufficient assessment tasks to be assigned a higher grade.</w:t>
            </w:r>
          </w:p>
        </w:tc>
      </w:tr>
    </w:tbl>
    <w:p w14:paraId="3CD62A70" w14:textId="77777777" w:rsidR="00EF657E" w:rsidRPr="008D52A9" w:rsidRDefault="00EF657E" w:rsidP="008D52A9">
      <w:pPr>
        <w:rPr>
          <w:rFonts w:eastAsia="Calibri" w:cs="Times New Roman"/>
          <w:kern w:val="0"/>
          <w14:ligatures w14:val="none"/>
        </w:rPr>
      </w:pPr>
    </w:p>
    <w:sectPr w:rsidR="00EF657E" w:rsidRPr="008D52A9" w:rsidSect="00A56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769B" w14:textId="77777777" w:rsidR="00072104" w:rsidRDefault="00072104" w:rsidP="00456F14">
      <w:pPr>
        <w:spacing w:after="0" w:line="240" w:lineRule="auto"/>
      </w:pPr>
      <w:r>
        <w:separator/>
      </w:r>
    </w:p>
  </w:endnote>
  <w:endnote w:type="continuationSeparator" w:id="0">
    <w:p w14:paraId="4D2C5BD5" w14:textId="77777777" w:rsidR="00072104" w:rsidRDefault="00072104" w:rsidP="0045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100B" w14:textId="77777777" w:rsidR="0091556D" w:rsidRDefault="00915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7336" w14:textId="7E83DCC9" w:rsidR="00456F14" w:rsidRPr="00490BC1" w:rsidRDefault="00C01ADE" w:rsidP="000B25B3">
    <w:pPr>
      <w:pStyle w:val="SCSAFooterplain"/>
    </w:pPr>
    <w:r>
      <w:t>Drama</w:t>
    </w:r>
    <w:r w:rsidR="003C3841" w:rsidRPr="00490BC1">
      <w:t xml:space="preserve"> | </w:t>
    </w:r>
    <w:r>
      <w:t>ATAR</w:t>
    </w:r>
    <w:r w:rsidR="003C3841" w:rsidRPr="00490BC1">
      <w:t xml:space="preserve"> Year</w:t>
    </w:r>
    <w:r w:rsidR="00D46C5C">
      <w:t xml:space="preserve"> 12</w:t>
    </w:r>
    <w:r w:rsidR="003C3841" w:rsidRPr="00490BC1">
      <w:t xml:space="preserve"> | Summary of minor syllabus changes for 202</w:t>
    </w:r>
    <w:r w:rsidR="00490BC1">
      <w:t>6</w:t>
    </w:r>
    <w:r w:rsidR="000B25B3">
      <w:tab/>
    </w:r>
    <w:r w:rsidR="000B25B3" w:rsidRPr="000B25B3">
      <w:fldChar w:fldCharType="begin"/>
    </w:r>
    <w:r w:rsidR="000B25B3" w:rsidRPr="000B25B3">
      <w:instrText xml:space="preserve"> PAGE   \* MERGEFORMAT </w:instrText>
    </w:r>
    <w:r w:rsidR="000B25B3" w:rsidRPr="000B25B3">
      <w:fldChar w:fldCharType="separate"/>
    </w:r>
    <w:r w:rsidR="000B25B3" w:rsidRPr="000B25B3">
      <w:rPr>
        <w:noProof/>
      </w:rPr>
      <w:t>1</w:t>
    </w:r>
    <w:r w:rsidR="000B25B3" w:rsidRPr="000B25B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A24A" w14:textId="6C76AD2D" w:rsidR="003C3841" w:rsidRPr="00490BC1" w:rsidRDefault="00BF755C" w:rsidP="000B25B3">
    <w:pPr>
      <w:pStyle w:val="SCSAFooterplain"/>
    </w:pPr>
    <w:r>
      <w:t>2025/68733</w:t>
    </w:r>
    <w:r w:rsidR="000B25B3">
      <w:t>[v2]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8624" w14:textId="77777777" w:rsidR="00072104" w:rsidRDefault="00072104" w:rsidP="00456F14">
      <w:pPr>
        <w:spacing w:after="0" w:line="240" w:lineRule="auto"/>
      </w:pPr>
      <w:r>
        <w:separator/>
      </w:r>
    </w:p>
  </w:footnote>
  <w:footnote w:type="continuationSeparator" w:id="0">
    <w:p w14:paraId="112F2DB6" w14:textId="77777777" w:rsidR="00072104" w:rsidRDefault="00072104" w:rsidP="0045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ADDA" w14:textId="77777777" w:rsidR="0091556D" w:rsidRDefault="0091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0003" w14:textId="77777777" w:rsidR="0091556D" w:rsidRDefault="00915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9E8F" w14:textId="692DE753" w:rsidR="003C3841" w:rsidRPr="003C3841" w:rsidRDefault="003C3841" w:rsidP="003C3841">
    <w:pPr>
      <w:rPr>
        <w:b/>
        <w:bCs/>
      </w:rPr>
    </w:pPr>
    <w:r w:rsidRPr="00456F14">
      <w:rPr>
        <w:b/>
        <w:bCs/>
      </w:rPr>
      <w:t xml:space="preserve">School administrators and Heads of Learning Area – </w:t>
    </w:r>
    <w:r w:rsidR="00096F4E">
      <w:rPr>
        <w:b/>
        <w:bCs/>
      </w:rPr>
      <w:t>Arts</w:t>
    </w:r>
    <w:r w:rsidRPr="00456F14">
      <w:rPr>
        <w:b/>
        <w:bCs/>
      </w:rPr>
      <w:t xml:space="preserve"> and </w:t>
    </w:r>
    <w:r w:rsidR="000166A3">
      <w:rPr>
        <w:b/>
        <w:bCs/>
      </w:rPr>
      <w:t>T</w:t>
    </w:r>
    <w:r w:rsidR="000166A3" w:rsidRPr="00456F14">
      <w:rPr>
        <w:b/>
        <w:bCs/>
      </w:rPr>
      <w:t xml:space="preserve">eachers </w:t>
    </w:r>
    <w:r w:rsidRPr="00456F14">
      <w:rPr>
        <w:b/>
        <w:bCs/>
      </w:rPr>
      <w:t xml:space="preserve">of </w:t>
    </w:r>
    <w:r w:rsidR="00096F4E">
      <w:rPr>
        <w:b/>
        <w:bCs/>
      </w:rPr>
      <w:t>Drama</w:t>
    </w:r>
    <w:r>
      <w:rPr>
        <w:b/>
        <w:bCs/>
      </w:rPr>
      <w:t xml:space="preserve"> </w:t>
    </w:r>
    <w:r w:rsidR="00096F4E">
      <w:rPr>
        <w:b/>
        <w:bCs/>
      </w:rPr>
      <w:t>ATAR</w:t>
    </w:r>
    <w:r w:rsidRPr="00456F14">
      <w:rPr>
        <w:b/>
        <w:bCs/>
      </w:rPr>
      <w:t xml:space="preserve"> Year </w:t>
    </w:r>
    <w:r w:rsidR="00096F4E">
      <w:rPr>
        <w:b/>
        <w:bCs/>
      </w:rPr>
      <w:t>12</w:t>
    </w:r>
    <w:r w:rsidRPr="00456F14">
      <w:rPr>
        <w:b/>
        <w:bCs/>
      </w:rPr>
      <w:t xml:space="preserve"> are requested to note for 202</w:t>
    </w:r>
    <w:r w:rsidR="00E95483">
      <w:rPr>
        <w:b/>
        <w:bCs/>
      </w:rPr>
      <w:t>6</w:t>
    </w:r>
    <w:r w:rsidRPr="00456F14">
      <w:rPr>
        <w:b/>
        <w:bCs/>
      </w:rPr>
      <w:t xml:space="preserve"> the following minor syllabus changes. The syllabus is labelled</w:t>
    </w:r>
    <w:r w:rsidR="000166A3">
      <w:rPr>
        <w:b/>
        <w:bCs/>
      </w:rPr>
      <w:t xml:space="preserve"> as</w:t>
    </w:r>
    <w:r w:rsidRPr="00456F14">
      <w:rPr>
        <w:b/>
        <w:bCs/>
      </w:rPr>
      <w:t xml:space="preserve"> ‘For teaching from 202</w:t>
    </w:r>
    <w:r w:rsidR="00E95483">
      <w:rPr>
        <w:b/>
        <w:bCs/>
      </w:rPr>
      <w:t>6</w:t>
    </w:r>
    <w:r w:rsidRPr="00456F14">
      <w:rPr>
        <w:b/>
        <w:bCs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60E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AF1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2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3" w15:restartNumberingAfterBreak="0">
    <w:nsid w:val="227631D3"/>
    <w:multiLevelType w:val="multilevel"/>
    <w:tmpl w:val="762853C8"/>
    <w:numStyleLink w:val="SCSABulletList"/>
  </w:abstractNum>
  <w:abstractNum w:abstractNumId="4" w15:restartNumberingAfterBreak="0">
    <w:nsid w:val="25573149"/>
    <w:multiLevelType w:val="multilevel"/>
    <w:tmpl w:val="762853C8"/>
    <w:numStyleLink w:val="SCSABulletList"/>
  </w:abstractNum>
  <w:abstractNum w:abstractNumId="5" w15:restartNumberingAfterBreak="0">
    <w:nsid w:val="2C200CDF"/>
    <w:multiLevelType w:val="hybridMultilevel"/>
    <w:tmpl w:val="07D850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B7338"/>
    <w:multiLevelType w:val="multilevel"/>
    <w:tmpl w:val="762853C8"/>
    <w:numStyleLink w:val="SCSABulletList"/>
  </w:abstractNum>
  <w:abstractNum w:abstractNumId="7" w15:restartNumberingAfterBreak="0">
    <w:nsid w:val="3A1E506F"/>
    <w:multiLevelType w:val="hybridMultilevel"/>
    <w:tmpl w:val="12DE3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64673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9" w15:restartNumberingAfterBreak="0">
    <w:nsid w:val="49306804"/>
    <w:multiLevelType w:val="multilevel"/>
    <w:tmpl w:val="FB22DD14"/>
    <w:lvl w:ilvl="0">
      <w:start w:val="1"/>
      <w:numFmt w:val="bullet"/>
      <w:pStyle w:val="Syllabus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952247"/>
    <w:multiLevelType w:val="multilevel"/>
    <w:tmpl w:val="762853C8"/>
    <w:numStyleLink w:val="SCSABulletList"/>
  </w:abstractNum>
  <w:abstractNum w:abstractNumId="11" w15:restartNumberingAfterBreak="0">
    <w:nsid w:val="680B3186"/>
    <w:multiLevelType w:val="hybridMultilevel"/>
    <w:tmpl w:val="B188258E"/>
    <w:lvl w:ilvl="0" w:tplc="FA064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194551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13" w15:restartNumberingAfterBreak="0">
    <w:nsid w:val="6ED543BC"/>
    <w:multiLevelType w:val="hybridMultilevel"/>
    <w:tmpl w:val="940C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7101">
    <w:abstractNumId w:val="5"/>
  </w:num>
  <w:num w:numId="2" w16cid:durableId="1461805433">
    <w:abstractNumId w:val="0"/>
  </w:num>
  <w:num w:numId="3" w16cid:durableId="440303472">
    <w:abstractNumId w:val="9"/>
  </w:num>
  <w:num w:numId="4" w16cid:durableId="1843467908">
    <w:abstractNumId w:val="11"/>
  </w:num>
  <w:num w:numId="5" w16cid:durableId="1403334994">
    <w:abstractNumId w:val="7"/>
  </w:num>
  <w:num w:numId="6" w16cid:durableId="147944594">
    <w:abstractNumId w:val="2"/>
  </w:num>
  <w:num w:numId="7" w16cid:durableId="440955684">
    <w:abstractNumId w:val="13"/>
  </w:num>
  <w:num w:numId="8" w16cid:durableId="1517309357">
    <w:abstractNumId w:val="4"/>
  </w:num>
  <w:num w:numId="9" w16cid:durableId="1303651709">
    <w:abstractNumId w:val="12"/>
  </w:num>
  <w:num w:numId="10" w16cid:durableId="486702239">
    <w:abstractNumId w:val="6"/>
  </w:num>
  <w:num w:numId="11" w16cid:durableId="677512083">
    <w:abstractNumId w:val="8"/>
  </w:num>
  <w:num w:numId="12" w16cid:durableId="1800491380">
    <w:abstractNumId w:val="3"/>
  </w:num>
  <w:num w:numId="13" w16cid:durableId="1350061211">
    <w:abstractNumId w:val="1"/>
  </w:num>
  <w:num w:numId="14" w16cid:durableId="1487471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4"/>
    <w:rsid w:val="00003491"/>
    <w:rsid w:val="000166A3"/>
    <w:rsid w:val="00065576"/>
    <w:rsid w:val="00072104"/>
    <w:rsid w:val="00096F4E"/>
    <w:rsid w:val="000B2577"/>
    <w:rsid w:val="000B25B3"/>
    <w:rsid w:val="000B52B5"/>
    <w:rsid w:val="000F4D5F"/>
    <w:rsid w:val="00185170"/>
    <w:rsid w:val="001C2B03"/>
    <w:rsid w:val="001C3D37"/>
    <w:rsid w:val="001E1249"/>
    <w:rsid w:val="001E4060"/>
    <w:rsid w:val="00235FD6"/>
    <w:rsid w:val="00284844"/>
    <w:rsid w:val="00305B2D"/>
    <w:rsid w:val="003C1A6B"/>
    <w:rsid w:val="003C3841"/>
    <w:rsid w:val="00410465"/>
    <w:rsid w:val="00420E89"/>
    <w:rsid w:val="00444152"/>
    <w:rsid w:val="00456F14"/>
    <w:rsid w:val="00473575"/>
    <w:rsid w:val="00490BC1"/>
    <w:rsid w:val="004F016C"/>
    <w:rsid w:val="0057143D"/>
    <w:rsid w:val="005D23F5"/>
    <w:rsid w:val="005F1A25"/>
    <w:rsid w:val="005F438D"/>
    <w:rsid w:val="00601C2E"/>
    <w:rsid w:val="00633AB8"/>
    <w:rsid w:val="006633E1"/>
    <w:rsid w:val="00674BCE"/>
    <w:rsid w:val="007679BF"/>
    <w:rsid w:val="007872CC"/>
    <w:rsid w:val="007A263F"/>
    <w:rsid w:val="008469DE"/>
    <w:rsid w:val="00864779"/>
    <w:rsid w:val="008806AB"/>
    <w:rsid w:val="008D52A9"/>
    <w:rsid w:val="0091556D"/>
    <w:rsid w:val="009358C8"/>
    <w:rsid w:val="009B5B68"/>
    <w:rsid w:val="00A47331"/>
    <w:rsid w:val="00A565F9"/>
    <w:rsid w:val="00AA4872"/>
    <w:rsid w:val="00AF731A"/>
    <w:rsid w:val="00B20C8E"/>
    <w:rsid w:val="00B320DE"/>
    <w:rsid w:val="00B5468B"/>
    <w:rsid w:val="00B74E6E"/>
    <w:rsid w:val="00B77BD4"/>
    <w:rsid w:val="00B953AB"/>
    <w:rsid w:val="00BE1875"/>
    <w:rsid w:val="00BE26BA"/>
    <w:rsid w:val="00BF755C"/>
    <w:rsid w:val="00C01ADE"/>
    <w:rsid w:val="00C20A57"/>
    <w:rsid w:val="00C45C29"/>
    <w:rsid w:val="00C61B89"/>
    <w:rsid w:val="00CB0E59"/>
    <w:rsid w:val="00CB5D10"/>
    <w:rsid w:val="00D072DB"/>
    <w:rsid w:val="00D46C5C"/>
    <w:rsid w:val="00DE5B22"/>
    <w:rsid w:val="00E95483"/>
    <w:rsid w:val="00EF657E"/>
    <w:rsid w:val="00F200B0"/>
    <w:rsid w:val="00F41F0F"/>
    <w:rsid w:val="00F646C7"/>
    <w:rsid w:val="00F661F4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24C96"/>
  <w15:chartTrackingRefBased/>
  <w15:docId w15:val="{EE63713A-AA3E-4DC9-A696-BF932C33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B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1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6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5B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56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F14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6F14"/>
  </w:style>
  <w:style w:type="paragraph" w:styleId="Footer">
    <w:name w:val="footer"/>
    <w:basedOn w:val="Normal"/>
    <w:link w:val="FooterChar"/>
    <w:uiPriority w:val="99"/>
    <w:unhideWhenUsed/>
    <w:rsid w:val="00456F14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6F14"/>
  </w:style>
  <w:style w:type="table" w:styleId="TableGrid">
    <w:name w:val="Table Grid"/>
    <w:basedOn w:val="TableNormal"/>
    <w:uiPriority w:val="39"/>
    <w:rsid w:val="00096F4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llabusHeading1">
    <w:name w:val="Syllabus Heading 1"/>
    <w:basedOn w:val="Normal"/>
    <w:qFormat/>
    <w:rsid w:val="00096F4E"/>
    <w:pPr>
      <w:outlineLvl w:val="0"/>
    </w:pPr>
    <w:rPr>
      <w:b/>
      <w:color w:val="580F8B"/>
      <w:kern w:val="0"/>
      <w:sz w:val="40"/>
      <w14:ligatures w14:val="none"/>
    </w:rPr>
  </w:style>
  <w:style w:type="paragraph" w:styleId="ListBullet">
    <w:name w:val="List Bullet"/>
    <w:basedOn w:val="Normal"/>
    <w:uiPriority w:val="99"/>
    <w:unhideWhenUsed/>
    <w:rsid w:val="00096F4E"/>
    <w:pPr>
      <w:numPr>
        <w:numId w:val="2"/>
      </w:numPr>
      <w:spacing w:after="80"/>
    </w:pPr>
    <w:rPr>
      <w:kern w:val="0"/>
      <w14:ligatures w14:val="none"/>
    </w:rPr>
  </w:style>
  <w:style w:type="paragraph" w:customStyle="1" w:styleId="SyllabusAppendixHeading1">
    <w:name w:val="Syllabus Appendix Heading 1"/>
    <w:basedOn w:val="Normal"/>
    <w:link w:val="SyllabusAppendixHeading1Char"/>
    <w:qFormat/>
    <w:rsid w:val="00B20C8E"/>
    <w:pPr>
      <w:outlineLvl w:val="0"/>
    </w:pPr>
    <w:rPr>
      <w:rFonts w:asciiTheme="majorHAnsi" w:eastAsiaTheme="majorEastAsia" w:hAnsiTheme="majorHAnsi" w:cstheme="majorBidi"/>
      <w:b/>
      <w:color w:val="580F8B"/>
      <w:kern w:val="0"/>
      <w:sz w:val="40"/>
      <w14:ligatures w14:val="none"/>
    </w:rPr>
  </w:style>
  <w:style w:type="character" w:customStyle="1" w:styleId="SyllabusAppendixHeading1Char">
    <w:name w:val="Syllabus Appendix Heading 1 Char"/>
    <w:basedOn w:val="Heading1Char"/>
    <w:link w:val="SyllabusAppendixHeading1"/>
    <w:rsid w:val="00B20C8E"/>
    <w:rPr>
      <w:rFonts w:asciiTheme="majorHAnsi" w:eastAsiaTheme="majorEastAsia" w:hAnsiTheme="majorHAnsi" w:cstheme="majorBidi"/>
      <w:b/>
      <w:color w:val="580F8B"/>
      <w:kern w:val="0"/>
      <w:sz w:val="40"/>
      <w:szCs w:val="22"/>
      <w:lang w:eastAsia="en-US"/>
      <w14:ligatures w14:val="none"/>
    </w:rPr>
  </w:style>
  <w:style w:type="paragraph" w:styleId="NoSpacing">
    <w:name w:val="No Spacing"/>
    <w:uiPriority w:val="1"/>
    <w:qFormat/>
    <w:rsid w:val="00B20C8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SyllabusListParagraph">
    <w:name w:val="Syllabus List Paragraph"/>
    <w:basedOn w:val="ListParagraph"/>
    <w:qFormat/>
    <w:rsid w:val="00235FD6"/>
    <w:pPr>
      <w:numPr>
        <w:numId w:val="3"/>
      </w:numPr>
      <w:contextualSpacing w:val="0"/>
    </w:pPr>
    <w:rPr>
      <w:kern w:val="0"/>
      <w:szCs w:val="20"/>
      <w:lang w:eastAsia="en-US"/>
      <w14:ligatures w14:val="none"/>
    </w:rPr>
  </w:style>
  <w:style w:type="paragraph" w:customStyle="1" w:styleId="SCSAFooterplain">
    <w:name w:val="SCSA Footer plain"/>
    <w:basedOn w:val="Normal"/>
    <w:qFormat/>
    <w:rsid w:val="000B25B3"/>
    <w:pPr>
      <w:tabs>
        <w:tab w:val="right" w:pos="9072"/>
      </w:tabs>
    </w:pPr>
    <w:rPr>
      <w:sz w:val="18"/>
      <w:szCs w:val="18"/>
    </w:rPr>
  </w:style>
  <w:style w:type="numbering" w:customStyle="1" w:styleId="SCSABulletList">
    <w:name w:val="SCSA Bullet List"/>
    <w:uiPriority w:val="99"/>
    <w:rsid w:val="000B25B3"/>
    <w:pPr>
      <w:numPr>
        <w:numId w:val="6"/>
      </w:numPr>
    </w:pPr>
  </w:style>
  <w:style w:type="paragraph" w:styleId="Revision">
    <w:name w:val="Revision"/>
    <w:hidden/>
    <w:uiPriority w:val="99"/>
    <w:semiHidden/>
    <w:rsid w:val="000166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Khor</dc:creator>
  <cp:keywords/>
  <dc:description/>
  <cp:lastModifiedBy>Antoniett Halden</cp:lastModifiedBy>
  <cp:revision>9</cp:revision>
  <dcterms:created xsi:type="dcterms:W3CDTF">2025-07-18T02:47:00Z</dcterms:created>
  <dcterms:modified xsi:type="dcterms:W3CDTF">2025-08-10T23:34:00Z</dcterms:modified>
</cp:coreProperties>
</file>