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B238B67"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4B05E0">
        <w:t>Religion and Life</w:t>
      </w:r>
    </w:p>
    <w:p w14:paraId="48A9D027" w14:textId="112677C6" w:rsidR="00AA2B0D" w:rsidRPr="00D16FD6" w:rsidRDefault="00C649C7" w:rsidP="00D16FD6">
      <w:pPr>
        <w:pStyle w:val="SCSATitle2"/>
      </w:pPr>
      <w:r>
        <w:t>ATAR</w:t>
      </w:r>
      <w:r w:rsidR="00AA2B0D" w:rsidRPr="00D16FD6">
        <w:t xml:space="preserve"> course</w:t>
      </w:r>
    </w:p>
    <w:p w14:paraId="0076D14F" w14:textId="078C088F" w:rsidR="0046231B" w:rsidRPr="00D16FD6" w:rsidRDefault="00326EAC" w:rsidP="00D16FD6">
      <w:pPr>
        <w:pStyle w:val="SCSATitle3"/>
      </w:pPr>
      <w:r w:rsidRPr="00D16FD6">
        <w:t xml:space="preserve">Year </w:t>
      </w:r>
      <w:r w:rsidR="00A4410B">
        <w:t>1</w:t>
      </w:r>
      <w:r w:rsidR="005559A1">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r w:rsidR="00FE6119" w:rsidRPr="00D16FD6">
        <w:t xml:space="preserve"> </w:t>
      </w:r>
      <w:r w:rsidRPr="00D16FD6">
        <w:t xml:space="preserve"> </w:t>
      </w:r>
    </w:p>
    <w:p w14:paraId="35A356C3" w14:textId="4D82D4EF" w:rsidR="002C05E5" w:rsidRPr="00D16FD6" w:rsidRDefault="0046231B" w:rsidP="00D16FD6">
      <w:pPr>
        <w:pStyle w:val="SCSATitle3"/>
      </w:pPr>
      <w:r w:rsidRPr="00D16FD6">
        <w:t xml:space="preserve">For teaching in </w:t>
      </w:r>
      <w:r w:rsidR="00A4410B">
        <w:t>202</w:t>
      </w:r>
      <w:r w:rsidR="005559A1">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4815200D" w14:textId="77777777" w:rsidR="00FD4D6D" w:rsidRPr="007F67E0" w:rsidRDefault="00FD4D6D" w:rsidP="00FD4D6D">
      <w:pPr>
        <w:rPr>
          <w:rFonts w:ascii="Calibri" w:hAnsi="Calibri" w:cs="Calibri"/>
          <w:b/>
          <w:bCs/>
        </w:rPr>
      </w:pPr>
      <w:bookmarkStart w:id="0" w:name="_Hlk206143328"/>
      <w:r w:rsidRPr="007F67E0">
        <w:rPr>
          <w:rFonts w:ascii="Calibri" w:hAnsi="Calibri" w:cs="Calibri"/>
          <w:b/>
          <w:bCs/>
        </w:rPr>
        <w:t>Background</w:t>
      </w:r>
    </w:p>
    <w:p w14:paraId="6D7B78FF" w14:textId="77777777" w:rsidR="00FD4D6D" w:rsidRPr="007F67E0" w:rsidRDefault="00FD4D6D" w:rsidP="00FD4D6D">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34DDCC84" w14:textId="77777777" w:rsidR="00FD4D6D" w:rsidRPr="007F67E0" w:rsidRDefault="00FD4D6D" w:rsidP="00FD4D6D">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3BFBC3C9" w14:textId="77777777" w:rsidR="00FD4D6D" w:rsidRPr="007F67E0" w:rsidRDefault="00FD4D6D" w:rsidP="00FD4D6D">
      <w:pPr>
        <w:rPr>
          <w:rFonts w:ascii="Calibri" w:hAnsi="Calibri" w:cs="Calibri"/>
          <w:b/>
          <w:bCs/>
          <w:sz w:val="20"/>
          <w:szCs w:val="20"/>
        </w:rPr>
      </w:pPr>
      <w:r w:rsidRPr="007F67E0">
        <w:rPr>
          <w:rFonts w:ascii="Calibri" w:hAnsi="Calibri" w:cs="Calibri"/>
          <w:b/>
          <w:bCs/>
          <w:sz w:val="20"/>
          <w:szCs w:val="20"/>
        </w:rPr>
        <w:t>Important information</w:t>
      </w:r>
    </w:p>
    <w:p w14:paraId="4492DC12" w14:textId="77777777" w:rsidR="00FD4D6D" w:rsidRPr="007F67E0" w:rsidRDefault="00FD4D6D" w:rsidP="00FD4D6D">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51118783" w14:textId="77777777" w:rsidR="00FD4D6D" w:rsidRPr="007F67E0" w:rsidRDefault="00FD4D6D" w:rsidP="00FD4D6D">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288898CA" w14:textId="77777777" w:rsidR="00FD4D6D" w:rsidRPr="007F67E0" w:rsidRDefault="00FD4D6D" w:rsidP="00FD4D6D">
      <w:pPr>
        <w:rPr>
          <w:rFonts w:ascii="Calibri" w:hAnsi="Calibri" w:cs="Calibri"/>
          <w:sz w:val="20"/>
          <w:szCs w:val="20"/>
        </w:rPr>
      </w:pPr>
      <w:r w:rsidRPr="007F67E0">
        <w:rPr>
          <w:rFonts w:ascii="Calibri" w:hAnsi="Calibri" w:cs="Calibri"/>
          <w:sz w:val="20"/>
          <w:szCs w:val="20"/>
        </w:rPr>
        <w:t>Users of the syllabus are responsible for checking its currency.</w:t>
      </w:r>
    </w:p>
    <w:p w14:paraId="1B5A3BF3" w14:textId="77777777" w:rsidR="00FD4D6D" w:rsidRPr="007F67E0" w:rsidRDefault="00FD4D6D" w:rsidP="00FD4D6D">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6FBAA673" w14:textId="77777777" w:rsidR="00FD4D6D" w:rsidRPr="00024A2B" w:rsidRDefault="00FD4D6D" w:rsidP="00FD4D6D">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66908D6D" w14:textId="77777777" w:rsidR="00FD4D6D" w:rsidRPr="00024A2B" w:rsidRDefault="00FD4D6D" w:rsidP="00FD4D6D">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528E6DFB" w14:textId="77777777" w:rsidR="00FD4D6D" w:rsidRPr="00024A2B" w:rsidRDefault="00FD4D6D" w:rsidP="00FD4D6D">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D1E18CA" w14:textId="77777777" w:rsidR="00FD4D6D" w:rsidRPr="00024A2B" w:rsidRDefault="00FD4D6D" w:rsidP="00FD4D6D">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39943BD8" w:rsidR="007E1AFD" w:rsidRPr="00D16FD6" w:rsidRDefault="00FD4D6D"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834CC5">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6678EA61" w14:textId="3B09C257" w:rsidR="001C09E4" w:rsidRDefault="001C09E4" w:rsidP="00D16FD6">
      <w:bookmarkStart w:id="4" w:name="_Toc347908200"/>
      <w:r w:rsidRPr="001C09E4">
        <w:t xml:space="preserve">The Religion and Life ATAR course explores the relationship between religion, society and individuals. It provides students with opportunities to critically </w:t>
      </w:r>
      <w:r w:rsidR="009A3406">
        <w:t xml:space="preserve">examine one or more religions to </w:t>
      </w:r>
      <w:r w:rsidRPr="001C09E4">
        <w:t xml:space="preserve">develop a deeper understanding of the </w:t>
      </w:r>
      <w:r w:rsidR="009A3406">
        <w:t>nature and influence</w:t>
      </w:r>
      <w:r w:rsidR="009A3406" w:rsidRPr="001C09E4">
        <w:t xml:space="preserve"> </w:t>
      </w:r>
      <w:r w:rsidRPr="001C09E4">
        <w:t>of religion</w:t>
      </w:r>
      <w:r w:rsidR="009A3406">
        <w:t xml:space="preserve"> and the role it plays</w:t>
      </w:r>
      <w:r w:rsidRPr="001C09E4">
        <w:t xml:space="preserve"> in shaping human experience.</w:t>
      </w:r>
    </w:p>
    <w:p w14:paraId="0B16D439" w14:textId="3B200C9B" w:rsidR="001C09E4" w:rsidRDefault="009A3406" w:rsidP="00D16FD6">
      <w:r>
        <w:t>In this course, students can expect to study</w:t>
      </w:r>
      <w:r w:rsidR="001C09E4" w:rsidRPr="001C09E4">
        <w:t xml:space="preserve"> one or more religions, focusing on their beliefs</w:t>
      </w:r>
      <w:r>
        <w:t xml:space="preserve"> and </w:t>
      </w:r>
      <w:r w:rsidR="001C09E4" w:rsidRPr="001C09E4">
        <w:t>practices</w:t>
      </w:r>
      <w:r>
        <w:t xml:space="preserve">. </w:t>
      </w:r>
      <w:r w:rsidR="001C09E4" w:rsidRPr="001C09E4">
        <w:t xml:space="preserve">They </w:t>
      </w:r>
      <w:r>
        <w:t>will explore</w:t>
      </w:r>
      <w:r w:rsidR="001C09E4" w:rsidRPr="001C09E4">
        <w:t xml:space="preserve"> the </w:t>
      </w:r>
      <w:r>
        <w:t xml:space="preserve">characteristics of religion, their origins, foundations, social influence and development over time whilst critically analysing the </w:t>
      </w:r>
      <w:r w:rsidR="001C09E4" w:rsidRPr="001C09E4">
        <w:t>role religion has in society</w:t>
      </w:r>
      <w:r>
        <w:t xml:space="preserve">. </w:t>
      </w:r>
      <w:r w:rsidR="00E8125E">
        <w:t>By studying</w:t>
      </w:r>
      <w:r w:rsidR="00E8125E" w:rsidRPr="001C09E4">
        <w:t xml:space="preserve"> </w:t>
      </w:r>
      <w:r w:rsidR="001C09E4" w:rsidRPr="001C09E4">
        <w:t>th</w:t>
      </w:r>
      <w:r w:rsidR="007040E1">
        <w:t>e</w:t>
      </w:r>
      <w:r w:rsidR="001C09E4" w:rsidRPr="001C09E4">
        <w:t xml:space="preserve"> </w:t>
      </w:r>
      <w:r w:rsidR="00E8125E">
        <w:t>course</w:t>
      </w:r>
      <w:r w:rsidR="001C09E4" w:rsidRPr="001C09E4">
        <w:t>, students gain insight into the challenges and opportunities</w:t>
      </w:r>
      <w:r>
        <w:t xml:space="preserve"> </w:t>
      </w:r>
      <w:r w:rsidR="001C09E4" w:rsidRPr="001C09E4">
        <w:t>religion</w:t>
      </w:r>
      <w:r>
        <w:t>s face</w:t>
      </w:r>
      <w:r w:rsidR="001C09E4" w:rsidRPr="001C09E4">
        <w:t xml:space="preserve"> in modern society.</w:t>
      </w:r>
    </w:p>
    <w:p w14:paraId="77FE70D1" w14:textId="579067C1" w:rsidR="001C09E4" w:rsidRDefault="009A3406" w:rsidP="00D16FD6">
      <w:r>
        <w:t>S</w:t>
      </w:r>
      <w:r w:rsidR="001C09E4" w:rsidRPr="001C09E4">
        <w:t>tudents develop critical thinking and analytical skills</w:t>
      </w:r>
      <w:r>
        <w:t xml:space="preserve"> by engaging with diverse perspectives</w:t>
      </w:r>
      <w:r w:rsidR="00564660">
        <w:t>,</w:t>
      </w:r>
      <w:r>
        <w:t xml:space="preserve"> </w:t>
      </w:r>
      <w:r w:rsidR="001C09E4" w:rsidRPr="001C09E4">
        <w:t xml:space="preserve">enabling them to evaluate religious traditions within broader social and historical contexts. They </w:t>
      </w:r>
      <w:r w:rsidR="00854093">
        <w:t>refine their ability</w:t>
      </w:r>
      <w:r w:rsidR="001C09E4" w:rsidRPr="001C09E4">
        <w:t xml:space="preserve"> to interpret and assess </w:t>
      </w:r>
      <w:r w:rsidR="00854093">
        <w:t xml:space="preserve">primary and secondary sources </w:t>
      </w:r>
      <w:proofErr w:type="gramStart"/>
      <w:r w:rsidR="00854093">
        <w:t>in order to</w:t>
      </w:r>
      <w:proofErr w:type="gramEnd"/>
      <w:r w:rsidR="001C09E4" w:rsidRPr="001C09E4">
        <w:t xml:space="preserve"> foster an </w:t>
      </w:r>
      <w:r w:rsidR="00854093">
        <w:t>educated</w:t>
      </w:r>
      <w:r w:rsidR="00854093" w:rsidRPr="001C09E4">
        <w:t xml:space="preserve"> </w:t>
      </w:r>
      <w:r w:rsidR="001C09E4" w:rsidRPr="001C09E4">
        <w:t>and reflective approach to understanding religion’s role in contemporary life.</w:t>
      </w:r>
    </w:p>
    <w:p w14:paraId="0C5DE935" w14:textId="6B3326F9" w:rsidR="001C09E4" w:rsidRDefault="004C77CD" w:rsidP="00D16FD6">
      <w:r>
        <w:t xml:space="preserve">By studying the course, students will acquire the </w:t>
      </w:r>
      <w:r w:rsidR="001C09E4" w:rsidRPr="001C09E4">
        <w:t xml:space="preserve">knowledge and skills </w:t>
      </w:r>
      <w:r>
        <w:t>which will</w:t>
      </w:r>
      <w:r w:rsidR="001C09E4" w:rsidRPr="001C09E4">
        <w:t xml:space="preserve"> empower </w:t>
      </w:r>
      <w:r w:rsidR="00B515BB">
        <w:t>them</w:t>
      </w:r>
      <w:r w:rsidR="001C09E4" w:rsidRPr="001C09E4">
        <w:t xml:space="preserve"> to navigate and contribute to discussions on ethical, social and cultural issues influenced by religion. Understanding the inter</w:t>
      </w:r>
      <w:r>
        <w:t>play</w:t>
      </w:r>
      <w:r w:rsidR="001C09E4" w:rsidRPr="001C09E4">
        <w:t xml:space="preserve"> between religion and life enhances </w:t>
      </w:r>
      <w:r>
        <w:t>students’</w:t>
      </w:r>
      <w:r w:rsidR="001C09E4" w:rsidRPr="001C09E4">
        <w:t xml:space="preserve"> ability to engage meaningfully in a</w:t>
      </w:r>
      <w:r>
        <w:t>n increasingly</w:t>
      </w:r>
      <w:r w:rsidR="001C09E4" w:rsidRPr="001C09E4">
        <w:t xml:space="preserve"> diverse and pluralistic society. </w:t>
      </w:r>
    </w:p>
    <w:p w14:paraId="388B0452" w14:textId="59E941F6" w:rsidR="00CB6690" w:rsidRPr="00D16FD6" w:rsidRDefault="004C77CD" w:rsidP="00D16FD6">
      <w:r>
        <w:t>The s</w:t>
      </w:r>
      <w:r w:rsidR="001C09E4" w:rsidRPr="001C09E4">
        <w:t>tudy</w:t>
      </w:r>
      <w:r>
        <w:t xml:space="preserve"> of</w:t>
      </w:r>
      <w:r w:rsidR="001C09E4" w:rsidRPr="001C09E4">
        <w:t xml:space="preserve"> </w:t>
      </w:r>
      <w:r w:rsidR="00E8125E">
        <w:t xml:space="preserve">the </w:t>
      </w:r>
      <w:r w:rsidR="001C09E4" w:rsidRPr="001C09E4">
        <w:t xml:space="preserve">Religion and Life </w:t>
      </w:r>
      <w:r w:rsidR="00E8125E">
        <w:t xml:space="preserve">ATAR course </w:t>
      </w:r>
      <w:r>
        <w:t>is</w:t>
      </w:r>
      <w:r w:rsidR="001C09E4" w:rsidRPr="001C09E4">
        <w:t xml:space="preserve"> valuable for </w:t>
      </w:r>
      <w:r>
        <w:t xml:space="preserve">careers in </w:t>
      </w:r>
      <w:r w:rsidR="001C09E4" w:rsidRPr="001C09E4">
        <w:t>theology, sociology, anthropology and international relations, as well as careers requiring cultural awareness and ethical reasoning.</w:t>
      </w:r>
      <w:r w:rsidR="00CB6690"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5673BBB3" w14:textId="65312194" w:rsidR="00FE3707" w:rsidRPr="00D16FD6" w:rsidRDefault="00FE3707" w:rsidP="001F0FD8">
      <w:pPr>
        <w:spacing w:after="0"/>
      </w:pPr>
      <w:r w:rsidRPr="00D16FD6">
        <w:t xml:space="preserve">The </w:t>
      </w:r>
      <w:r w:rsidR="001C09E4">
        <w:t>Religion and Life ATAR</w:t>
      </w:r>
      <w:r w:rsidRPr="00D16FD6">
        <w:t xml:space="preserve"> course aims to develop students’</w:t>
      </w:r>
      <w:r w:rsidR="001C09E4">
        <w:t xml:space="preserve"> ability to</w:t>
      </w:r>
      <w:r w:rsidRPr="00D16FD6">
        <w:t>:</w:t>
      </w:r>
    </w:p>
    <w:p w14:paraId="62A588FC" w14:textId="77777777" w:rsidR="001C09E4" w:rsidRDefault="001C09E4" w:rsidP="001F0FD8">
      <w:pPr>
        <w:pStyle w:val="ListParagraph"/>
        <w:numPr>
          <w:ilvl w:val="0"/>
          <w:numId w:val="17"/>
        </w:numPr>
      </w:pPr>
      <w:r>
        <w:t>understand the nature of religion and how people interact with religion</w:t>
      </w:r>
    </w:p>
    <w:p w14:paraId="03850F6E" w14:textId="77777777" w:rsidR="001C09E4" w:rsidRDefault="001C09E4" w:rsidP="001F0FD8">
      <w:pPr>
        <w:pStyle w:val="ListParagraph"/>
        <w:numPr>
          <w:ilvl w:val="0"/>
          <w:numId w:val="17"/>
        </w:numPr>
      </w:pPr>
      <w:r>
        <w:t>understand the interplay between religion and society</w:t>
      </w:r>
    </w:p>
    <w:p w14:paraId="24F5AE67" w14:textId="33866AAA" w:rsidR="00CB6690" w:rsidRPr="001C09E4" w:rsidRDefault="00564660" w:rsidP="001F0FD8">
      <w:pPr>
        <w:pStyle w:val="ListParagraph"/>
        <w:numPr>
          <w:ilvl w:val="0"/>
          <w:numId w:val="17"/>
        </w:numPr>
      </w:pPr>
      <w:r>
        <w:t>use</w:t>
      </w:r>
      <w:r w:rsidR="001C09E4" w:rsidRPr="001C09E4">
        <w:t xml:space="preserve"> religious inquiry skills to </w:t>
      </w:r>
      <w:r w:rsidR="007A3936">
        <w:t>investigate</w:t>
      </w:r>
      <w:r w:rsidR="001C09E4" w:rsidRPr="001C09E4">
        <w:t>, analyse, evaluate and communicate an informed and critical understanding of issues and ideas associated with the interplay between religion and life</w:t>
      </w:r>
      <w:r w:rsidR="001C09E4">
        <w:t>.</w:t>
      </w:r>
    </w:p>
    <w:sectPr w:rsidR="00CB6690" w:rsidRPr="001C09E4" w:rsidSect="00834CC5">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76104" w14:textId="77777777" w:rsidR="000005ED" w:rsidRDefault="000005ED" w:rsidP="00742128">
      <w:pPr>
        <w:spacing w:after="0" w:line="240" w:lineRule="auto"/>
      </w:pPr>
      <w:r>
        <w:separator/>
      </w:r>
    </w:p>
  </w:endnote>
  <w:endnote w:type="continuationSeparator" w:id="0">
    <w:p w14:paraId="77A35E45" w14:textId="77777777" w:rsidR="000005ED" w:rsidRDefault="000005ED"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01604B39" w:rsidR="00F86F26" w:rsidRPr="008324A6" w:rsidRDefault="00F86F26" w:rsidP="00D16FD6">
    <w:pPr>
      <w:pStyle w:val="SCSAFootereven"/>
    </w:pPr>
    <w:r w:rsidRPr="002217E1">
      <w:rPr>
        <w:noProof/>
      </w:rPr>
      <w:t>20</w:t>
    </w:r>
    <w:r w:rsidR="00C63FF4" w:rsidRPr="002217E1">
      <w:rPr>
        <w:noProof/>
      </w:rPr>
      <w:t>25</w:t>
    </w:r>
    <w:r w:rsidRPr="002217E1">
      <w:rPr>
        <w:noProof/>
      </w:rPr>
      <w:t>/</w:t>
    </w:r>
    <w:r w:rsidR="002217E1">
      <w:rPr>
        <w:noProof/>
      </w:rPr>
      <w:t>58686</w:t>
    </w:r>
    <w:r w:rsidR="00E85099">
      <w:rPr>
        <w:noProof/>
      </w:rPr>
      <w:t>[v</w:t>
    </w:r>
    <w:r w:rsidR="00564660">
      <w:rPr>
        <w:noProof/>
      </w:rPr>
      <w:t>4</w:t>
    </w:r>
    <w:r w:rsidR="00E85099">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37EA118A" w:rsidR="00F86F26" w:rsidRPr="00D16FD6" w:rsidRDefault="00A4410B" w:rsidP="00D16FD6">
    <w:pPr>
      <w:pStyle w:val="SCSAFootereven"/>
    </w:pPr>
    <w:r>
      <w:t xml:space="preserve">Religion and Life </w:t>
    </w:r>
    <w:r w:rsidRPr="007B3C15">
      <w:t>|</w:t>
    </w:r>
    <w:r w:rsidRPr="00D16FD6">
      <w:t xml:space="preserve"> </w:t>
    </w:r>
    <w:r>
      <w:t>ATAR</w:t>
    </w:r>
    <w:r w:rsidRPr="00D16FD6">
      <w:t xml:space="preserve"> | Year </w:t>
    </w:r>
    <w:r>
      <w:t>1</w:t>
    </w:r>
    <w:r w:rsidR="005559A1">
      <w:t>2</w:t>
    </w:r>
    <w:r w:rsidRPr="00D16FD6">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4D7FD11" w:rsidR="00F86F26" w:rsidRPr="00D16FD6" w:rsidRDefault="00A4410B" w:rsidP="00D16FD6">
    <w:pPr>
      <w:pStyle w:val="SCSAFooterodd"/>
    </w:pPr>
    <w:r>
      <w:t>Religion and Life</w:t>
    </w:r>
    <w:r w:rsidR="007B3C15">
      <w:t xml:space="preserve"> </w:t>
    </w:r>
    <w:r w:rsidR="00DC2EF3" w:rsidRPr="007B3C15">
      <w:t>|</w:t>
    </w:r>
    <w:r w:rsidR="00DC2EF3" w:rsidRPr="00D16FD6">
      <w:t xml:space="preserve"> </w:t>
    </w:r>
    <w:r>
      <w:t>ATAR</w:t>
    </w:r>
    <w:r w:rsidR="00DC2EF3" w:rsidRPr="00D16FD6">
      <w:t xml:space="preserve"> | Year </w:t>
    </w:r>
    <w:r>
      <w:t>1</w:t>
    </w:r>
    <w:r w:rsidR="005559A1">
      <w:t>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5DA3" w14:textId="77777777" w:rsidR="000005ED" w:rsidRDefault="000005ED" w:rsidP="00742128">
      <w:pPr>
        <w:spacing w:after="0" w:line="240" w:lineRule="auto"/>
      </w:pPr>
      <w:r>
        <w:separator/>
      </w:r>
    </w:p>
  </w:footnote>
  <w:footnote w:type="continuationSeparator" w:id="0">
    <w:p w14:paraId="4B97DEEA" w14:textId="77777777" w:rsidR="000005ED" w:rsidRDefault="000005ED"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9"/>
  </w:num>
  <w:num w:numId="2" w16cid:durableId="512889061">
    <w:abstractNumId w:val="11"/>
  </w:num>
  <w:num w:numId="3" w16cid:durableId="1660381090">
    <w:abstractNumId w:val="14"/>
  </w:num>
  <w:num w:numId="4" w16cid:durableId="179441877">
    <w:abstractNumId w:val="7"/>
  </w:num>
  <w:num w:numId="5" w16cid:durableId="1481263936">
    <w:abstractNumId w:val="12"/>
  </w:num>
  <w:num w:numId="6" w16cid:durableId="1809275971">
    <w:abstractNumId w:val="10"/>
  </w:num>
  <w:num w:numId="7" w16cid:durableId="634065546">
    <w:abstractNumId w:val="2"/>
  </w:num>
  <w:num w:numId="8" w16cid:durableId="810444534">
    <w:abstractNumId w:val="15"/>
  </w:num>
  <w:num w:numId="9" w16cid:durableId="1972594163">
    <w:abstractNumId w:val="16"/>
  </w:num>
  <w:num w:numId="10" w16cid:durableId="1396468084">
    <w:abstractNumId w:val="4"/>
  </w:num>
  <w:num w:numId="11" w16cid:durableId="1878735755">
    <w:abstractNumId w:val="13"/>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05ED"/>
    <w:rsid w:val="0000345F"/>
    <w:rsid w:val="00005910"/>
    <w:rsid w:val="00012829"/>
    <w:rsid w:val="000128A1"/>
    <w:rsid w:val="00015EC5"/>
    <w:rsid w:val="00017D9C"/>
    <w:rsid w:val="00020B62"/>
    <w:rsid w:val="0002336A"/>
    <w:rsid w:val="00036500"/>
    <w:rsid w:val="0004209E"/>
    <w:rsid w:val="00044FDD"/>
    <w:rsid w:val="00047063"/>
    <w:rsid w:val="00053A6C"/>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5D81"/>
    <w:rsid w:val="001072D5"/>
    <w:rsid w:val="001176E8"/>
    <w:rsid w:val="0012754D"/>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A39D0"/>
    <w:rsid w:val="001A7DBB"/>
    <w:rsid w:val="001C09E4"/>
    <w:rsid w:val="001C0FCC"/>
    <w:rsid w:val="001D5394"/>
    <w:rsid w:val="001D56E3"/>
    <w:rsid w:val="001D717F"/>
    <w:rsid w:val="001D76C5"/>
    <w:rsid w:val="001E0FD9"/>
    <w:rsid w:val="001E3CB5"/>
    <w:rsid w:val="001E3F43"/>
    <w:rsid w:val="001E5904"/>
    <w:rsid w:val="001E6612"/>
    <w:rsid w:val="001F0FD8"/>
    <w:rsid w:val="001F5D5D"/>
    <w:rsid w:val="001F6411"/>
    <w:rsid w:val="00204F73"/>
    <w:rsid w:val="00212894"/>
    <w:rsid w:val="002145EE"/>
    <w:rsid w:val="002156B5"/>
    <w:rsid w:val="00217901"/>
    <w:rsid w:val="002217E1"/>
    <w:rsid w:val="00223D1B"/>
    <w:rsid w:val="00236BF3"/>
    <w:rsid w:val="0024125D"/>
    <w:rsid w:val="0024439F"/>
    <w:rsid w:val="002451B5"/>
    <w:rsid w:val="00264DBE"/>
    <w:rsid w:val="00270163"/>
    <w:rsid w:val="0027335A"/>
    <w:rsid w:val="00274804"/>
    <w:rsid w:val="00281E6B"/>
    <w:rsid w:val="00285893"/>
    <w:rsid w:val="00290C4A"/>
    <w:rsid w:val="00294338"/>
    <w:rsid w:val="002950D7"/>
    <w:rsid w:val="002A1DB8"/>
    <w:rsid w:val="002A2970"/>
    <w:rsid w:val="002A2D2B"/>
    <w:rsid w:val="002A471E"/>
    <w:rsid w:val="002A4A58"/>
    <w:rsid w:val="002A5092"/>
    <w:rsid w:val="002B57DA"/>
    <w:rsid w:val="002B6FEE"/>
    <w:rsid w:val="002B7287"/>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0956"/>
    <w:rsid w:val="003215A4"/>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5C1E"/>
    <w:rsid w:val="00386172"/>
    <w:rsid w:val="00390442"/>
    <w:rsid w:val="00393BCC"/>
    <w:rsid w:val="0039509D"/>
    <w:rsid w:val="00395F68"/>
    <w:rsid w:val="003A2EB4"/>
    <w:rsid w:val="003A30C5"/>
    <w:rsid w:val="003A6194"/>
    <w:rsid w:val="003A69C8"/>
    <w:rsid w:val="003B2201"/>
    <w:rsid w:val="003C0879"/>
    <w:rsid w:val="003C1DD5"/>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4627A"/>
    <w:rsid w:val="00455893"/>
    <w:rsid w:val="0046231B"/>
    <w:rsid w:val="00465F15"/>
    <w:rsid w:val="004669D2"/>
    <w:rsid w:val="00466D3C"/>
    <w:rsid w:val="00474F75"/>
    <w:rsid w:val="004750DA"/>
    <w:rsid w:val="00475BC0"/>
    <w:rsid w:val="0047606A"/>
    <w:rsid w:val="004772A8"/>
    <w:rsid w:val="00481337"/>
    <w:rsid w:val="0048251F"/>
    <w:rsid w:val="0048344D"/>
    <w:rsid w:val="00483D50"/>
    <w:rsid w:val="00492C50"/>
    <w:rsid w:val="00497362"/>
    <w:rsid w:val="004A0EFA"/>
    <w:rsid w:val="004A27B2"/>
    <w:rsid w:val="004A4C30"/>
    <w:rsid w:val="004B05E0"/>
    <w:rsid w:val="004B09CF"/>
    <w:rsid w:val="004B256A"/>
    <w:rsid w:val="004B3B93"/>
    <w:rsid w:val="004B401A"/>
    <w:rsid w:val="004B7DB5"/>
    <w:rsid w:val="004C64D3"/>
    <w:rsid w:val="004C77CD"/>
    <w:rsid w:val="004D26A7"/>
    <w:rsid w:val="004D317A"/>
    <w:rsid w:val="004D3542"/>
    <w:rsid w:val="004E0AD6"/>
    <w:rsid w:val="004E517B"/>
    <w:rsid w:val="004F3012"/>
    <w:rsid w:val="004F3801"/>
    <w:rsid w:val="004F4B41"/>
    <w:rsid w:val="00504046"/>
    <w:rsid w:val="0050411E"/>
    <w:rsid w:val="00516487"/>
    <w:rsid w:val="00521808"/>
    <w:rsid w:val="005240D9"/>
    <w:rsid w:val="00525B58"/>
    <w:rsid w:val="0053382D"/>
    <w:rsid w:val="00537F6A"/>
    <w:rsid w:val="00540775"/>
    <w:rsid w:val="00540B46"/>
    <w:rsid w:val="00542E80"/>
    <w:rsid w:val="00554AC8"/>
    <w:rsid w:val="005559A1"/>
    <w:rsid w:val="00557D1B"/>
    <w:rsid w:val="005627B9"/>
    <w:rsid w:val="00564660"/>
    <w:rsid w:val="00564B14"/>
    <w:rsid w:val="005844D7"/>
    <w:rsid w:val="00585FAA"/>
    <w:rsid w:val="0058749E"/>
    <w:rsid w:val="00591074"/>
    <w:rsid w:val="005925F0"/>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5E7239"/>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2123"/>
    <w:rsid w:val="00693261"/>
    <w:rsid w:val="0069421A"/>
    <w:rsid w:val="006C230A"/>
    <w:rsid w:val="006C4E08"/>
    <w:rsid w:val="006C633A"/>
    <w:rsid w:val="006C6F42"/>
    <w:rsid w:val="006D086D"/>
    <w:rsid w:val="006D0C8A"/>
    <w:rsid w:val="006D6474"/>
    <w:rsid w:val="006E122E"/>
    <w:rsid w:val="006E1D80"/>
    <w:rsid w:val="006E2558"/>
    <w:rsid w:val="006F544F"/>
    <w:rsid w:val="007013C9"/>
    <w:rsid w:val="007040E1"/>
    <w:rsid w:val="0071572C"/>
    <w:rsid w:val="0071660C"/>
    <w:rsid w:val="00716616"/>
    <w:rsid w:val="007167A4"/>
    <w:rsid w:val="0072351C"/>
    <w:rsid w:val="007342C4"/>
    <w:rsid w:val="00737E63"/>
    <w:rsid w:val="007410DD"/>
    <w:rsid w:val="00741565"/>
    <w:rsid w:val="00741822"/>
    <w:rsid w:val="00742128"/>
    <w:rsid w:val="00750094"/>
    <w:rsid w:val="0075009C"/>
    <w:rsid w:val="00752C47"/>
    <w:rsid w:val="0075415C"/>
    <w:rsid w:val="007669E8"/>
    <w:rsid w:val="00766AC1"/>
    <w:rsid w:val="007741AF"/>
    <w:rsid w:val="007766C5"/>
    <w:rsid w:val="00776DD8"/>
    <w:rsid w:val="00780D69"/>
    <w:rsid w:val="00784D1C"/>
    <w:rsid w:val="00786887"/>
    <w:rsid w:val="00786DAD"/>
    <w:rsid w:val="007913B7"/>
    <w:rsid w:val="00793207"/>
    <w:rsid w:val="007A3936"/>
    <w:rsid w:val="007A4144"/>
    <w:rsid w:val="007B19D2"/>
    <w:rsid w:val="007B19E8"/>
    <w:rsid w:val="007B3C15"/>
    <w:rsid w:val="007B3F42"/>
    <w:rsid w:val="007B7AA0"/>
    <w:rsid w:val="007C3C9C"/>
    <w:rsid w:val="007C51B2"/>
    <w:rsid w:val="007C609E"/>
    <w:rsid w:val="007D1AA6"/>
    <w:rsid w:val="007D4452"/>
    <w:rsid w:val="007D4CB3"/>
    <w:rsid w:val="007E0157"/>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34CC5"/>
    <w:rsid w:val="00840F51"/>
    <w:rsid w:val="00842A1A"/>
    <w:rsid w:val="00842F4B"/>
    <w:rsid w:val="00843D36"/>
    <w:rsid w:val="00846AF5"/>
    <w:rsid w:val="00854093"/>
    <w:rsid w:val="008655B4"/>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04FC"/>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3"/>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3406"/>
    <w:rsid w:val="009A64DF"/>
    <w:rsid w:val="009A78D6"/>
    <w:rsid w:val="009B526D"/>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0E54"/>
    <w:rsid w:val="00A01B33"/>
    <w:rsid w:val="00A02C9C"/>
    <w:rsid w:val="00A0425A"/>
    <w:rsid w:val="00A076CF"/>
    <w:rsid w:val="00A15FE7"/>
    <w:rsid w:val="00A243E1"/>
    <w:rsid w:val="00A24944"/>
    <w:rsid w:val="00A27208"/>
    <w:rsid w:val="00A3298F"/>
    <w:rsid w:val="00A33ED4"/>
    <w:rsid w:val="00A42E97"/>
    <w:rsid w:val="00A4356B"/>
    <w:rsid w:val="00A43A54"/>
    <w:rsid w:val="00A4410B"/>
    <w:rsid w:val="00A52AE2"/>
    <w:rsid w:val="00A548E7"/>
    <w:rsid w:val="00A65DDB"/>
    <w:rsid w:val="00A70344"/>
    <w:rsid w:val="00A72264"/>
    <w:rsid w:val="00A7392D"/>
    <w:rsid w:val="00A8257B"/>
    <w:rsid w:val="00A85FD4"/>
    <w:rsid w:val="00A91074"/>
    <w:rsid w:val="00A93F91"/>
    <w:rsid w:val="00A973BB"/>
    <w:rsid w:val="00AA0288"/>
    <w:rsid w:val="00AA2B0D"/>
    <w:rsid w:val="00AA2EB8"/>
    <w:rsid w:val="00AA650B"/>
    <w:rsid w:val="00AB00F3"/>
    <w:rsid w:val="00AB158A"/>
    <w:rsid w:val="00AB5CC5"/>
    <w:rsid w:val="00AC28E1"/>
    <w:rsid w:val="00AD00B8"/>
    <w:rsid w:val="00AD2EBD"/>
    <w:rsid w:val="00AE0106"/>
    <w:rsid w:val="00AE0CDE"/>
    <w:rsid w:val="00AE4E09"/>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15BB"/>
    <w:rsid w:val="00B52F79"/>
    <w:rsid w:val="00B6583C"/>
    <w:rsid w:val="00B65976"/>
    <w:rsid w:val="00B65D3D"/>
    <w:rsid w:val="00B71C2D"/>
    <w:rsid w:val="00B8058F"/>
    <w:rsid w:val="00B86B49"/>
    <w:rsid w:val="00B935B0"/>
    <w:rsid w:val="00B937EB"/>
    <w:rsid w:val="00B949B9"/>
    <w:rsid w:val="00B97F16"/>
    <w:rsid w:val="00BA1627"/>
    <w:rsid w:val="00BB0A97"/>
    <w:rsid w:val="00BB4454"/>
    <w:rsid w:val="00BC1F96"/>
    <w:rsid w:val="00BD0125"/>
    <w:rsid w:val="00BD037E"/>
    <w:rsid w:val="00BE277F"/>
    <w:rsid w:val="00BE47B9"/>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649C7"/>
    <w:rsid w:val="00C70E45"/>
    <w:rsid w:val="00C766F3"/>
    <w:rsid w:val="00C80FFC"/>
    <w:rsid w:val="00C85B9D"/>
    <w:rsid w:val="00C8739A"/>
    <w:rsid w:val="00C92D26"/>
    <w:rsid w:val="00C947BA"/>
    <w:rsid w:val="00CA51CE"/>
    <w:rsid w:val="00CB0B33"/>
    <w:rsid w:val="00CB168A"/>
    <w:rsid w:val="00CB2248"/>
    <w:rsid w:val="00CB6690"/>
    <w:rsid w:val="00CC1957"/>
    <w:rsid w:val="00CD1829"/>
    <w:rsid w:val="00CD36FD"/>
    <w:rsid w:val="00CD489B"/>
    <w:rsid w:val="00CD4CA0"/>
    <w:rsid w:val="00CD67E1"/>
    <w:rsid w:val="00CD73C8"/>
    <w:rsid w:val="00CE02B1"/>
    <w:rsid w:val="00CE0E01"/>
    <w:rsid w:val="00CE6E0E"/>
    <w:rsid w:val="00CF18AE"/>
    <w:rsid w:val="00CF1A70"/>
    <w:rsid w:val="00CF2A51"/>
    <w:rsid w:val="00CF2AA3"/>
    <w:rsid w:val="00CF39A2"/>
    <w:rsid w:val="00CF3F4D"/>
    <w:rsid w:val="00CF6AB8"/>
    <w:rsid w:val="00D0034F"/>
    <w:rsid w:val="00D03FE5"/>
    <w:rsid w:val="00D0711B"/>
    <w:rsid w:val="00D101E0"/>
    <w:rsid w:val="00D10B77"/>
    <w:rsid w:val="00D12A2F"/>
    <w:rsid w:val="00D15329"/>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83942"/>
    <w:rsid w:val="00D861C4"/>
    <w:rsid w:val="00D90DBA"/>
    <w:rsid w:val="00D92D10"/>
    <w:rsid w:val="00DA0E77"/>
    <w:rsid w:val="00DA2CC6"/>
    <w:rsid w:val="00DA34F0"/>
    <w:rsid w:val="00DB280B"/>
    <w:rsid w:val="00DB41B4"/>
    <w:rsid w:val="00DB4B3C"/>
    <w:rsid w:val="00DB6D74"/>
    <w:rsid w:val="00DC2EF3"/>
    <w:rsid w:val="00DC3A58"/>
    <w:rsid w:val="00DD0EDA"/>
    <w:rsid w:val="00DD1D21"/>
    <w:rsid w:val="00DD51A8"/>
    <w:rsid w:val="00DE1ABE"/>
    <w:rsid w:val="00E00C60"/>
    <w:rsid w:val="00E0593E"/>
    <w:rsid w:val="00E1108A"/>
    <w:rsid w:val="00E12888"/>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5E"/>
    <w:rsid w:val="00E812BD"/>
    <w:rsid w:val="00E81B31"/>
    <w:rsid w:val="00E85099"/>
    <w:rsid w:val="00E92715"/>
    <w:rsid w:val="00E943B5"/>
    <w:rsid w:val="00E94C88"/>
    <w:rsid w:val="00EA0A4B"/>
    <w:rsid w:val="00EA10DC"/>
    <w:rsid w:val="00EB3C04"/>
    <w:rsid w:val="00EB4E3E"/>
    <w:rsid w:val="00EB708F"/>
    <w:rsid w:val="00EC1EA5"/>
    <w:rsid w:val="00EC637E"/>
    <w:rsid w:val="00ED3A00"/>
    <w:rsid w:val="00ED5E76"/>
    <w:rsid w:val="00EE2E1D"/>
    <w:rsid w:val="00EE42A5"/>
    <w:rsid w:val="00EF0533"/>
    <w:rsid w:val="00EF6131"/>
    <w:rsid w:val="00F02AED"/>
    <w:rsid w:val="00F150C0"/>
    <w:rsid w:val="00F16805"/>
    <w:rsid w:val="00F174FB"/>
    <w:rsid w:val="00F17E64"/>
    <w:rsid w:val="00F231A2"/>
    <w:rsid w:val="00F232C6"/>
    <w:rsid w:val="00F265D6"/>
    <w:rsid w:val="00F306D5"/>
    <w:rsid w:val="00F31CDC"/>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22A1"/>
    <w:rsid w:val="00FD4D6D"/>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Simon Dorosz</cp:lastModifiedBy>
  <cp:revision>19</cp:revision>
  <cp:lastPrinted>2021-06-02T02:04:00Z</cp:lastPrinted>
  <dcterms:created xsi:type="dcterms:W3CDTF">2025-06-17T07:27:00Z</dcterms:created>
  <dcterms:modified xsi:type="dcterms:W3CDTF">2025-08-19T01:26:00Z</dcterms:modified>
</cp:coreProperties>
</file>