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CF"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0CF">
        <w:rPr>
          <w:rFonts w:ascii="Franklin Gothic Medium" w:eastAsia="Times New Roman" w:hAnsi="Franklin Gothic Medium" w:cs="Times New Roman"/>
          <w:smallCaps/>
          <w:color w:val="3C3B42"/>
          <w:spacing w:val="5"/>
          <w:kern w:val="28"/>
          <w:sz w:val="60"/>
          <w:szCs w:val="52"/>
          <w:lang w:val="en-AU" w:eastAsia="en-US"/>
        </w:rPr>
        <w:t>Modern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7D30CB">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EA3F4A">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3960CF" w:rsidRPr="003960CF" w:rsidRDefault="0029397C" w:rsidP="003960CF">
      <w:pPr>
        <w:spacing w:before="0" w:after="0" w:line="240" w:lineRule="auto"/>
        <w:rPr>
          <w:rFonts w:ascii="Franklin Gothic Book" w:hAnsi="Franklin Gothic Book"/>
          <w:noProof/>
          <w:color w:val="5F497A" w:themeColor="accent4" w:themeShade="BF"/>
          <w:sz w:val="24"/>
          <w:szCs w:val="24"/>
        </w:rPr>
      </w:pPr>
      <w:r>
        <w:rPr>
          <w:rFonts w:ascii="Franklin Gothic Book" w:hAnsi="Franklin Gothic Book"/>
          <w:noProof/>
          <w:color w:val="5F497A" w:themeColor="accent4" w:themeShade="BF"/>
          <w:sz w:val="24"/>
          <w:szCs w:val="24"/>
        </w:rPr>
        <w:t>India 1919</w:t>
      </w:r>
      <w:r w:rsidR="007A039E">
        <w:rPr>
          <w:rFonts w:ascii="Franklin Gothic Book" w:hAnsi="Franklin Gothic Book"/>
          <w:noProof/>
          <w:color w:val="5F497A" w:themeColor="accent4" w:themeShade="BF"/>
          <w:sz w:val="24"/>
          <w:szCs w:val="24"/>
        </w:rPr>
        <w:t>–</w:t>
      </w:r>
      <w:r w:rsidR="003960CF" w:rsidRPr="003960CF">
        <w:rPr>
          <w:rFonts w:ascii="Franklin Gothic Book" w:hAnsi="Franklin Gothic Book"/>
          <w:noProof/>
          <w:color w:val="5F497A" w:themeColor="accent4" w:themeShade="BF"/>
          <w:sz w:val="24"/>
          <w:szCs w:val="24"/>
        </w:rPr>
        <w:t xml:space="preserve">1948 – a study of the end of the British Empire </w:t>
      </w:r>
    </w:p>
    <w:p w:rsidR="009E4966" w:rsidRPr="00813711" w:rsidRDefault="00EA3F4A"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43295D" w:rsidRPr="00EE3F32" w:rsidRDefault="003960CF"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Modern History</w:t>
      </w:r>
    </w:p>
    <w:p w:rsidR="007C68C4" w:rsidRDefault="009E071D" w:rsidP="00F9530B">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3960CF" w:rsidRPr="00EA3F4A" w:rsidRDefault="003960CF" w:rsidP="00EA3F4A">
      <w:pPr>
        <w:pStyle w:val="Heading1"/>
        <w:spacing w:before="360"/>
        <w:jc w:val="left"/>
        <w:rPr>
          <w:rFonts w:ascii="Franklin Gothic Book" w:hAnsi="Franklin Gothic Book"/>
          <w:color w:val="342568"/>
          <w:sz w:val="28"/>
          <w:szCs w:val="28"/>
          <w14:textFill>
            <w14:solidFill>
              <w14:srgbClr w14:val="342568">
                <w14:lumMod w14:val="75000"/>
              </w14:srgbClr>
            </w14:solidFill>
          </w14:textFill>
        </w:rPr>
      </w:pPr>
      <w:r w:rsidRPr="00EA3F4A">
        <w:rPr>
          <w:rFonts w:ascii="Franklin Gothic Book" w:hAnsi="Franklin Gothic Book"/>
          <w:color w:val="342568"/>
          <w:sz w:val="28"/>
          <w:szCs w:val="28"/>
          <w14:textFill>
            <w14:solidFill>
              <w14:srgbClr w14:val="342568">
                <w14:lumMod w14:val="75000"/>
              </w14:srgbClr>
            </w14:solidFill>
          </w14:textFill>
        </w:rPr>
        <w:t>India 1919–1948 – a study of the end of the British Empire</w:t>
      </w:r>
    </w:p>
    <w:p w:rsidR="0022405F" w:rsidRPr="0022405F" w:rsidRDefault="001F4DF0" w:rsidP="0022405F">
      <w:pPr>
        <w:pStyle w:val="Heading3"/>
      </w:pPr>
      <w:r>
        <w:t xml:space="preserve">Source </w:t>
      </w:r>
      <w:r w:rsidR="0022405F" w:rsidRPr="0022405F">
        <w:t xml:space="preserve">1 </w:t>
      </w:r>
    </w:p>
    <w:p w:rsidR="003960CF" w:rsidRPr="00393156" w:rsidRDefault="003960CF" w:rsidP="003960CF">
      <w:pPr>
        <w:pStyle w:val="Heading3"/>
        <w:rPr>
          <w:b w:val="0"/>
        </w:rPr>
      </w:pPr>
      <w:proofErr w:type="gramStart"/>
      <w:r w:rsidRPr="00393156">
        <w:rPr>
          <w:b w:val="0"/>
        </w:rPr>
        <w:t>(</w:t>
      </w:r>
      <w:r w:rsidR="00EA3F4A" w:rsidRPr="00393156">
        <w:rPr>
          <w:b w:val="0"/>
          <w:i/>
          <w:color w:val="000000"/>
        </w:rPr>
        <w:t xml:space="preserve">extract from </w:t>
      </w:r>
      <w:proofErr w:type="spellStart"/>
      <w:r w:rsidR="00EA3F4A" w:rsidRPr="00393156">
        <w:rPr>
          <w:b w:val="0"/>
          <w:i/>
          <w:color w:val="000000"/>
        </w:rPr>
        <w:t>gandhi’s</w:t>
      </w:r>
      <w:proofErr w:type="spellEnd"/>
      <w:r w:rsidR="00EA3F4A" w:rsidRPr="00393156">
        <w:rPr>
          <w:b w:val="0"/>
          <w:i/>
          <w:color w:val="000000"/>
        </w:rPr>
        <w:t xml:space="preserve"> correspondenc</w:t>
      </w:r>
      <w:r w:rsidR="00EA3F4A">
        <w:rPr>
          <w:b w:val="0"/>
          <w:i/>
          <w:color w:val="000000"/>
        </w:rPr>
        <w:t xml:space="preserve">e with the government </w:t>
      </w:r>
      <w:r>
        <w:rPr>
          <w:b w:val="0"/>
          <w:i/>
          <w:color w:val="000000"/>
        </w:rPr>
        <w:t>1942–</w:t>
      </w:r>
      <w:r w:rsidRPr="00393156">
        <w:rPr>
          <w:b w:val="0"/>
          <w:i/>
          <w:color w:val="000000"/>
        </w:rPr>
        <w:t>1944</w:t>
      </w:r>
      <w:r w:rsidRPr="00393156">
        <w:rPr>
          <w:b w:val="0"/>
        </w:rPr>
        <w:t>.)</w:t>
      </w:r>
      <w:proofErr w:type="gramEnd"/>
    </w:p>
    <w:p w:rsidR="003960CF" w:rsidRDefault="003960CF" w:rsidP="003960CF">
      <w:pPr>
        <w:pStyle w:val="NormalWeb"/>
        <w:spacing w:before="120" w:beforeAutospacing="0" w:after="120" w:afterAutospacing="0" w:line="276" w:lineRule="auto"/>
        <w:rPr>
          <w:rFonts w:ascii="Calibri" w:hAnsi="Calibri" w:cs="Calibri"/>
          <w:color w:val="000000"/>
          <w:sz w:val="22"/>
          <w:szCs w:val="22"/>
        </w:rPr>
      </w:pPr>
      <w:r w:rsidRPr="001A1E07">
        <w:rPr>
          <w:rFonts w:ascii="Calibri" w:hAnsi="Calibri" w:cs="Calibri"/>
          <w:color w:val="000000"/>
          <w:sz w:val="22"/>
          <w:szCs w:val="22"/>
        </w:rPr>
        <w:t>The accumulated experience of the past thirty years fills me with the greatest hope that in the adoption of nonviolence lies the future of India and the world. It is the most harmless and yet equally effective way of dealing with the political and economic wrongs of the downtrodden portion of humanity. I have known from early youth that nonviolence is not a cloistered</w:t>
      </w:r>
      <w:r w:rsidRPr="001A1E07">
        <w:rPr>
          <w:rFonts w:ascii="Calibri" w:hAnsi="Calibri" w:cs="Calibri"/>
          <w:color w:val="000000"/>
          <w:sz w:val="22"/>
          <w:szCs w:val="22"/>
          <w:vertAlign w:val="superscript"/>
        </w:rPr>
        <w:t>1</w:t>
      </w:r>
      <w:r w:rsidRPr="001A1E07">
        <w:rPr>
          <w:rFonts w:ascii="Calibri" w:hAnsi="Calibri" w:cs="Calibri"/>
          <w:color w:val="000000"/>
          <w:sz w:val="22"/>
          <w:szCs w:val="22"/>
        </w:rPr>
        <w:t xml:space="preserve"> virtue to be practised by the individual for his peace and final salvation, but it is a rule of conduct for society if it is to live consistently with human dignity and make progress towards the attainment of peace for which it has been yearning for ages past.</w:t>
      </w:r>
    </w:p>
    <w:p w:rsidR="008D4E89" w:rsidRDefault="008D4E89" w:rsidP="008D4E89"/>
    <w:p w:rsidR="008D4E89" w:rsidRPr="00A26345" w:rsidRDefault="008D4E89" w:rsidP="008D4E89">
      <w:pPr>
        <w:tabs>
          <w:tab w:val="left" w:pos="1701"/>
        </w:tabs>
        <w:spacing w:line="240" w:lineRule="auto"/>
        <w:ind w:left="284" w:hanging="284"/>
        <w:jc w:val="both"/>
        <w:rPr>
          <w:rFonts w:asciiTheme="minorHAnsi" w:hAnsiTheme="minorHAnsi" w:cstheme="minorHAnsi"/>
          <w:sz w:val="18"/>
          <w:szCs w:val="18"/>
        </w:rPr>
      </w:pPr>
      <w:r>
        <w:rPr>
          <w:rFonts w:asciiTheme="minorHAnsi" w:hAnsiTheme="minorHAnsi" w:cstheme="minorHAnsi"/>
          <w:sz w:val="18"/>
          <w:szCs w:val="18"/>
        </w:rPr>
        <w:t>1.</w:t>
      </w:r>
      <w:r w:rsidRPr="00A26345">
        <w:rPr>
          <w:rFonts w:asciiTheme="minorHAnsi" w:hAnsiTheme="minorHAnsi" w:cstheme="minorHAnsi"/>
          <w:sz w:val="18"/>
          <w:szCs w:val="18"/>
        </w:rPr>
        <w:tab/>
      </w:r>
      <w:r w:rsidRPr="008D4E89">
        <w:rPr>
          <w:rFonts w:asciiTheme="minorHAnsi" w:hAnsiTheme="minorHAnsi" w:cstheme="minorHAnsi"/>
          <w:sz w:val="18"/>
          <w:szCs w:val="18"/>
        </w:rPr>
        <w:t>cloistered</w:t>
      </w:r>
      <w:r w:rsidRPr="00A26345">
        <w:rPr>
          <w:rFonts w:asciiTheme="minorHAnsi" w:hAnsiTheme="minorHAnsi" w:cstheme="minorHAnsi"/>
          <w:sz w:val="18"/>
          <w:szCs w:val="18"/>
        </w:rPr>
        <w:tab/>
      </w:r>
      <w:r>
        <w:rPr>
          <w:rFonts w:asciiTheme="minorHAnsi" w:hAnsiTheme="minorHAnsi" w:cstheme="minorHAnsi"/>
          <w:sz w:val="18"/>
          <w:szCs w:val="18"/>
        </w:rPr>
        <w:t>secluded</w:t>
      </w:r>
      <w:r w:rsidRPr="00A26345">
        <w:rPr>
          <w:rStyle w:val="cald-definition1"/>
          <w:rFonts w:asciiTheme="minorHAnsi" w:hAnsiTheme="minorHAnsi" w:cstheme="minorHAnsi"/>
          <w:sz w:val="18"/>
          <w:szCs w:val="18"/>
        </w:rPr>
        <w:t xml:space="preserve">, </w:t>
      </w:r>
      <w:r>
        <w:rPr>
          <w:rStyle w:val="cald-definition1"/>
          <w:rFonts w:asciiTheme="minorHAnsi" w:hAnsiTheme="minorHAnsi" w:cstheme="minorHAnsi"/>
          <w:sz w:val="18"/>
          <w:szCs w:val="18"/>
        </w:rPr>
        <w:t>private</w:t>
      </w:r>
    </w:p>
    <w:p w:rsidR="008D4E89" w:rsidRPr="001A1E07" w:rsidRDefault="008D4E89" w:rsidP="003960CF">
      <w:pPr>
        <w:pStyle w:val="NormalWeb"/>
        <w:spacing w:before="120" w:beforeAutospacing="0" w:after="120" w:afterAutospacing="0" w:line="276" w:lineRule="auto"/>
        <w:rPr>
          <w:rFonts w:ascii="Calibri" w:hAnsi="Calibri" w:cs="Calibri"/>
          <w:color w:val="000000"/>
          <w:sz w:val="22"/>
          <w:szCs w:val="22"/>
        </w:rPr>
      </w:pPr>
    </w:p>
    <w:p w:rsidR="0022405F" w:rsidRPr="0022405F" w:rsidRDefault="0022405F" w:rsidP="0022405F">
      <w:pPr>
        <w:pStyle w:val="Heading3"/>
      </w:pPr>
      <w:r>
        <w:t>Source 2</w:t>
      </w:r>
    </w:p>
    <w:p w:rsidR="003960CF" w:rsidRDefault="003960CF" w:rsidP="003960CF">
      <w:pPr>
        <w:rPr>
          <w:i/>
        </w:rPr>
      </w:pPr>
      <w:r w:rsidRPr="001A1E07">
        <w:rPr>
          <w:i/>
        </w:rPr>
        <w:t>(Free India by LG Illingworth published in the Daily Mail May 23 1947. On May 23 1947, the British cabinet took the step of agreeing to Lord Louis Mountbatten's proposal for the partition of India into two states, one Moslem and the other Hindu.)</w:t>
      </w:r>
    </w:p>
    <w:p w:rsidR="003960CF" w:rsidRDefault="003960CF" w:rsidP="003960CF">
      <w:pPr>
        <w:rPr>
          <w:i/>
        </w:rPr>
      </w:pPr>
    </w:p>
    <w:tbl>
      <w:tblPr>
        <w:tblStyle w:val="TableGrid"/>
        <w:tblW w:w="0" w:type="auto"/>
        <w:tblLook w:val="04A0" w:firstRow="1" w:lastRow="0" w:firstColumn="1" w:lastColumn="0" w:noHBand="0" w:noVBand="1"/>
      </w:tblPr>
      <w:tblGrid>
        <w:gridCol w:w="9572"/>
      </w:tblGrid>
      <w:tr w:rsidR="003960CF" w:rsidTr="00CB202C">
        <w:tc>
          <w:tcPr>
            <w:tcW w:w="9962" w:type="dxa"/>
          </w:tcPr>
          <w:p w:rsidR="003960CF" w:rsidRDefault="003960CF" w:rsidP="00CB202C">
            <w:pPr>
              <w:ind w:left="142" w:right="142"/>
            </w:pPr>
          </w:p>
          <w:p w:rsidR="003960CF" w:rsidRPr="00393156" w:rsidRDefault="003960CF" w:rsidP="00CB202C">
            <w:pPr>
              <w:ind w:left="142" w:right="142"/>
              <w:rPr>
                <w:sz w:val="20"/>
                <w:szCs w:val="20"/>
              </w:rPr>
            </w:pPr>
            <w:r w:rsidRPr="00393156">
              <w:rPr>
                <w:sz w:val="20"/>
                <w:szCs w:val="20"/>
              </w:rPr>
              <w:t xml:space="preserve">On 23 May 1947 the </w:t>
            </w:r>
            <w:r w:rsidRPr="00393156">
              <w:rPr>
                <w:i/>
                <w:iCs/>
                <w:sz w:val="20"/>
                <w:szCs w:val="20"/>
              </w:rPr>
              <w:t>Daily Mail</w:t>
            </w:r>
            <w:r w:rsidRPr="00393156">
              <w:rPr>
                <w:sz w:val="20"/>
                <w:szCs w:val="20"/>
              </w:rPr>
              <w:t xml:space="preserve"> newspaper in London published a cartoon by L G Illingworth depicting the violence which would be provoked by the decision to partition India. Gandhi is shown in the middle apparently unaware of the civil unrest and violence around him.</w:t>
            </w:r>
            <w:r>
              <w:rPr>
                <w:sz w:val="20"/>
                <w:szCs w:val="20"/>
              </w:rPr>
              <w:t xml:space="preserve"> </w:t>
            </w:r>
            <w:r w:rsidRPr="00393156">
              <w:rPr>
                <w:sz w:val="20"/>
                <w:szCs w:val="20"/>
              </w:rPr>
              <w:t xml:space="preserve">For copyright reasons the cartoon cannot be reproduced in the online version of this document, but may be viewed </w:t>
            </w:r>
            <w:r w:rsidR="00743FCC">
              <w:rPr>
                <w:sz w:val="20"/>
                <w:szCs w:val="20"/>
              </w:rPr>
              <w:t xml:space="preserve">on the </w:t>
            </w:r>
            <w:r w:rsidRPr="00393156">
              <w:rPr>
                <w:sz w:val="20"/>
                <w:szCs w:val="20"/>
              </w:rPr>
              <w:t>Google images website by entering the search terms LG Illingworth Free India.</w:t>
            </w:r>
          </w:p>
          <w:p w:rsidR="003960CF" w:rsidRDefault="003960CF" w:rsidP="00CB202C">
            <w:pPr>
              <w:rPr>
                <w:b/>
                <w:iCs/>
                <w:color w:val="231F20"/>
              </w:rPr>
            </w:pPr>
          </w:p>
        </w:tc>
      </w:tr>
    </w:tbl>
    <w:p w:rsidR="003960CF" w:rsidRDefault="003960CF" w:rsidP="003960CF">
      <w:pPr>
        <w:rPr>
          <w:i/>
        </w:rPr>
      </w:pPr>
    </w:p>
    <w:p w:rsidR="003960CF" w:rsidRDefault="003960CF">
      <w:pPr>
        <w:spacing w:before="0" w:after="200"/>
        <w:rPr>
          <w:b/>
          <w:smallCaps/>
          <w:sz w:val="24"/>
          <w:szCs w:val="24"/>
        </w:rPr>
      </w:pPr>
      <w:r>
        <w:br w:type="page"/>
      </w:r>
    </w:p>
    <w:p w:rsidR="008C74B9" w:rsidRDefault="008C74B9" w:rsidP="0022405F">
      <w:pPr>
        <w:pStyle w:val="Heading3"/>
      </w:pPr>
      <w:r w:rsidRPr="00EF40E7">
        <w:t>Source</w:t>
      </w:r>
      <w:r w:rsidR="0022405F">
        <w:t xml:space="preserve"> </w:t>
      </w:r>
      <w:r w:rsidRPr="00EF40E7">
        <w:t>3</w:t>
      </w:r>
    </w:p>
    <w:p w:rsidR="003960CF" w:rsidRDefault="003960CF" w:rsidP="003960CF">
      <w:pPr>
        <w:rPr>
          <w:i/>
        </w:rPr>
      </w:pPr>
      <w:r w:rsidRPr="00124DEF">
        <w:rPr>
          <w:i/>
        </w:rPr>
        <w:t>(Aftermath of communal rioting during the Partition of India</w:t>
      </w:r>
      <w:r w:rsidR="00743FCC">
        <w:rPr>
          <w:i/>
        </w:rPr>
        <w:t xml:space="preserve"> </w:t>
      </w:r>
      <w:r w:rsidRPr="00124DEF">
        <w:rPr>
          <w:i/>
        </w:rPr>
        <w:t xml:space="preserve">1947) </w:t>
      </w:r>
    </w:p>
    <w:p w:rsidR="003960CF" w:rsidRDefault="003960CF" w:rsidP="003960CF">
      <w:pPr>
        <w:pStyle w:val="Heading3"/>
        <w:jc w:val="center"/>
      </w:pPr>
      <w:r>
        <w:rPr>
          <w:noProof/>
          <w:lang w:val="en-AU" w:eastAsia="en-AU"/>
        </w:rPr>
        <w:drawing>
          <wp:inline distT="0" distB="0" distL="0" distR="0" wp14:anchorId="5F21CC55" wp14:editId="2EA8CBD2">
            <wp:extent cx="5715000" cy="3810000"/>
            <wp:effectExtent l="0" t="0" r="0" b="0"/>
            <wp:docPr id="8" name="Picture 8" descr="http://www.sikhnet.com/files/news/2009/November/partition-7.jpg"/>
            <wp:cNvGraphicFramePr/>
            <a:graphic xmlns:a="http://schemas.openxmlformats.org/drawingml/2006/main">
              <a:graphicData uri="http://schemas.openxmlformats.org/drawingml/2006/picture">
                <pic:pic xmlns:pic="http://schemas.openxmlformats.org/drawingml/2006/picture">
                  <pic:nvPicPr>
                    <pic:cNvPr id="7" name="Picture 7" descr="http://www.sikhnet.com/files/news/2009/November/partition-7.jpg"/>
                    <pic:cNvPicPr/>
                  </pic:nvPicPr>
                  <pic:blipFill>
                    <a:blip r:embed="rId1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3960CF" w:rsidRDefault="003960CF">
      <w:pPr>
        <w:spacing w:before="0" w:after="200"/>
        <w:rPr>
          <w:b/>
          <w:smallCaps/>
          <w:sz w:val="24"/>
          <w:szCs w:val="24"/>
        </w:rPr>
      </w:pPr>
      <w:r>
        <w:br w:type="page"/>
      </w:r>
    </w:p>
    <w:p w:rsidR="008C74B9" w:rsidRPr="00507B9B" w:rsidRDefault="008C74B9" w:rsidP="0022405F">
      <w:pPr>
        <w:pStyle w:val="Heading3"/>
      </w:pPr>
      <w:proofErr w:type="gramStart"/>
      <w:r w:rsidRPr="00507B9B">
        <w:t xml:space="preserve">Source </w:t>
      </w:r>
      <w:r w:rsidR="0022405F">
        <w:t xml:space="preserve"> </w:t>
      </w:r>
      <w:r w:rsidRPr="00507B9B">
        <w:t>4</w:t>
      </w:r>
      <w:proofErr w:type="gramEnd"/>
    </w:p>
    <w:p w:rsidR="003960CF" w:rsidRDefault="003960CF" w:rsidP="003960CF">
      <w:pPr>
        <w:shd w:val="clear" w:color="auto" w:fill="FFFFFF"/>
        <w:rPr>
          <w:rFonts w:eastAsia="Times New Roman"/>
          <w:i/>
          <w:color w:val="000000"/>
          <w:lang w:val="en" w:eastAsia="en-AU"/>
        </w:rPr>
      </w:pPr>
      <w:r w:rsidRPr="001A1E07">
        <w:rPr>
          <w:rFonts w:eastAsia="Times New Roman"/>
          <w:i/>
          <w:color w:val="000000"/>
          <w:lang w:val="en" w:eastAsia="en-AU"/>
        </w:rPr>
        <w:t>(The National Archives [UK] has recorded the narratives of four Panjabi elders uprooted from their homeland during the Partition of British India in 1947. At least 18 million people were uprooted and one million died in the mass migration that followed. This is an extract from one of their stories.)</w:t>
      </w:r>
    </w:p>
    <w:p w:rsidR="003960CF" w:rsidRPr="003960CF" w:rsidRDefault="003960CF" w:rsidP="003960CF">
      <w:pPr>
        <w:shd w:val="clear" w:color="auto" w:fill="FFFFFF"/>
        <w:rPr>
          <w:rFonts w:eastAsia="Times New Roman"/>
          <w:i/>
          <w:color w:val="000000"/>
          <w:sz w:val="16"/>
          <w:lang w:val="en" w:eastAsia="en-AU"/>
        </w:rPr>
      </w:pPr>
    </w:p>
    <w:p w:rsidR="003960CF" w:rsidRPr="005C6F59" w:rsidRDefault="003960CF" w:rsidP="003960CF">
      <w:pPr>
        <w:shd w:val="clear" w:color="auto" w:fill="FFFFFF"/>
        <w:rPr>
          <w:rFonts w:eastAsia="Times New Roman"/>
          <w:i/>
          <w:color w:val="000000"/>
          <w:lang w:val="en" w:eastAsia="en-AU"/>
        </w:rPr>
      </w:pPr>
      <w:r w:rsidRPr="005C6F59">
        <w:rPr>
          <w:rFonts w:eastAsia="Times New Roman"/>
          <w:color w:val="000000"/>
          <w:lang w:val="en" w:eastAsia="en-AU"/>
        </w:rPr>
        <w:t xml:space="preserve">My name is </w:t>
      </w:r>
      <w:proofErr w:type="spellStart"/>
      <w:r w:rsidRPr="005C6F59">
        <w:rPr>
          <w:rFonts w:eastAsia="Times New Roman"/>
          <w:color w:val="000000"/>
          <w:lang w:val="en" w:eastAsia="en-AU"/>
        </w:rPr>
        <w:t>Tilak</w:t>
      </w:r>
      <w:proofErr w:type="spellEnd"/>
      <w:r w:rsidRPr="005C6F59">
        <w:rPr>
          <w:rFonts w:eastAsia="Times New Roman"/>
          <w:color w:val="000000"/>
          <w:lang w:val="en" w:eastAsia="en-AU"/>
        </w:rPr>
        <w:t xml:space="preserve"> Raj </w:t>
      </w:r>
      <w:proofErr w:type="spellStart"/>
      <w:r w:rsidRPr="005C6F59">
        <w:rPr>
          <w:rFonts w:eastAsia="Times New Roman"/>
          <w:color w:val="000000"/>
          <w:lang w:val="en" w:eastAsia="en-AU"/>
        </w:rPr>
        <w:t>Betab</w:t>
      </w:r>
      <w:proofErr w:type="spellEnd"/>
      <w:r w:rsidRPr="005C6F59">
        <w:rPr>
          <w:rFonts w:eastAsia="Times New Roman"/>
          <w:color w:val="000000"/>
          <w:lang w:val="en" w:eastAsia="en-AU"/>
        </w:rPr>
        <w:t xml:space="preserve">. I was born in Lahore and was the tenth of my brothers and sisters. I lived in quite a big house, five Muslim houses were around us and one Hindu and one Sikh house. </w:t>
      </w:r>
      <w:r w:rsidR="00743FCC">
        <w:rPr>
          <w:rFonts w:eastAsia="Times New Roman"/>
          <w:color w:val="000000"/>
          <w:lang w:val="en" w:eastAsia="en-AU"/>
        </w:rPr>
        <w:t>Our street was between the Shah</w:t>
      </w:r>
      <w:r w:rsidRPr="005C6F59">
        <w:rPr>
          <w:rFonts w:eastAsia="Times New Roman"/>
          <w:color w:val="000000"/>
          <w:lang w:val="en" w:eastAsia="en-AU"/>
        </w:rPr>
        <w:t xml:space="preserve"> </w:t>
      </w:r>
      <w:proofErr w:type="spellStart"/>
      <w:r w:rsidRPr="005C6F59">
        <w:rPr>
          <w:rFonts w:eastAsia="Times New Roman"/>
          <w:color w:val="000000"/>
          <w:lang w:val="en" w:eastAsia="en-AU"/>
        </w:rPr>
        <w:t>Almi</w:t>
      </w:r>
      <w:proofErr w:type="spellEnd"/>
      <w:r w:rsidRPr="005C6F59">
        <w:rPr>
          <w:rFonts w:eastAsia="Times New Roman"/>
          <w:color w:val="000000"/>
          <w:lang w:val="en" w:eastAsia="en-AU"/>
        </w:rPr>
        <w:t xml:space="preserve"> Gate and the </w:t>
      </w:r>
      <w:proofErr w:type="spellStart"/>
      <w:r w:rsidRPr="005C6F59">
        <w:rPr>
          <w:rFonts w:eastAsia="Times New Roman"/>
          <w:color w:val="000000"/>
          <w:lang w:val="en" w:eastAsia="en-AU"/>
        </w:rPr>
        <w:t>Lahori</w:t>
      </w:r>
      <w:proofErr w:type="spellEnd"/>
      <w:r w:rsidRPr="005C6F59">
        <w:rPr>
          <w:rFonts w:eastAsia="Times New Roman"/>
          <w:color w:val="000000"/>
          <w:lang w:val="en" w:eastAsia="en-AU"/>
        </w:rPr>
        <w:t xml:space="preserve"> Gate. It was the place where the riots started.</w:t>
      </w:r>
    </w:p>
    <w:p w:rsidR="003960CF" w:rsidRPr="005C6F59" w:rsidRDefault="003960CF" w:rsidP="003960CF">
      <w:pPr>
        <w:shd w:val="clear" w:color="auto" w:fill="FFFFFF"/>
        <w:rPr>
          <w:rFonts w:eastAsia="Times New Roman"/>
          <w:color w:val="000000"/>
          <w:lang w:val="en" w:eastAsia="en-AU"/>
        </w:rPr>
      </w:pPr>
      <w:r w:rsidRPr="005C6F59">
        <w:rPr>
          <w:rFonts w:eastAsia="Times New Roman"/>
          <w:color w:val="000000"/>
          <w:lang w:val="en" w:eastAsia="en-AU"/>
        </w:rPr>
        <w:t>We were living in our house at the time of the first disturbances</w:t>
      </w:r>
      <w:r w:rsidRPr="00D25AD0">
        <w:rPr>
          <w:rFonts w:eastAsia="Times New Roman"/>
          <w:color w:val="000000"/>
          <w:lang w:val="en" w:eastAsia="en-AU"/>
        </w:rPr>
        <w:t xml:space="preserve">… </w:t>
      </w:r>
      <w:r w:rsidRPr="005C6F59">
        <w:rPr>
          <w:rFonts w:eastAsia="Times New Roman"/>
          <w:color w:val="000000"/>
          <w:lang w:val="en" w:eastAsia="en-AU"/>
        </w:rPr>
        <w:t>There were certain people who wanted to make sure the rioting continued.</w:t>
      </w:r>
    </w:p>
    <w:p w:rsidR="003960CF" w:rsidRDefault="003960CF" w:rsidP="003960CF">
      <w:pPr>
        <w:shd w:val="clear" w:color="auto" w:fill="FFFFFF"/>
        <w:rPr>
          <w:rFonts w:eastAsia="Times New Roman"/>
          <w:color w:val="000000"/>
          <w:lang w:val="en" w:eastAsia="en-AU"/>
        </w:rPr>
      </w:pPr>
      <w:r w:rsidRPr="005C6F59">
        <w:rPr>
          <w:rFonts w:eastAsia="Times New Roman"/>
          <w:color w:val="000000"/>
          <w:lang w:val="en" w:eastAsia="en-AU"/>
        </w:rPr>
        <w:t xml:space="preserve">The first incident in Lahore was pre-planned for when a Hindu procession was going on. Some ringleaders/troublemakers </w:t>
      </w:r>
      <w:proofErr w:type="spellStart"/>
      <w:r w:rsidRPr="005C6F59">
        <w:rPr>
          <w:rFonts w:eastAsia="Times New Roman"/>
          <w:color w:val="000000"/>
          <w:lang w:val="en" w:eastAsia="en-AU"/>
        </w:rPr>
        <w:t>organised</w:t>
      </w:r>
      <w:proofErr w:type="spellEnd"/>
      <w:r w:rsidRPr="005C6F59">
        <w:rPr>
          <w:rFonts w:eastAsia="Times New Roman"/>
          <w:color w:val="000000"/>
          <w:lang w:val="en" w:eastAsia="en-AU"/>
        </w:rPr>
        <w:t xml:space="preserve"> that there will be an attack at a certain point. There was a procession around our area which was </w:t>
      </w:r>
      <w:proofErr w:type="spellStart"/>
      <w:r w:rsidRPr="005C6F59">
        <w:rPr>
          <w:rFonts w:eastAsia="Times New Roman"/>
          <w:color w:val="000000"/>
          <w:lang w:val="en" w:eastAsia="en-AU"/>
        </w:rPr>
        <w:t>Chowk</w:t>
      </w:r>
      <w:proofErr w:type="spellEnd"/>
      <w:r w:rsidRPr="005C6F59">
        <w:rPr>
          <w:rFonts w:eastAsia="Times New Roman"/>
          <w:color w:val="000000"/>
          <w:lang w:val="en" w:eastAsia="en-AU"/>
        </w:rPr>
        <w:t xml:space="preserve"> </w:t>
      </w:r>
      <w:proofErr w:type="spellStart"/>
      <w:r w:rsidRPr="005C6F59">
        <w:rPr>
          <w:rFonts w:eastAsia="Times New Roman"/>
          <w:color w:val="000000"/>
          <w:lang w:val="en" w:eastAsia="en-AU"/>
        </w:rPr>
        <w:t>Mati</w:t>
      </w:r>
      <w:proofErr w:type="spellEnd"/>
      <w:r w:rsidRPr="005C6F59">
        <w:rPr>
          <w:rFonts w:eastAsia="Times New Roman"/>
          <w:color w:val="000000"/>
          <w:lang w:val="en" w:eastAsia="en-AU"/>
        </w:rPr>
        <w:t>. There were a lot of butchers there. They started stabbing and there was brick throwing from the rooftops.</w:t>
      </w:r>
    </w:p>
    <w:p w:rsidR="00801AAC" w:rsidRPr="003960CF" w:rsidRDefault="003960CF" w:rsidP="003960CF">
      <w:pPr>
        <w:shd w:val="clear" w:color="auto" w:fill="FFFFFF"/>
        <w:rPr>
          <w:rFonts w:eastAsia="Times New Roman"/>
          <w:color w:val="000000"/>
          <w:lang w:val="en" w:eastAsia="en-AU"/>
        </w:rPr>
      </w:pPr>
      <w:r w:rsidRPr="005C6F59">
        <w:rPr>
          <w:rFonts w:eastAsia="Times New Roman"/>
          <w:color w:val="000000"/>
          <w:lang w:val="en" w:eastAsia="en-AU"/>
        </w:rPr>
        <w:t xml:space="preserve">I felt furious when I saw somebody carrying the dead </w:t>
      </w:r>
      <w:proofErr w:type="gramStart"/>
      <w:r w:rsidRPr="005C6F59">
        <w:rPr>
          <w:rFonts w:eastAsia="Times New Roman"/>
          <w:color w:val="000000"/>
          <w:lang w:val="en" w:eastAsia="en-AU"/>
        </w:rPr>
        <w:t>bodies</w:t>
      </w:r>
      <w:proofErr w:type="gramEnd"/>
      <w:r w:rsidRPr="005C6F59">
        <w:rPr>
          <w:rFonts w:eastAsia="Times New Roman"/>
          <w:color w:val="000000"/>
          <w:lang w:val="en" w:eastAsia="en-AU"/>
        </w:rPr>
        <w:t xml:space="preserve"> right in front of our house from the </w:t>
      </w:r>
      <w:proofErr w:type="spellStart"/>
      <w:r w:rsidRPr="005C6F59">
        <w:rPr>
          <w:rFonts w:eastAsia="Times New Roman"/>
          <w:color w:val="000000"/>
          <w:lang w:val="en" w:eastAsia="en-AU"/>
        </w:rPr>
        <w:t>Chowk</w:t>
      </w:r>
      <w:proofErr w:type="spellEnd"/>
      <w:r w:rsidRPr="005C6F59">
        <w:rPr>
          <w:rFonts w:eastAsia="Times New Roman"/>
          <w:color w:val="000000"/>
          <w:lang w:val="en" w:eastAsia="en-AU"/>
        </w:rPr>
        <w:t xml:space="preserve"> </w:t>
      </w:r>
      <w:proofErr w:type="spellStart"/>
      <w:r w:rsidRPr="005C6F59">
        <w:rPr>
          <w:rFonts w:eastAsia="Times New Roman"/>
          <w:color w:val="000000"/>
          <w:lang w:val="en" w:eastAsia="en-AU"/>
        </w:rPr>
        <w:t>Mati</w:t>
      </w:r>
      <w:proofErr w:type="spellEnd"/>
      <w:r w:rsidRPr="005C6F59">
        <w:rPr>
          <w:rFonts w:eastAsia="Times New Roman"/>
          <w:color w:val="000000"/>
          <w:lang w:val="en" w:eastAsia="en-AU"/>
        </w:rPr>
        <w:t xml:space="preserve"> area because by that time, the police had arrived. There was one man; he was carrying on</w:t>
      </w:r>
      <w:r>
        <w:rPr>
          <w:rFonts w:eastAsia="Times New Roman"/>
          <w:color w:val="000000"/>
          <w:lang w:val="en" w:eastAsia="en-AU"/>
        </w:rPr>
        <w:t>e body at a time. There were 12–</w:t>
      </w:r>
      <w:r w:rsidRPr="005C6F59">
        <w:rPr>
          <w:rFonts w:eastAsia="Times New Roman"/>
          <w:color w:val="000000"/>
          <w:lang w:val="en" w:eastAsia="en-AU"/>
        </w:rPr>
        <w:t xml:space="preserve">14 people </w:t>
      </w:r>
      <w:r>
        <w:rPr>
          <w:rFonts w:eastAsia="Times New Roman"/>
          <w:color w:val="000000"/>
          <w:lang w:val="en" w:eastAsia="en-AU"/>
        </w:rPr>
        <w:t>killed at that time by stabbing</w:t>
      </w:r>
      <w:r w:rsidR="00F9530B">
        <w:rPr>
          <w:rFonts w:eastAsia="Times New Roman"/>
          <w:color w:val="000000"/>
          <w:lang w:val="en" w:eastAsia="en-AU"/>
        </w:rPr>
        <w:t>.</w:t>
      </w:r>
    </w:p>
    <w:p w:rsidR="00732A2C" w:rsidRDefault="00732A2C" w:rsidP="00294035">
      <w:pPr>
        <w:rPr>
          <w:noProof/>
          <w:lang w:eastAsia="en-AU"/>
        </w:rPr>
        <w:sectPr w:rsidR="00732A2C" w:rsidSect="00801AAC">
          <w:headerReference w:type="even" r:id="rId17"/>
          <w:headerReference w:type="default" r:id="rId18"/>
          <w:footerReference w:type="even" r:id="rId19"/>
          <w:footerReference w:type="default" r:id="rId20"/>
          <w:headerReference w:type="first" r:id="rId21"/>
          <w:footerReference w:type="first" r:id="rId22"/>
          <w:pgSz w:w="11906" w:h="16838"/>
          <w:pgMar w:top="1534" w:right="1274" w:bottom="1440" w:left="1276" w:header="709" w:footer="567" w:gutter="0"/>
          <w:pgNumType w:start="1"/>
          <w:cols w:space="708"/>
          <w:titlePg/>
          <w:docGrid w:linePitch="360"/>
        </w:sectPr>
      </w:pPr>
      <w:bookmarkStart w:id="0" w:name="_GoBack"/>
      <w:bookmarkEnd w:id="0"/>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ACKNOWLEDGEMENTS</w:t>
      </w:r>
    </w:p>
    <w:p w:rsidR="00D96E05" w:rsidRDefault="00D96E05" w:rsidP="00E851D5">
      <w:pPr>
        <w:rPr>
          <w:noProof/>
          <w:lang w:eastAsia="en-AU"/>
        </w:rPr>
      </w:pPr>
    </w:p>
    <w:p w:rsidR="001734AE" w:rsidRPr="00E851D5" w:rsidRDefault="00D96E05" w:rsidP="003960CF">
      <w:pPr>
        <w:tabs>
          <w:tab w:val="left" w:pos="1418"/>
        </w:tabs>
        <w:ind w:left="1418" w:hanging="1418"/>
      </w:pPr>
      <w:r w:rsidRPr="00FB4D18">
        <w:rPr>
          <w:b/>
        </w:rPr>
        <w:t>Source 1</w:t>
      </w:r>
      <w:r w:rsidRPr="00FB4D18">
        <w:rPr>
          <w:b/>
        </w:rPr>
        <w:tab/>
      </w:r>
      <w:r w:rsidR="003960CF" w:rsidRPr="00BD60CC">
        <w:rPr>
          <w:spacing w:val="-4"/>
        </w:rPr>
        <w:t>Gandhi, M. (1942–1944).</w:t>
      </w:r>
      <w:r w:rsidR="003960CF" w:rsidRPr="00BD60CC">
        <w:rPr>
          <w:b/>
          <w:spacing w:val="-4"/>
        </w:rPr>
        <w:t xml:space="preserve"> </w:t>
      </w:r>
      <w:proofErr w:type="gramStart"/>
      <w:r w:rsidR="003960CF" w:rsidRPr="00BD60CC">
        <w:rPr>
          <w:i/>
          <w:spacing w:val="-4"/>
        </w:rPr>
        <w:t>Gandhi's views on nonviolence</w:t>
      </w:r>
      <w:r w:rsidR="003960CF" w:rsidRPr="00BD60CC">
        <w:rPr>
          <w:spacing w:val="-4"/>
        </w:rPr>
        <w:t xml:space="preserve"> (</w:t>
      </w:r>
      <w:proofErr w:type="spellStart"/>
      <w:r w:rsidR="003960CF" w:rsidRPr="00BD60CC">
        <w:rPr>
          <w:bCs/>
          <w:spacing w:val="-4"/>
        </w:rPr>
        <w:t>Gandhiji’s</w:t>
      </w:r>
      <w:proofErr w:type="spellEnd"/>
      <w:r w:rsidR="003960CF" w:rsidRPr="00BD60CC">
        <w:rPr>
          <w:bCs/>
          <w:spacing w:val="-4"/>
        </w:rPr>
        <w:t xml:space="preserve"> correspondence with the Government 1942–1944, </w:t>
      </w:r>
      <w:proofErr w:type="spellStart"/>
      <w:r w:rsidR="003960CF" w:rsidRPr="00BD60CC">
        <w:rPr>
          <w:bCs/>
          <w:spacing w:val="-4"/>
        </w:rPr>
        <w:t>Navajivan</w:t>
      </w:r>
      <w:proofErr w:type="spellEnd"/>
      <w:r w:rsidR="003960CF" w:rsidRPr="00BD60CC">
        <w:rPr>
          <w:bCs/>
          <w:spacing w:val="-4"/>
        </w:rPr>
        <w:t xml:space="preserve"> Publishing House).</w:t>
      </w:r>
      <w:proofErr w:type="gramEnd"/>
      <w:r w:rsidR="003960CF" w:rsidRPr="00BD60CC">
        <w:rPr>
          <w:bCs/>
          <w:spacing w:val="-4"/>
        </w:rPr>
        <w:t xml:space="preserve"> Retrieved December, 2013, from </w:t>
      </w:r>
      <w:hyperlink r:id="rId23" w:history="1">
        <w:r w:rsidR="003960CF" w:rsidRPr="00AF30FD">
          <w:rPr>
            <w:rStyle w:val="Hyperlink"/>
            <w:bCs/>
            <w:spacing w:val="-4"/>
          </w:rPr>
          <w:t>www.gandhi-manibhavan.org/gandhiphilosophy/philosophy_nonviolence_nonviolence.htm</w:t>
        </w:r>
      </w:hyperlink>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7C68C4">
      <w:pPr>
        <w:tabs>
          <w:tab w:val="left" w:pos="1418"/>
        </w:tabs>
      </w:pPr>
      <w:r>
        <w:rPr>
          <w:b/>
        </w:rPr>
        <w:t>Source 2</w:t>
      </w:r>
      <w:r>
        <w:rPr>
          <w:b/>
        </w:rPr>
        <w:tab/>
      </w:r>
      <w:r w:rsidR="003960CF" w:rsidRPr="00B421C6">
        <w:t>No image included</w:t>
      </w:r>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3960CF">
      <w:pPr>
        <w:tabs>
          <w:tab w:val="left" w:pos="1418"/>
        </w:tabs>
        <w:ind w:left="1418" w:hanging="1418"/>
      </w:pPr>
      <w:r w:rsidRPr="003302DA">
        <w:rPr>
          <w:b/>
        </w:rPr>
        <w:t>Source 3</w:t>
      </w:r>
      <w:r w:rsidRPr="003302DA">
        <w:rPr>
          <w:b/>
        </w:rPr>
        <w:tab/>
      </w:r>
      <w:r w:rsidR="003960CF" w:rsidRPr="00A75323">
        <w:t xml:space="preserve">Bourke-White, M. (1947). </w:t>
      </w:r>
      <w:r w:rsidR="003960CF" w:rsidRPr="00A75323">
        <w:rPr>
          <w:i/>
        </w:rPr>
        <w:t>In pictures: India’s partition</w:t>
      </w:r>
      <w:r w:rsidR="003960CF" w:rsidRPr="00A75323">
        <w:t xml:space="preserve"> [Image] (Image 5). Retrieved December, 2013, from</w:t>
      </w:r>
      <w:r w:rsidR="003960CF">
        <w:rPr>
          <w:b/>
        </w:rPr>
        <w:t xml:space="preserve"> </w:t>
      </w:r>
      <w:r w:rsidR="003960CF" w:rsidRPr="00E967BE">
        <w:rPr>
          <w:rStyle w:val="Hyperlink"/>
          <w:bCs/>
          <w:spacing w:val="-4"/>
        </w:rPr>
        <w:t>http://news.bbc.co.uk/2/shared/spl/hi/pop_ups/06/south_asia_india0s_partition/html/5.stm</w:t>
      </w:r>
    </w:p>
    <w:p w:rsidR="00D96E05" w:rsidRPr="003302DA" w:rsidRDefault="00D96E05" w:rsidP="007C68C4">
      <w:pPr>
        <w:tabs>
          <w:tab w:val="left" w:pos="1418"/>
        </w:tabs>
        <w:ind w:left="1418" w:hanging="1418"/>
        <w:rPr>
          <w:b/>
        </w:rPr>
      </w:pPr>
    </w:p>
    <w:p w:rsidR="00D96E05" w:rsidRDefault="00D96E05" w:rsidP="007C68C4">
      <w:pPr>
        <w:tabs>
          <w:tab w:val="left" w:pos="1418"/>
        </w:tabs>
        <w:ind w:left="1418" w:hanging="1418"/>
      </w:pPr>
    </w:p>
    <w:p w:rsidR="001734AE" w:rsidRPr="00E851D5" w:rsidRDefault="00D96E05" w:rsidP="003960CF">
      <w:pPr>
        <w:tabs>
          <w:tab w:val="left" w:pos="1418"/>
        </w:tabs>
        <w:ind w:left="1418" w:hanging="1418"/>
      </w:pPr>
      <w:r w:rsidRPr="00E30FA2">
        <w:rPr>
          <w:b/>
        </w:rPr>
        <w:t>Source 4</w:t>
      </w:r>
      <w:r w:rsidRPr="00E30FA2">
        <w:rPr>
          <w:b/>
        </w:rPr>
        <w:tab/>
      </w:r>
      <w:r w:rsidR="003960CF">
        <w:t>National Archives</w:t>
      </w:r>
      <w:r w:rsidR="003960CF" w:rsidRPr="00C73396">
        <w:t xml:space="preserve">. </w:t>
      </w:r>
      <w:proofErr w:type="gramStart"/>
      <w:r w:rsidR="003960CF" w:rsidRPr="00C73396">
        <w:t>(2010).</w:t>
      </w:r>
      <w:r w:rsidR="003960CF">
        <w:t xml:space="preserve"> </w:t>
      </w:r>
      <w:proofErr w:type="spellStart"/>
      <w:r w:rsidR="003960CF" w:rsidRPr="00C73396">
        <w:rPr>
          <w:i/>
        </w:rPr>
        <w:t>Tilak</w:t>
      </w:r>
      <w:proofErr w:type="spellEnd"/>
      <w:r w:rsidR="003960CF" w:rsidRPr="00C73396">
        <w:rPr>
          <w:i/>
        </w:rPr>
        <w:t xml:space="preserve"> </w:t>
      </w:r>
      <w:proofErr w:type="spellStart"/>
      <w:r w:rsidR="003960CF" w:rsidRPr="00C73396">
        <w:rPr>
          <w:i/>
        </w:rPr>
        <w:t>Raj’s</w:t>
      </w:r>
      <w:proofErr w:type="spellEnd"/>
      <w:r w:rsidR="003960CF" w:rsidRPr="00C73396">
        <w:rPr>
          <w:i/>
        </w:rPr>
        <w:t xml:space="preserve"> story</w:t>
      </w:r>
      <w:r w:rsidR="003960CF">
        <w:t>.</w:t>
      </w:r>
      <w:proofErr w:type="gramEnd"/>
      <w:r w:rsidR="003960CF">
        <w:t xml:space="preserve"> Retrieved January, 2014, from</w:t>
      </w:r>
      <w:r w:rsidR="003960CF" w:rsidRPr="00C73396">
        <w:t xml:space="preserve"> </w:t>
      </w:r>
      <w:hyperlink r:id="rId24" w:history="1">
        <w:r w:rsidR="003960CF" w:rsidRPr="00AF30FD">
          <w:rPr>
            <w:rStyle w:val="Hyperlink"/>
            <w:lang w:val="en-US"/>
          </w:rPr>
          <w:t>www.nationalarchives.gov.uk/panjab1947/raj.htm</w:t>
        </w:r>
      </w:hyperlink>
    </w:p>
    <w:p w:rsidR="00D96E05" w:rsidRDefault="00D96E05" w:rsidP="007C68C4">
      <w:pPr>
        <w:tabs>
          <w:tab w:val="left" w:pos="1418"/>
        </w:tabs>
        <w:ind w:left="1418" w:hanging="1418"/>
      </w:pPr>
    </w:p>
    <w:p w:rsidR="00D96E05" w:rsidRDefault="00D96E05" w:rsidP="007C68C4">
      <w:pPr>
        <w:tabs>
          <w:tab w:val="left" w:pos="1418"/>
        </w:tabs>
      </w:pPr>
    </w:p>
    <w:p w:rsidR="00D96E05" w:rsidRPr="002C5D23" w:rsidRDefault="00D96E05" w:rsidP="007C68C4">
      <w:pPr>
        <w:tabs>
          <w:tab w:val="left" w:pos="1418"/>
        </w:tabs>
      </w:pPr>
    </w:p>
    <w:sectPr w:rsidR="00D96E05" w:rsidRPr="002C5D23" w:rsidSect="00732A2C">
      <w:headerReference w:type="even" r:id="rId25"/>
      <w:headerReference w:type="default" r:id="rId26"/>
      <w:headerReference w:type="first" r:id="rId27"/>
      <w:footerReference w:type="first" r:id="rId28"/>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A2132F">
      <w:rPr>
        <w:rFonts w:ascii="Franklin Gothic Book" w:eastAsiaTheme="minorEastAsia" w:hAnsi="Franklin Gothic Book" w:cstheme="minorBidi"/>
        <w:noProof/>
        <w:color w:val="342568"/>
        <w:sz w:val="16"/>
        <w:szCs w:val="16"/>
        <w:lang w:val="en-AU" w:eastAsia="en-US"/>
      </w:rPr>
      <w:t>9710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C1B70"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sidRPr="001D3277">
      <w:rPr>
        <w:rFonts w:ascii="Franklin Gothic Book" w:hAnsi="Franklin Gothic Book"/>
        <w:b/>
        <w:noProof/>
        <w:color w:val="5F497A" w:themeColor="accent4" w:themeShade="BF"/>
        <w:sz w:val="18"/>
        <w:szCs w:val="18"/>
      </w:rPr>
      <w:t>Modern History | General</w:t>
    </w:r>
    <w:r w:rsidRPr="001D3277">
      <w:rPr>
        <w:rFonts w:ascii="Franklin Gothic Book" w:hAnsi="Franklin Gothic Book"/>
        <w:b/>
        <w:color w:val="5F497A" w:themeColor="accent4" w:themeShade="BF"/>
        <w:sz w:val="18"/>
        <w:szCs w:val="18"/>
      </w:rPr>
      <w:t xml:space="preserve"> </w:t>
    </w:r>
    <w:r w:rsidRPr="001D3277">
      <w:rPr>
        <w:rFonts w:ascii="Franklin Gothic Book" w:hAnsi="Franklin Gothic Book"/>
        <w:b/>
        <w:noProof/>
        <w:color w:val="5F497A" w:themeColor="accent4" w:themeShade="BF"/>
        <w:sz w:val="18"/>
        <w:szCs w:val="18"/>
      </w:rPr>
      <w:t>| Externally set task Source Booklet</w:t>
    </w:r>
    <w:r w:rsidRPr="001D3277">
      <w:rPr>
        <w:rFonts w:ascii="Franklin Gothic Book" w:hAnsi="Franklin Gothic Book"/>
        <w:b/>
        <w:color w:val="5F497A" w:themeColor="accent4" w:themeShade="BF"/>
        <w:sz w:val="18"/>
        <w:szCs w:val="18"/>
      </w:rPr>
      <w:t xml:space="preserve"> </w:t>
    </w:r>
    <w:r w:rsidRPr="001D3277">
      <w:rPr>
        <w:rFonts w:ascii="Franklin Gothic Book" w:hAnsi="Franklin Gothic Book"/>
        <w:b/>
        <w:noProof/>
        <w:color w:val="5F497A" w:themeColor="accent4" w:themeShade="BF"/>
        <w:sz w:val="18"/>
        <w:szCs w:val="18"/>
      </w:rPr>
      <w:t xml:space="preserve">| India 1919–1948 </w:t>
    </w:r>
    <w:r>
      <w:rPr>
        <w:rFonts w:ascii="Franklin Gothic Book" w:hAnsi="Franklin Gothic Book"/>
        <w:b/>
        <w:noProof/>
        <w:color w:val="5F497A" w:themeColor="accent4" w:themeShade="BF"/>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C1B70"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sidRPr="001D3277">
      <w:rPr>
        <w:rFonts w:ascii="Franklin Gothic Book" w:hAnsi="Franklin Gothic Book"/>
        <w:b/>
        <w:noProof/>
        <w:color w:val="5F497A" w:themeColor="accent4" w:themeShade="BF"/>
        <w:sz w:val="18"/>
        <w:szCs w:val="18"/>
      </w:rPr>
      <w:t>Modern History | General</w:t>
    </w:r>
    <w:r w:rsidRPr="001D3277">
      <w:rPr>
        <w:rFonts w:ascii="Franklin Gothic Book" w:hAnsi="Franklin Gothic Book"/>
        <w:b/>
        <w:color w:val="5F497A" w:themeColor="accent4" w:themeShade="BF"/>
        <w:sz w:val="18"/>
        <w:szCs w:val="18"/>
      </w:rPr>
      <w:t xml:space="preserve"> </w:t>
    </w:r>
    <w:r w:rsidRPr="001D3277">
      <w:rPr>
        <w:rFonts w:ascii="Franklin Gothic Book" w:hAnsi="Franklin Gothic Book"/>
        <w:b/>
        <w:noProof/>
        <w:color w:val="5F497A" w:themeColor="accent4" w:themeShade="BF"/>
        <w:sz w:val="18"/>
        <w:szCs w:val="18"/>
      </w:rPr>
      <w:t>| Externally set task Source Booklet</w:t>
    </w:r>
    <w:r w:rsidRPr="001D3277">
      <w:rPr>
        <w:rFonts w:ascii="Franklin Gothic Book" w:hAnsi="Franklin Gothic Book"/>
        <w:b/>
        <w:color w:val="5F497A" w:themeColor="accent4" w:themeShade="BF"/>
        <w:sz w:val="18"/>
        <w:szCs w:val="18"/>
      </w:rPr>
      <w:t xml:space="preserve"> </w:t>
    </w:r>
    <w:r w:rsidRPr="001D3277">
      <w:rPr>
        <w:rFonts w:ascii="Franklin Gothic Book" w:hAnsi="Franklin Gothic Book"/>
        <w:b/>
        <w:noProof/>
        <w:color w:val="5F497A" w:themeColor="accent4" w:themeShade="BF"/>
        <w:sz w:val="18"/>
        <w:szCs w:val="18"/>
      </w:rPr>
      <w:t xml:space="preserve">| India 1919–1948 </w:t>
    </w:r>
    <w:r>
      <w:rPr>
        <w:rFonts w:ascii="Franklin Gothic Book" w:hAnsi="Franklin Gothic Book"/>
        <w:b/>
        <w:noProof/>
        <w:color w:val="5F497A" w:themeColor="accent4" w:themeShade="BF"/>
        <w:sz w:val="18"/>
        <w:szCs w:val="18"/>
      </w:rPr>
      <w:t>|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D3277" w:rsidRDefault="003960CF" w:rsidP="00E24C0C">
    <w:pPr>
      <w:pStyle w:val="Footer"/>
      <w:pBdr>
        <w:top w:val="single" w:sz="8" w:space="4" w:color="76923C" w:themeColor="accent3" w:themeShade="BF"/>
      </w:pBdr>
      <w:tabs>
        <w:tab w:val="clear" w:pos="4513"/>
        <w:tab w:val="clear" w:pos="9026"/>
      </w:tabs>
      <w:jc w:val="right"/>
      <w:rPr>
        <w:rFonts w:ascii="Franklin Gothic Book" w:hAnsi="Franklin Gothic Book"/>
        <w:color w:val="5F497A" w:themeColor="accent4" w:themeShade="BF"/>
        <w:sz w:val="18"/>
      </w:rPr>
    </w:pPr>
    <w:r w:rsidRPr="001D3277">
      <w:rPr>
        <w:rFonts w:ascii="Franklin Gothic Book" w:hAnsi="Franklin Gothic Book"/>
        <w:b/>
        <w:noProof/>
        <w:color w:val="5F497A" w:themeColor="accent4" w:themeShade="BF"/>
        <w:sz w:val="18"/>
        <w:szCs w:val="18"/>
      </w:rPr>
      <w:t>Modern History</w:t>
    </w:r>
    <w:r w:rsidR="008E660A" w:rsidRPr="001D3277">
      <w:rPr>
        <w:rFonts w:ascii="Franklin Gothic Book" w:hAnsi="Franklin Gothic Book"/>
        <w:b/>
        <w:noProof/>
        <w:color w:val="5F497A" w:themeColor="accent4" w:themeShade="BF"/>
        <w:sz w:val="18"/>
        <w:szCs w:val="18"/>
      </w:rPr>
      <w:t xml:space="preserve"> | General</w:t>
    </w:r>
    <w:r w:rsidR="008E660A" w:rsidRPr="001D3277">
      <w:rPr>
        <w:rFonts w:ascii="Franklin Gothic Book" w:hAnsi="Franklin Gothic Book"/>
        <w:b/>
        <w:color w:val="5F497A" w:themeColor="accent4" w:themeShade="BF"/>
        <w:sz w:val="18"/>
        <w:szCs w:val="18"/>
      </w:rPr>
      <w:t xml:space="preserve"> </w:t>
    </w:r>
    <w:r w:rsidR="004A6649" w:rsidRPr="001D3277">
      <w:rPr>
        <w:rFonts w:ascii="Franklin Gothic Book" w:hAnsi="Franklin Gothic Book"/>
        <w:b/>
        <w:noProof/>
        <w:color w:val="5F497A" w:themeColor="accent4" w:themeShade="BF"/>
        <w:sz w:val="18"/>
        <w:szCs w:val="18"/>
      </w:rPr>
      <w:t xml:space="preserve">| Externally set task </w:t>
    </w:r>
    <w:r w:rsidRPr="001D3277">
      <w:rPr>
        <w:rFonts w:ascii="Franklin Gothic Book" w:hAnsi="Franklin Gothic Book"/>
        <w:b/>
        <w:noProof/>
        <w:color w:val="5F497A" w:themeColor="accent4" w:themeShade="BF"/>
        <w:sz w:val="18"/>
        <w:szCs w:val="18"/>
      </w:rPr>
      <w:t>Source Booklet</w:t>
    </w:r>
    <w:r w:rsidR="008C1B70" w:rsidRPr="001D3277">
      <w:rPr>
        <w:rFonts w:ascii="Franklin Gothic Book" w:hAnsi="Franklin Gothic Book"/>
        <w:b/>
        <w:color w:val="5F497A" w:themeColor="accent4" w:themeShade="BF"/>
        <w:sz w:val="18"/>
        <w:szCs w:val="18"/>
      </w:rPr>
      <w:t xml:space="preserve"> </w:t>
    </w:r>
    <w:r w:rsidR="008C1B70" w:rsidRPr="001D3277">
      <w:rPr>
        <w:rFonts w:ascii="Franklin Gothic Book" w:hAnsi="Franklin Gothic Book"/>
        <w:b/>
        <w:noProof/>
        <w:color w:val="5F497A" w:themeColor="accent4" w:themeShade="BF"/>
        <w:sz w:val="18"/>
        <w:szCs w:val="18"/>
      </w:rPr>
      <w:t xml:space="preserve">| </w:t>
    </w:r>
    <w:r w:rsidRPr="001D3277">
      <w:rPr>
        <w:rFonts w:ascii="Franklin Gothic Book" w:hAnsi="Franklin Gothic Book"/>
        <w:b/>
        <w:noProof/>
        <w:color w:val="5F497A" w:themeColor="accent4" w:themeShade="BF"/>
        <w:sz w:val="18"/>
        <w:szCs w:val="18"/>
      </w:rPr>
      <w:t xml:space="preserve">India 1919–1948 </w:t>
    </w:r>
    <w:r w:rsidR="00EA3F4A">
      <w:rPr>
        <w:rFonts w:ascii="Franklin Gothic Book" w:hAnsi="Franklin Gothic Book"/>
        <w:b/>
        <w:noProof/>
        <w:color w:val="5F497A" w:themeColor="accent4" w:themeShade="BF"/>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25D8D30C" wp14:editId="0A25378C">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F9530B">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F9530B">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F9530B">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162AFB"/>
    <w:rsid w:val="001734AE"/>
    <w:rsid w:val="001A3D77"/>
    <w:rsid w:val="001D3277"/>
    <w:rsid w:val="001D47F9"/>
    <w:rsid w:val="001F4DF0"/>
    <w:rsid w:val="0022405F"/>
    <w:rsid w:val="00242F9E"/>
    <w:rsid w:val="00244B87"/>
    <w:rsid w:val="002926BA"/>
    <w:rsid w:val="0029397C"/>
    <w:rsid w:val="00294035"/>
    <w:rsid w:val="002C5D23"/>
    <w:rsid w:val="002E38D7"/>
    <w:rsid w:val="002F171D"/>
    <w:rsid w:val="0031476D"/>
    <w:rsid w:val="00320CB2"/>
    <w:rsid w:val="00332C0F"/>
    <w:rsid w:val="0038361A"/>
    <w:rsid w:val="00384340"/>
    <w:rsid w:val="003960CF"/>
    <w:rsid w:val="003C30BA"/>
    <w:rsid w:val="0043295D"/>
    <w:rsid w:val="004A6649"/>
    <w:rsid w:val="004A7C22"/>
    <w:rsid w:val="004D6804"/>
    <w:rsid w:val="00555C29"/>
    <w:rsid w:val="005628FB"/>
    <w:rsid w:val="005A1968"/>
    <w:rsid w:val="005B31E6"/>
    <w:rsid w:val="005E6602"/>
    <w:rsid w:val="00623C1E"/>
    <w:rsid w:val="00725C63"/>
    <w:rsid w:val="00732A2C"/>
    <w:rsid w:val="00743FCC"/>
    <w:rsid w:val="0079667B"/>
    <w:rsid w:val="007A039E"/>
    <w:rsid w:val="007C68C4"/>
    <w:rsid w:val="007D30CB"/>
    <w:rsid w:val="00801AAC"/>
    <w:rsid w:val="00813711"/>
    <w:rsid w:val="00890EAA"/>
    <w:rsid w:val="008A1A63"/>
    <w:rsid w:val="008C1B70"/>
    <w:rsid w:val="008C74B9"/>
    <w:rsid w:val="008D1E31"/>
    <w:rsid w:val="008D4E89"/>
    <w:rsid w:val="008E660A"/>
    <w:rsid w:val="008F5555"/>
    <w:rsid w:val="00910DE1"/>
    <w:rsid w:val="009402DC"/>
    <w:rsid w:val="009915B9"/>
    <w:rsid w:val="009D1C81"/>
    <w:rsid w:val="009E071D"/>
    <w:rsid w:val="009E4966"/>
    <w:rsid w:val="00A12B8C"/>
    <w:rsid w:val="00A2132F"/>
    <w:rsid w:val="00A726B2"/>
    <w:rsid w:val="00B238A1"/>
    <w:rsid w:val="00B802FE"/>
    <w:rsid w:val="00C100F0"/>
    <w:rsid w:val="00C5704F"/>
    <w:rsid w:val="00CB1DD9"/>
    <w:rsid w:val="00CC422F"/>
    <w:rsid w:val="00CD5771"/>
    <w:rsid w:val="00D114EF"/>
    <w:rsid w:val="00D1273B"/>
    <w:rsid w:val="00D30F6E"/>
    <w:rsid w:val="00D3682B"/>
    <w:rsid w:val="00D96E05"/>
    <w:rsid w:val="00E24C0C"/>
    <w:rsid w:val="00E45E71"/>
    <w:rsid w:val="00E65199"/>
    <w:rsid w:val="00E851D5"/>
    <w:rsid w:val="00E9786F"/>
    <w:rsid w:val="00EA3F4A"/>
    <w:rsid w:val="00EB5D28"/>
    <w:rsid w:val="00EE3F32"/>
    <w:rsid w:val="00F9530B"/>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table" w:styleId="TableGrid">
    <w:name w:val="Table Grid"/>
    <w:basedOn w:val="TableNormal"/>
    <w:uiPriority w:val="59"/>
    <w:rsid w:val="003960C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d-definition1">
    <w:name w:val="cald-definition1"/>
    <w:basedOn w:val="DefaultParagraphFont"/>
    <w:rsid w:val="008D4E89"/>
    <w:rPr>
      <w:rFonts w:ascii="Verdana" w:hAnsi="Verdana" w:hint="default"/>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table" w:styleId="TableGrid">
    <w:name w:val="Table Grid"/>
    <w:basedOn w:val="TableNormal"/>
    <w:uiPriority w:val="59"/>
    <w:rsid w:val="003960C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d-definition1">
    <w:name w:val="cald-definition1"/>
    <w:basedOn w:val="DefaultParagraphFont"/>
    <w:rsid w:val="008D4E89"/>
    <w:rPr>
      <w:rFonts w:ascii="Verdana" w:hAnsi="Verdana" w:hint="default"/>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ationalarchives.gov.uk/panjab1947/raj.ht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gandhi-manibhavan.org/gandhiphilosophy/philosophy_nonviolence_nonviolence.htm" TargetMode="External"/><Relationship Id="rId28" Type="http://schemas.openxmlformats.org/officeDocument/2006/relationships/footer" Target="footer6.xml"/><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09BA-61E2-4963-93B8-B28C7C33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13</cp:revision>
  <cp:lastPrinted>2014-03-28T04:36:00Z</cp:lastPrinted>
  <dcterms:created xsi:type="dcterms:W3CDTF">2014-03-19T02:15:00Z</dcterms:created>
  <dcterms:modified xsi:type="dcterms:W3CDTF">2014-03-28T04:37:00Z</dcterms:modified>
</cp:coreProperties>
</file>