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CAD7A" w14:textId="77777777" w:rsidR="0007342A" w:rsidRPr="00AF134A" w:rsidRDefault="0007342A" w:rsidP="008A34EA">
      <w:pPr>
        <w:pStyle w:val="SCSATitle1"/>
      </w:pPr>
      <w:r w:rsidRPr="0017191C">
        <w:rPr>
          <w:rFonts w:ascii="Franklin Gothic Medium" w:hAnsi="Franklin Gothic Medium"/>
          <w:noProof/>
          <w:color w:val="463969"/>
          <w:sz w:val="52"/>
          <w:lang w:eastAsia="ko-KR"/>
        </w:rPr>
        <w:drawing>
          <wp:anchor distT="0" distB="0" distL="114300" distR="114300" simplePos="0" relativeHeight="251659264" behindDoc="1" locked="1" layoutInCell="1" allowOverlap="1" wp14:anchorId="2F002B9E" wp14:editId="3496245E">
            <wp:simplePos x="0" y="0"/>
            <wp:positionH relativeFrom="column">
              <wp:posOffset>-6105525</wp:posOffset>
            </wp:positionH>
            <wp:positionV relativeFrom="paragraph">
              <wp:posOffset>572135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AF134A">
        <w:t>Sample Assessment Outline</w:t>
      </w:r>
    </w:p>
    <w:p w14:paraId="2057F817" w14:textId="2B516C4D" w:rsidR="00F70CBB" w:rsidRPr="00F70CBB" w:rsidRDefault="00E26C63" w:rsidP="008A34EA">
      <w:pPr>
        <w:pStyle w:val="SCSATitle2"/>
      </w:pPr>
      <w:r>
        <w:t>Indonesian</w:t>
      </w:r>
      <w:r w:rsidR="00F70CBB" w:rsidRPr="00F70CBB">
        <w:t xml:space="preserve">: </w:t>
      </w:r>
      <w:r w:rsidR="00183AD3">
        <w:t>Background</w:t>
      </w:r>
      <w:r w:rsidR="00F70CBB" w:rsidRPr="00F70CBB">
        <w:t xml:space="preserve"> Language</w:t>
      </w:r>
    </w:p>
    <w:p w14:paraId="69D54ADE" w14:textId="77777777" w:rsidR="002F2A8F" w:rsidRPr="00031867" w:rsidRDefault="0007342A" w:rsidP="008A34EA">
      <w:pPr>
        <w:pStyle w:val="SCSATitle3"/>
      </w:pPr>
      <w:r w:rsidRPr="00F70CBB">
        <w:t>ATAR Year 12</w:t>
      </w:r>
    </w:p>
    <w:p w14:paraId="36A60F8D" w14:textId="77777777" w:rsidR="002F2A8F" w:rsidRPr="00AF134A" w:rsidRDefault="002F2A8F" w:rsidP="002F2A8F">
      <w:pPr>
        <w:spacing w:line="264" w:lineRule="auto"/>
      </w:pPr>
      <w:r w:rsidRPr="00AF134A">
        <w:br w:type="page"/>
      </w:r>
    </w:p>
    <w:p w14:paraId="1BAF5317" w14:textId="77777777" w:rsidR="00FC24FC" w:rsidRPr="00922C0F" w:rsidRDefault="00FC24FC" w:rsidP="00FC24FC">
      <w:pPr>
        <w:rPr>
          <w:rFonts w:cstheme="minorHAnsi"/>
          <w:b/>
        </w:rPr>
      </w:pPr>
      <w:r w:rsidRPr="00922C0F">
        <w:rPr>
          <w:rFonts w:cstheme="minorHAnsi"/>
          <w:b/>
        </w:rPr>
        <w:lastRenderedPageBreak/>
        <w:t>Acknowledgement of Country</w:t>
      </w:r>
    </w:p>
    <w:p w14:paraId="30135C0B" w14:textId="77777777" w:rsidR="00FC24FC" w:rsidRDefault="00FC24FC" w:rsidP="000E55EF">
      <w:pPr>
        <w:spacing w:after="6480"/>
        <w:rPr>
          <w:rFonts w:cstheme="minorHAnsi"/>
        </w:rPr>
      </w:pPr>
      <w:r w:rsidRPr="00922C0F">
        <w:rPr>
          <w:rFonts w:cstheme="minorHAns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B13A911" w14:textId="77777777" w:rsidR="000E55EF" w:rsidRPr="000E55EF" w:rsidRDefault="000E55EF" w:rsidP="000E55EF">
      <w:pPr>
        <w:jc w:val="both"/>
        <w:rPr>
          <w:rFonts w:ascii="Calibri" w:eastAsia="Calibri" w:hAnsi="Calibri" w:cs="Latha"/>
          <w:b/>
          <w:kern w:val="2"/>
          <w:sz w:val="20"/>
          <w:szCs w:val="20"/>
          <w:lang w:eastAsia="en-US"/>
          <w14:ligatures w14:val="standardContextual"/>
        </w:rPr>
      </w:pPr>
      <w:r w:rsidRPr="000E55EF">
        <w:rPr>
          <w:rFonts w:ascii="Calibri" w:eastAsia="Calibri" w:hAnsi="Calibri" w:cs="Latha"/>
          <w:b/>
          <w:kern w:val="2"/>
          <w:sz w:val="20"/>
          <w:szCs w:val="20"/>
          <w:lang w:eastAsia="en-US"/>
          <w14:ligatures w14:val="standardContextual"/>
        </w:rPr>
        <w:t>Copyright</w:t>
      </w:r>
    </w:p>
    <w:p w14:paraId="4C49D787" w14:textId="462D3DFE" w:rsidR="000E55EF" w:rsidRPr="000E55EF" w:rsidRDefault="000E55EF" w:rsidP="000E55EF">
      <w:pPr>
        <w:jc w:val="both"/>
        <w:rPr>
          <w:rFonts w:ascii="Calibri" w:eastAsia="Calibri" w:hAnsi="Calibri" w:cs="Calibri"/>
          <w:kern w:val="2"/>
          <w:sz w:val="20"/>
          <w:szCs w:val="20"/>
          <w:lang w:val="en-GB" w:eastAsia="en-US"/>
          <w14:ligatures w14:val="standardContextual"/>
        </w:rPr>
      </w:pPr>
      <w:r w:rsidRPr="000E55EF">
        <w:rPr>
          <w:rFonts w:ascii="Calibri" w:eastAsia="Calibri" w:hAnsi="Calibri" w:cs="Calibri"/>
          <w:kern w:val="2"/>
          <w:sz w:val="20"/>
          <w:szCs w:val="20"/>
          <w:lang w:val="en-GB" w:eastAsia="en-US"/>
          <w14:ligatures w14:val="standardContextual"/>
        </w:rPr>
        <w:t>© School Curriculum and Standards Authority, 202</w:t>
      </w:r>
      <w:r w:rsidR="00414CA3">
        <w:rPr>
          <w:rFonts w:ascii="Calibri" w:eastAsia="Calibri" w:hAnsi="Calibri" w:cs="Calibri"/>
          <w:kern w:val="2"/>
          <w:sz w:val="20"/>
          <w:szCs w:val="20"/>
          <w:lang w:val="en-GB" w:eastAsia="en-US"/>
          <w14:ligatures w14:val="standardContextual"/>
        </w:rPr>
        <w:t>4</w:t>
      </w:r>
    </w:p>
    <w:p w14:paraId="47DE3487" w14:textId="77777777" w:rsidR="000E55EF" w:rsidRPr="000E55EF" w:rsidRDefault="000E55EF" w:rsidP="000E55EF">
      <w:pPr>
        <w:rPr>
          <w:rFonts w:ascii="Calibri" w:eastAsia="Calibri" w:hAnsi="Calibri" w:cs="Calibri"/>
          <w:kern w:val="2"/>
          <w:sz w:val="20"/>
          <w:szCs w:val="20"/>
          <w:lang w:eastAsia="en-US"/>
          <w14:ligatures w14:val="standardContextual"/>
        </w:rPr>
      </w:pPr>
      <w:r w:rsidRPr="000E55EF">
        <w:rPr>
          <w:rFonts w:ascii="Calibri" w:eastAsia="Calibri" w:hAnsi="Calibri" w:cs="Calibri"/>
          <w:kern w:val="2"/>
          <w:sz w:val="20"/>
          <w:szCs w:val="20"/>
          <w:lang w:eastAsia="en-US"/>
          <w14:ligatures w14:val="standardContextual"/>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291FAC2" w14:textId="77777777" w:rsidR="000E55EF" w:rsidRPr="000E55EF" w:rsidRDefault="000E55EF" w:rsidP="000E55EF">
      <w:pPr>
        <w:rPr>
          <w:rFonts w:ascii="Calibri" w:eastAsia="Calibri" w:hAnsi="Calibri" w:cs="Calibri"/>
          <w:kern w:val="2"/>
          <w:sz w:val="20"/>
          <w:szCs w:val="20"/>
          <w:lang w:eastAsia="en-US"/>
          <w14:ligatures w14:val="standardContextual"/>
        </w:rPr>
      </w:pPr>
      <w:r w:rsidRPr="000E55EF">
        <w:rPr>
          <w:rFonts w:ascii="Calibri" w:eastAsia="Calibri" w:hAnsi="Calibri" w:cs="Calibri"/>
          <w:kern w:val="2"/>
          <w:sz w:val="20"/>
          <w:szCs w:val="20"/>
          <w:lang w:eastAsia="en-US"/>
          <w14:ligatures w14:val="standardContextual"/>
        </w:rPr>
        <w:t>Copying or communication for any other purpose can be done only within the terms of the</w:t>
      </w:r>
      <w:r w:rsidRPr="000E55EF">
        <w:rPr>
          <w:rFonts w:ascii="Calibri" w:eastAsia="Calibri" w:hAnsi="Calibri" w:cs="Calibri"/>
          <w:i/>
          <w:iCs/>
          <w:kern w:val="2"/>
          <w:sz w:val="20"/>
          <w:szCs w:val="20"/>
          <w:lang w:eastAsia="en-US"/>
          <w14:ligatures w14:val="standardContextual"/>
        </w:rPr>
        <w:t xml:space="preserve"> Copyright Act 1968</w:t>
      </w:r>
      <w:r w:rsidRPr="000E55EF">
        <w:rPr>
          <w:rFonts w:ascii="Calibri" w:eastAsia="Calibri" w:hAnsi="Calibri" w:cs="Calibri"/>
          <w:kern w:val="2"/>
          <w:sz w:val="20"/>
          <w:szCs w:val="20"/>
          <w:lang w:eastAsia="en-US"/>
          <w14:ligatures w14:val="standardContextual"/>
        </w:rPr>
        <w:t xml:space="preserve"> or with prior written permission of the Authority. Copying or communication of any third-party copyright material can be done only within the terms of the </w:t>
      </w:r>
      <w:r w:rsidRPr="000E55EF">
        <w:rPr>
          <w:rFonts w:ascii="Calibri" w:eastAsia="Calibri" w:hAnsi="Calibri" w:cs="Calibri"/>
          <w:i/>
          <w:iCs/>
          <w:kern w:val="2"/>
          <w:sz w:val="20"/>
          <w:szCs w:val="20"/>
          <w:lang w:eastAsia="en-US"/>
          <w14:ligatures w14:val="standardContextual"/>
        </w:rPr>
        <w:t>Copyright Act 1968</w:t>
      </w:r>
      <w:r w:rsidRPr="000E55EF">
        <w:rPr>
          <w:rFonts w:ascii="Calibri" w:eastAsia="Calibri" w:hAnsi="Calibri" w:cs="Calibri"/>
          <w:kern w:val="2"/>
          <w:sz w:val="20"/>
          <w:szCs w:val="20"/>
          <w:lang w:eastAsia="en-US"/>
          <w14:ligatures w14:val="standardContextual"/>
        </w:rPr>
        <w:t xml:space="preserve"> or with permission of the copyright owners.</w:t>
      </w:r>
    </w:p>
    <w:p w14:paraId="254DA48B" w14:textId="77777777" w:rsidR="000E55EF" w:rsidRPr="000E55EF" w:rsidRDefault="000E55EF" w:rsidP="000E55EF">
      <w:pPr>
        <w:rPr>
          <w:rFonts w:ascii="Calibri" w:eastAsia="Calibri" w:hAnsi="Calibri" w:cs="Calibri"/>
          <w:kern w:val="2"/>
          <w:sz w:val="20"/>
          <w:szCs w:val="20"/>
          <w:lang w:eastAsia="en-US"/>
          <w14:ligatures w14:val="standardContextual"/>
        </w:rPr>
      </w:pPr>
      <w:r w:rsidRPr="000E55EF">
        <w:rPr>
          <w:rFonts w:ascii="Calibri" w:eastAsia="Calibri" w:hAnsi="Calibri" w:cs="Calibri"/>
          <w:kern w:val="2"/>
          <w:sz w:val="20"/>
          <w:szCs w:val="20"/>
          <w:lang w:eastAsia="en-US"/>
          <w14:ligatures w14:val="standardContextual"/>
        </w:rPr>
        <w:t xml:space="preserve">Any content in this document that has been derived from the Australian Curriculum may be used under the terms of the </w:t>
      </w:r>
      <w:hyperlink r:id="rId8" w:tgtFrame="_blank" w:history="1">
        <w:r w:rsidRPr="000E55EF">
          <w:rPr>
            <w:rFonts w:ascii="Calibri" w:eastAsia="Calibri" w:hAnsi="Calibri" w:cs="Calibri"/>
            <w:color w:val="580F8B"/>
            <w:kern w:val="2"/>
            <w:sz w:val="20"/>
            <w:szCs w:val="20"/>
            <w:u w:val="single"/>
            <w:lang w:eastAsia="en-US"/>
            <w14:ligatures w14:val="standardContextual"/>
          </w:rPr>
          <w:t>Creative Commons Attribution 4.0 International licence</w:t>
        </w:r>
      </w:hyperlink>
      <w:r w:rsidRPr="000E55EF">
        <w:rPr>
          <w:rFonts w:ascii="Calibri" w:eastAsia="Calibri" w:hAnsi="Calibri" w:cs="Calibri"/>
          <w:kern w:val="2"/>
          <w:sz w:val="20"/>
          <w:szCs w:val="20"/>
          <w:lang w:eastAsia="en-US"/>
          <w14:ligatures w14:val="standardContextual"/>
        </w:rPr>
        <w:t>.</w:t>
      </w:r>
    </w:p>
    <w:p w14:paraId="6A317D15" w14:textId="77777777" w:rsidR="000E55EF" w:rsidRPr="000E55EF" w:rsidRDefault="000E55EF" w:rsidP="000E55EF">
      <w:pPr>
        <w:jc w:val="both"/>
        <w:rPr>
          <w:rFonts w:ascii="Calibri" w:eastAsia="Calibri" w:hAnsi="Calibri" w:cs="Calibri"/>
          <w:b/>
          <w:kern w:val="2"/>
          <w:sz w:val="20"/>
          <w:szCs w:val="20"/>
          <w:lang w:val="en-GB" w:eastAsia="en-US"/>
          <w14:ligatures w14:val="standardContextual"/>
        </w:rPr>
      </w:pPr>
      <w:r w:rsidRPr="000E55EF">
        <w:rPr>
          <w:rFonts w:ascii="Calibri" w:eastAsia="Calibri" w:hAnsi="Calibri" w:cs="Calibri"/>
          <w:b/>
          <w:kern w:val="2"/>
          <w:sz w:val="20"/>
          <w:szCs w:val="20"/>
          <w:lang w:val="en-GB" w:eastAsia="en-US"/>
          <w14:ligatures w14:val="standardContextual"/>
        </w:rPr>
        <w:t>Disclaimer</w:t>
      </w:r>
    </w:p>
    <w:p w14:paraId="0798756F" w14:textId="77777777" w:rsidR="000E55EF" w:rsidRPr="000E55EF" w:rsidRDefault="000E55EF" w:rsidP="000E55EF">
      <w:pPr>
        <w:rPr>
          <w:rFonts w:ascii="Calibri" w:eastAsia="Calibri" w:hAnsi="Calibri" w:cs="Latha"/>
          <w:kern w:val="2"/>
          <w:sz w:val="20"/>
          <w:szCs w:val="20"/>
          <w:lang w:eastAsia="en-US"/>
          <w14:ligatures w14:val="standardContextual"/>
        </w:rPr>
      </w:pPr>
      <w:r w:rsidRPr="000E55EF">
        <w:rPr>
          <w:rFonts w:ascii="Calibri" w:eastAsia="Calibri" w:hAnsi="Calibri" w:cs="Calibri"/>
          <w:kern w:val="2"/>
          <w:sz w:val="20"/>
          <w:szCs w:val="20"/>
          <w:lang w:val="en-GB" w:eastAsia="en-US"/>
          <w14:ligatures w14:val="standardContextual"/>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0E55EF">
        <w:rPr>
          <w:rFonts w:ascii="Calibri" w:eastAsia="Calibri" w:hAnsi="Calibri" w:cs="Latha"/>
          <w:kern w:val="2"/>
          <w:sz w:val="20"/>
          <w:szCs w:val="20"/>
          <w:lang w:eastAsia="en-US"/>
          <w14:ligatures w14:val="standardContextual"/>
        </w:rPr>
        <w:t>Teachers must exercise their professional judgement as to the appropriateness of any they may wish to use.</w:t>
      </w:r>
    </w:p>
    <w:p w14:paraId="2DA5DD1D" w14:textId="360A325A" w:rsidR="00CA6678" w:rsidRPr="008A34EA" w:rsidRDefault="00CA6678" w:rsidP="008A34EA">
      <w:pPr>
        <w:spacing w:line="240" w:lineRule="auto"/>
        <w:ind w:right="68"/>
        <w:jc w:val="both"/>
        <w:rPr>
          <w:rFonts w:ascii="Arial" w:hAnsi="Arial" w:cstheme="minorHAnsi"/>
          <w:b/>
          <w:sz w:val="16"/>
          <w:szCs w:val="16"/>
        </w:rPr>
        <w:sectPr w:rsidR="00CA6678" w:rsidRPr="008A34EA" w:rsidSect="00661A82">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276" w:left="1418" w:header="680" w:footer="567" w:gutter="0"/>
          <w:pgNumType w:start="1"/>
          <w:cols w:space="708"/>
          <w:titlePg/>
          <w:docGrid w:linePitch="360"/>
        </w:sectPr>
      </w:pPr>
    </w:p>
    <w:p w14:paraId="4F207EF8" w14:textId="77777777" w:rsidR="006D74DC" w:rsidRDefault="006D74DC" w:rsidP="000E55EF">
      <w:pPr>
        <w:pStyle w:val="SCSAHeading1"/>
      </w:pPr>
      <w:r>
        <w:lastRenderedPageBreak/>
        <w:t>Sample assessment outline</w:t>
      </w:r>
    </w:p>
    <w:p w14:paraId="2CB3DD57" w14:textId="5CDCC546" w:rsidR="002F2A8F" w:rsidRPr="006D74DC" w:rsidRDefault="00E26C63" w:rsidP="000E55EF">
      <w:pPr>
        <w:pStyle w:val="SCSAHeading1"/>
      </w:pPr>
      <w:r>
        <w:t>Indonesian</w:t>
      </w:r>
      <w:r w:rsidR="00F70CBB" w:rsidRPr="002A0505">
        <w:t xml:space="preserve">: </w:t>
      </w:r>
      <w:r w:rsidR="007C6568">
        <w:t>Background</w:t>
      </w:r>
      <w:r w:rsidR="00F70CBB" w:rsidRPr="002A0505">
        <w:t xml:space="preserve"> Language </w:t>
      </w:r>
      <w:r w:rsidR="00A67017" w:rsidRPr="006D74DC">
        <w:t xml:space="preserve">– </w:t>
      </w:r>
      <w:r w:rsidR="00A67017" w:rsidRPr="002A0505">
        <w:t>ATAR Year 12</w:t>
      </w:r>
    </w:p>
    <w:p w14:paraId="0B3F2601" w14:textId="77777777" w:rsidR="002F2A8F" w:rsidRPr="004912D2" w:rsidRDefault="002F2A8F" w:rsidP="000E55EF">
      <w:pPr>
        <w:pStyle w:val="SCSAHeading2"/>
      </w:pPr>
      <w:r w:rsidRPr="004912D2">
        <w:t xml:space="preserve">Unit 3 and </w:t>
      </w:r>
      <w:r w:rsidR="002F0372">
        <w:t xml:space="preserve">Unit </w:t>
      </w:r>
      <w:r w:rsidRPr="004912D2">
        <w:t>4</w:t>
      </w:r>
    </w:p>
    <w:tbl>
      <w:tblPr>
        <w:tblStyle w:val="SCSATable"/>
        <w:tblW w:w="5000" w:type="pct"/>
        <w:tblLayout w:type="fixed"/>
        <w:tblLook w:val="04A0" w:firstRow="1" w:lastRow="0" w:firstColumn="1" w:lastColumn="0" w:noHBand="0" w:noVBand="1"/>
      </w:tblPr>
      <w:tblGrid>
        <w:gridCol w:w="1277"/>
        <w:gridCol w:w="1557"/>
        <w:gridCol w:w="1277"/>
        <w:gridCol w:w="1277"/>
        <w:gridCol w:w="1134"/>
        <w:gridCol w:w="1417"/>
        <w:gridCol w:w="6063"/>
      </w:tblGrid>
      <w:tr w:rsidR="00AC4E98" w:rsidRPr="00445C78" w14:paraId="38376BBB" w14:textId="77777777" w:rsidTr="00AC4E98">
        <w:trPr>
          <w:cnfStyle w:val="100000000000" w:firstRow="1" w:lastRow="0" w:firstColumn="0" w:lastColumn="0" w:oddVBand="0" w:evenVBand="0" w:oddHBand="0" w:evenHBand="0" w:firstRowFirstColumn="0" w:firstRowLastColumn="0" w:lastRowFirstColumn="0" w:lastRowLastColumn="0"/>
          <w:trHeight w:val="20"/>
        </w:trPr>
        <w:tc>
          <w:tcPr>
            <w:tcW w:w="456" w:type="pct"/>
            <w:vAlign w:val="center"/>
            <w:hideMark/>
          </w:tcPr>
          <w:p w14:paraId="10A1AE36" w14:textId="77777777" w:rsidR="002F2A8F" w:rsidRPr="00445C78" w:rsidRDefault="002F2A8F" w:rsidP="00AC4E98">
            <w:pPr>
              <w:spacing w:after="0" w:line="276" w:lineRule="auto"/>
              <w:jc w:val="center"/>
            </w:pPr>
            <w:r w:rsidRPr="00445C78">
              <w:t>Assessment component</w:t>
            </w:r>
          </w:p>
        </w:tc>
        <w:tc>
          <w:tcPr>
            <w:tcW w:w="556" w:type="pct"/>
            <w:vAlign w:val="center"/>
          </w:tcPr>
          <w:p w14:paraId="25A509C9" w14:textId="5349E774" w:rsidR="002F2A8F" w:rsidRPr="00445C78" w:rsidRDefault="002F2A8F" w:rsidP="00AC4E98">
            <w:pPr>
              <w:spacing w:after="0" w:line="276" w:lineRule="auto"/>
              <w:jc w:val="center"/>
            </w:pPr>
            <w:r w:rsidRPr="00445C78">
              <w:t xml:space="preserve">Assessment </w:t>
            </w:r>
            <w:r w:rsidR="00E870EB" w:rsidRPr="00445C78">
              <w:br/>
            </w:r>
            <w:r w:rsidRPr="00445C78">
              <w:t>type</w:t>
            </w:r>
          </w:p>
        </w:tc>
        <w:tc>
          <w:tcPr>
            <w:tcW w:w="456" w:type="pct"/>
            <w:vAlign w:val="center"/>
          </w:tcPr>
          <w:p w14:paraId="47753863" w14:textId="55412D7F" w:rsidR="002F2A8F" w:rsidRPr="00445C78" w:rsidRDefault="002F2A8F" w:rsidP="00AC4E98">
            <w:pPr>
              <w:spacing w:after="0" w:line="276" w:lineRule="auto"/>
              <w:jc w:val="center"/>
            </w:pPr>
            <w:r w:rsidRPr="00445C78">
              <w:t xml:space="preserve">Assessment </w:t>
            </w:r>
            <w:r w:rsidR="00E870EB" w:rsidRPr="00445C78">
              <w:br/>
            </w:r>
            <w:r w:rsidR="005E3EEB" w:rsidRPr="00445C78">
              <w:t xml:space="preserve">type </w:t>
            </w:r>
            <w:r w:rsidR="00206B3E" w:rsidRPr="00445C78">
              <w:br/>
            </w:r>
            <w:r w:rsidR="005E3EEB" w:rsidRPr="00445C78">
              <w:t>weighting</w:t>
            </w:r>
          </w:p>
        </w:tc>
        <w:tc>
          <w:tcPr>
            <w:tcW w:w="456" w:type="pct"/>
            <w:vAlign w:val="center"/>
          </w:tcPr>
          <w:p w14:paraId="77011C08" w14:textId="77777777" w:rsidR="002F2A8F" w:rsidRPr="00445C78" w:rsidRDefault="002F2A8F" w:rsidP="00AC4E98">
            <w:pPr>
              <w:spacing w:after="0" w:line="276" w:lineRule="auto"/>
              <w:jc w:val="center"/>
            </w:pPr>
            <w:r w:rsidRPr="00445C78">
              <w:t>Assessment</w:t>
            </w:r>
          </w:p>
          <w:p w14:paraId="009D5898" w14:textId="77777777" w:rsidR="002F2A8F" w:rsidRPr="00445C78" w:rsidRDefault="002F2A8F" w:rsidP="00AC4E98">
            <w:pPr>
              <w:spacing w:after="0" w:line="276" w:lineRule="auto"/>
              <w:jc w:val="center"/>
            </w:pPr>
            <w:r w:rsidRPr="00445C78">
              <w:t>task</w:t>
            </w:r>
          </w:p>
          <w:p w14:paraId="2F5C7219" w14:textId="77777777" w:rsidR="002F2A8F" w:rsidRPr="00445C78" w:rsidRDefault="002F2A8F" w:rsidP="00AC4E98">
            <w:pPr>
              <w:spacing w:after="0" w:line="276" w:lineRule="auto"/>
              <w:jc w:val="center"/>
            </w:pPr>
            <w:r w:rsidRPr="00445C78">
              <w:t>weighting</w:t>
            </w:r>
          </w:p>
        </w:tc>
        <w:tc>
          <w:tcPr>
            <w:tcW w:w="405" w:type="pct"/>
            <w:vAlign w:val="center"/>
          </w:tcPr>
          <w:p w14:paraId="0891E960" w14:textId="51480739" w:rsidR="00001F2D" w:rsidRPr="00445C78" w:rsidRDefault="002F2A8F" w:rsidP="00AC4E98">
            <w:pPr>
              <w:spacing w:after="0" w:line="276" w:lineRule="auto"/>
              <w:jc w:val="center"/>
            </w:pPr>
            <w:r w:rsidRPr="00445C78">
              <w:t>Weighting for combined</w:t>
            </w:r>
          </w:p>
          <w:p w14:paraId="60B2C102" w14:textId="77777777" w:rsidR="002F2A8F" w:rsidRPr="00445C78" w:rsidRDefault="002F2A8F" w:rsidP="00AC4E98">
            <w:pPr>
              <w:spacing w:line="276" w:lineRule="auto"/>
              <w:jc w:val="center"/>
            </w:pPr>
            <w:r w:rsidRPr="00445C78">
              <w:t>mark</w:t>
            </w:r>
          </w:p>
        </w:tc>
        <w:tc>
          <w:tcPr>
            <w:tcW w:w="506" w:type="pct"/>
            <w:vAlign w:val="center"/>
          </w:tcPr>
          <w:p w14:paraId="44A3439A" w14:textId="77777777" w:rsidR="002F2A8F" w:rsidRPr="00445C78" w:rsidRDefault="002F2A8F" w:rsidP="00AC4E98">
            <w:pPr>
              <w:spacing w:after="0" w:line="276" w:lineRule="auto"/>
              <w:jc w:val="center"/>
            </w:pPr>
            <w:r w:rsidRPr="00445C78">
              <w:t>When</w:t>
            </w:r>
          </w:p>
        </w:tc>
        <w:tc>
          <w:tcPr>
            <w:tcW w:w="2165" w:type="pct"/>
            <w:vAlign w:val="center"/>
            <w:hideMark/>
          </w:tcPr>
          <w:p w14:paraId="4665533F" w14:textId="77777777" w:rsidR="002F2A8F" w:rsidRPr="00445C78" w:rsidRDefault="002F2A8F" w:rsidP="00AC4E98">
            <w:pPr>
              <w:spacing w:after="0" w:line="276" w:lineRule="auto"/>
              <w:jc w:val="center"/>
            </w:pPr>
            <w:r w:rsidRPr="00445C78">
              <w:t>Assessment task</w:t>
            </w:r>
          </w:p>
        </w:tc>
      </w:tr>
      <w:tr w:rsidR="00AC4E98" w:rsidRPr="00445C78" w14:paraId="48B8ADA2" w14:textId="77777777" w:rsidTr="00AC4E98">
        <w:trPr>
          <w:trHeight w:val="20"/>
        </w:trPr>
        <w:tc>
          <w:tcPr>
            <w:tcW w:w="456" w:type="pct"/>
            <w:vMerge w:val="restart"/>
            <w:vAlign w:val="center"/>
          </w:tcPr>
          <w:p w14:paraId="412CC897" w14:textId="77777777" w:rsidR="005A30E5" w:rsidRPr="00445C78" w:rsidRDefault="005A30E5" w:rsidP="00AC4E98">
            <w:pPr>
              <w:spacing w:after="0" w:line="276" w:lineRule="auto"/>
              <w:jc w:val="center"/>
            </w:pPr>
            <w:r w:rsidRPr="00445C78">
              <w:t>Practical</w:t>
            </w:r>
          </w:p>
        </w:tc>
        <w:tc>
          <w:tcPr>
            <w:tcW w:w="556" w:type="pct"/>
            <w:vMerge w:val="restart"/>
            <w:vAlign w:val="center"/>
          </w:tcPr>
          <w:p w14:paraId="6E1812A8" w14:textId="77777777" w:rsidR="005A30E5" w:rsidRPr="00445C78" w:rsidRDefault="005A30E5" w:rsidP="00AC4E98">
            <w:pPr>
              <w:spacing w:after="0" w:line="276" w:lineRule="auto"/>
              <w:jc w:val="center"/>
            </w:pPr>
            <w:r w:rsidRPr="00445C78">
              <w:t xml:space="preserve">Oral </w:t>
            </w:r>
            <w:r w:rsidRPr="00445C78">
              <w:br/>
              <w:t>communication</w:t>
            </w:r>
          </w:p>
        </w:tc>
        <w:tc>
          <w:tcPr>
            <w:tcW w:w="456" w:type="pct"/>
            <w:vMerge w:val="restart"/>
            <w:vAlign w:val="center"/>
          </w:tcPr>
          <w:p w14:paraId="2C90B403" w14:textId="77777777" w:rsidR="005A30E5" w:rsidRPr="00445C78" w:rsidRDefault="005A30E5" w:rsidP="00AC4E98">
            <w:pPr>
              <w:spacing w:after="0" w:line="276" w:lineRule="auto"/>
              <w:jc w:val="center"/>
            </w:pPr>
            <w:r w:rsidRPr="00445C78">
              <w:t>50%</w:t>
            </w:r>
          </w:p>
        </w:tc>
        <w:tc>
          <w:tcPr>
            <w:tcW w:w="456" w:type="pct"/>
            <w:vAlign w:val="center"/>
          </w:tcPr>
          <w:p w14:paraId="4656B008" w14:textId="77777777" w:rsidR="005A30E5" w:rsidRPr="00445C78" w:rsidRDefault="005A30E5" w:rsidP="00AC4E98">
            <w:pPr>
              <w:spacing w:after="0" w:line="276" w:lineRule="auto"/>
              <w:jc w:val="center"/>
            </w:pPr>
            <w:r w:rsidRPr="00445C78">
              <w:t>25%</w:t>
            </w:r>
          </w:p>
        </w:tc>
        <w:tc>
          <w:tcPr>
            <w:tcW w:w="405" w:type="pct"/>
            <w:vAlign w:val="center"/>
          </w:tcPr>
          <w:p w14:paraId="06ABEDB0" w14:textId="77777777" w:rsidR="005A30E5" w:rsidRPr="00445C78" w:rsidRDefault="005A30E5" w:rsidP="00AC4E98">
            <w:pPr>
              <w:spacing w:after="0" w:line="276" w:lineRule="auto"/>
              <w:jc w:val="center"/>
            </w:pPr>
            <w:r w:rsidRPr="00445C78">
              <w:t>8.75%</w:t>
            </w:r>
          </w:p>
        </w:tc>
        <w:tc>
          <w:tcPr>
            <w:tcW w:w="506" w:type="pct"/>
          </w:tcPr>
          <w:p w14:paraId="0CCA370E" w14:textId="77777777" w:rsidR="005A30E5" w:rsidRPr="00445C78" w:rsidRDefault="005A30E5" w:rsidP="00AC4E98">
            <w:pPr>
              <w:spacing w:after="0" w:line="276" w:lineRule="auto"/>
            </w:pPr>
            <w:r w:rsidRPr="00445C78">
              <w:t>Semester 1</w:t>
            </w:r>
          </w:p>
          <w:p w14:paraId="44AEDDD1" w14:textId="0DDD3AE5" w:rsidR="005A30E5" w:rsidRPr="00445C78" w:rsidRDefault="000E60EF" w:rsidP="00AC4E98">
            <w:pPr>
              <w:spacing w:after="0" w:line="276" w:lineRule="auto"/>
            </w:pPr>
            <w:r w:rsidRPr="00445C78">
              <w:t xml:space="preserve">Week </w:t>
            </w:r>
            <w:r w:rsidR="00463EC9" w:rsidRPr="00445C78">
              <w:t>14</w:t>
            </w:r>
          </w:p>
        </w:tc>
        <w:tc>
          <w:tcPr>
            <w:tcW w:w="2165" w:type="pct"/>
          </w:tcPr>
          <w:p w14:paraId="03806A94" w14:textId="77777777" w:rsidR="005A30E5" w:rsidRPr="000E7F3A" w:rsidRDefault="005A30E5" w:rsidP="00AC4E98">
            <w:pPr>
              <w:spacing w:after="0" w:line="276" w:lineRule="auto"/>
              <w:rPr>
                <w:b/>
                <w:bCs/>
              </w:rPr>
            </w:pPr>
            <w:r w:rsidRPr="000E7F3A">
              <w:rPr>
                <w:b/>
                <w:bCs/>
              </w:rPr>
              <w:t>Task 3: The changing nature of work</w:t>
            </w:r>
          </w:p>
          <w:p w14:paraId="70856676" w14:textId="04A6F12E" w:rsidR="005A30E5" w:rsidRPr="00445C78" w:rsidRDefault="001572FF" w:rsidP="00AC4E98">
            <w:pPr>
              <w:spacing w:line="276" w:lineRule="auto"/>
            </w:pPr>
            <w:r w:rsidRPr="00445C78">
              <w:t>Participate</w:t>
            </w:r>
            <w:r w:rsidR="005A30E5" w:rsidRPr="00445C78">
              <w:t xml:space="preserve"> in</w:t>
            </w:r>
            <w:r w:rsidR="00CE3F29" w:rsidRPr="00445C78">
              <w:t xml:space="preserve"> an</w:t>
            </w:r>
            <w:r w:rsidR="005A30E5" w:rsidRPr="00445C78">
              <w:t xml:space="preserve"> </w:t>
            </w:r>
            <w:r w:rsidR="003A61F2" w:rsidRPr="00445C78">
              <w:t>8</w:t>
            </w:r>
            <w:r w:rsidR="00CE3F29" w:rsidRPr="00445C78">
              <w:t>–</w:t>
            </w:r>
            <w:r w:rsidRPr="00445C78">
              <w:t>1</w:t>
            </w:r>
            <w:r w:rsidR="003A61F2" w:rsidRPr="00445C78">
              <w:t>0</w:t>
            </w:r>
            <w:r w:rsidR="005A30E5" w:rsidRPr="00445C78">
              <w:t xml:space="preserve"> minute</w:t>
            </w:r>
            <w:r w:rsidRPr="00445C78">
              <w:t xml:space="preserve"> conversation</w:t>
            </w:r>
            <w:r w:rsidR="005A30E5" w:rsidRPr="00445C78">
              <w:t xml:space="preserve"> in </w:t>
            </w:r>
            <w:r w:rsidR="00E26C63" w:rsidRPr="00445C78">
              <w:t>Indonesian</w:t>
            </w:r>
            <w:r w:rsidR="005A30E5" w:rsidRPr="00445C78">
              <w:t>.</w:t>
            </w:r>
          </w:p>
        </w:tc>
      </w:tr>
      <w:tr w:rsidR="00AC4E98" w:rsidRPr="00445C78" w14:paraId="4649EF15" w14:textId="77777777" w:rsidTr="00AC4E98">
        <w:trPr>
          <w:trHeight w:val="20"/>
        </w:trPr>
        <w:tc>
          <w:tcPr>
            <w:tcW w:w="456" w:type="pct"/>
            <w:vMerge/>
            <w:vAlign w:val="center"/>
          </w:tcPr>
          <w:p w14:paraId="6FEA07ED" w14:textId="77777777" w:rsidR="005A30E5" w:rsidRPr="00445C78" w:rsidRDefault="005A30E5" w:rsidP="00AC4E98">
            <w:pPr>
              <w:spacing w:after="0" w:line="276" w:lineRule="auto"/>
              <w:jc w:val="center"/>
            </w:pPr>
          </w:p>
        </w:tc>
        <w:tc>
          <w:tcPr>
            <w:tcW w:w="556" w:type="pct"/>
            <w:vMerge/>
            <w:vAlign w:val="center"/>
          </w:tcPr>
          <w:p w14:paraId="003EF468" w14:textId="77777777" w:rsidR="005A30E5" w:rsidRPr="00445C78" w:rsidRDefault="005A30E5" w:rsidP="00AC4E98">
            <w:pPr>
              <w:spacing w:after="0" w:line="276" w:lineRule="auto"/>
              <w:jc w:val="center"/>
            </w:pPr>
          </w:p>
        </w:tc>
        <w:tc>
          <w:tcPr>
            <w:tcW w:w="456" w:type="pct"/>
            <w:vMerge/>
            <w:vAlign w:val="center"/>
          </w:tcPr>
          <w:p w14:paraId="0A32DD13" w14:textId="77777777" w:rsidR="005A30E5" w:rsidRPr="00445C78" w:rsidRDefault="005A30E5" w:rsidP="00AC4E98">
            <w:pPr>
              <w:spacing w:after="0" w:line="276" w:lineRule="auto"/>
              <w:jc w:val="center"/>
            </w:pPr>
          </w:p>
        </w:tc>
        <w:tc>
          <w:tcPr>
            <w:tcW w:w="456" w:type="pct"/>
            <w:vAlign w:val="center"/>
          </w:tcPr>
          <w:p w14:paraId="5C57EA95" w14:textId="77777777" w:rsidR="005A30E5" w:rsidRPr="00445C78" w:rsidRDefault="005A30E5" w:rsidP="00AC4E98">
            <w:pPr>
              <w:spacing w:after="0" w:line="276" w:lineRule="auto"/>
              <w:jc w:val="center"/>
            </w:pPr>
            <w:r w:rsidRPr="00445C78">
              <w:t>25%</w:t>
            </w:r>
          </w:p>
        </w:tc>
        <w:tc>
          <w:tcPr>
            <w:tcW w:w="405" w:type="pct"/>
            <w:vAlign w:val="center"/>
          </w:tcPr>
          <w:p w14:paraId="33CF45B0" w14:textId="77777777" w:rsidR="005A30E5" w:rsidRPr="00445C78" w:rsidRDefault="005A30E5" w:rsidP="00AC4E98">
            <w:pPr>
              <w:spacing w:after="0" w:line="276" w:lineRule="auto"/>
              <w:jc w:val="center"/>
            </w:pPr>
            <w:r w:rsidRPr="00445C78">
              <w:t>8.75%</w:t>
            </w:r>
          </w:p>
        </w:tc>
        <w:tc>
          <w:tcPr>
            <w:tcW w:w="506" w:type="pct"/>
          </w:tcPr>
          <w:p w14:paraId="31B14D40" w14:textId="77777777" w:rsidR="005A30E5" w:rsidRPr="00445C78" w:rsidRDefault="005A30E5" w:rsidP="00AC4E98">
            <w:pPr>
              <w:spacing w:after="0" w:line="276" w:lineRule="auto"/>
            </w:pPr>
            <w:r w:rsidRPr="00445C78">
              <w:t>Semester 2</w:t>
            </w:r>
          </w:p>
          <w:p w14:paraId="79ED61B2" w14:textId="1BA8F52A" w:rsidR="005A30E5" w:rsidRPr="00445C78" w:rsidRDefault="000E60EF" w:rsidP="00AC4E98">
            <w:pPr>
              <w:spacing w:after="0" w:line="276" w:lineRule="auto"/>
            </w:pPr>
            <w:r w:rsidRPr="00445C78">
              <w:t>Week 1</w:t>
            </w:r>
            <w:r w:rsidR="00BD7DF9" w:rsidRPr="00445C78">
              <w:t>0</w:t>
            </w:r>
          </w:p>
        </w:tc>
        <w:tc>
          <w:tcPr>
            <w:tcW w:w="2165" w:type="pct"/>
          </w:tcPr>
          <w:p w14:paraId="7E5669D8" w14:textId="77777777" w:rsidR="00BD7DF9" w:rsidRPr="000E7F3A" w:rsidRDefault="00BD7DF9" w:rsidP="00AC4E98">
            <w:pPr>
              <w:spacing w:after="0" w:line="276" w:lineRule="auto"/>
              <w:rPr>
                <w:b/>
                <w:bCs/>
              </w:rPr>
            </w:pPr>
            <w:r w:rsidRPr="000E7F3A">
              <w:rPr>
                <w:b/>
                <w:bCs/>
              </w:rPr>
              <w:t>Task 6: Indonesian identity in the international context</w:t>
            </w:r>
          </w:p>
          <w:p w14:paraId="33EA8054" w14:textId="4ECE3634" w:rsidR="005A30E5" w:rsidRPr="00445C78" w:rsidRDefault="005A30E5" w:rsidP="00AC4E98">
            <w:pPr>
              <w:spacing w:line="276" w:lineRule="auto"/>
            </w:pPr>
            <w:r w:rsidRPr="00445C78">
              <w:t xml:space="preserve">Participate in a </w:t>
            </w:r>
            <w:r w:rsidR="00BD7DF9" w:rsidRPr="00445C78">
              <w:t>10</w:t>
            </w:r>
            <w:r w:rsidRPr="00445C78">
              <w:t>–1</w:t>
            </w:r>
            <w:r w:rsidR="00BD7DF9" w:rsidRPr="00445C78">
              <w:t>2</w:t>
            </w:r>
            <w:r w:rsidRPr="00445C78">
              <w:t xml:space="preserve"> minute interview in </w:t>
            </w:r>
            <w:r w:rsidR="00E26C63" w:rsidRPr="00445C78">
              <w:t>Indonesian</w:t>
            </w:r>
            <w:r w:rsidRPr="00445C78">
              <w:t>.</w:t>
            </w:r>
          </w:p>
        </w:tc>
      </w:tr>
      <w:tr w:rsidR="00AC4E98" w:rsidRPr="00445C78" w14:paraId="607F2507" w14:textId="77777777" w:rsidTr="00AC4E98">
        <w:trPr>
          <w:trHeight w:val="20"/>
        </w:trPr>
        <w:tc>
          <w:tcPr>
            <w:tcW w:w="456" w:type="pct"/>
            <w:vMerge/>
            <w:vAlign w:val="center"/>
          </w:tcPr>
          <w:p w14:paraId="1D65C6EE" w14:textId="77777777" w:rsidR="005A30E5" w:rsidRPr="00445C78" w:rsidRDefault="005A30E5" w:rsidP="00AC4E98">
            <w:pPr>
              <w:spacing w:after="0" w:line="276" w:lineRule="auto"/>
              <w:jc w:val="center"/>
            </w:pPr>
          </w:p>
        </w:tc>
        <w:tc>
          <w:tcPr>
            <w:tcW w:w="556" w:type="pct"/>
            <w:vMerge w:val="restart"/>
            <w:vAlign w:val="center"/>
          </w:tcPr>
          <w:p w14:paraId="648D6B2E" w14:textId="77777777" w:rsidR="005A30E5" w:rsidRPr="00445C78" w:rsidRDefault="005A30E5" w:rsidP="00AC4E98">
            <w:pPr>
              <w:spacing w:after="0" w:line="276" w:lineRule="auto"/>
              <w:jc w:val="center"/>
            </w:pPr>
            <w:r w:rsidRPr="00445C78">
              <w:t>Practical (oral) examination</w:t>
            </w:r>
          </w:p>
        </w:tc>
        <w:tc>
          <w:tcPr>
            <w:tcW w:w="456" w:type="pct"/>
            <w:vMerge w:val="restart"/>
            <w:vAlign w:val="center"/>
          </w:tcPr>
          <w:p w14:paraId="2055B1EF" w14:textId="77777777" w:rsidR="005A30E5" w:rsidRPr="00445C78" w:rsidRDefault="005A30E5" w:rsidP="00AC4E98">
            <w:pPr>
              <w:spacing w:after="0" w:line="276" w:lineRule="auto"/>
              <w:jc w:val="center"/>
            </w:pPr>
            <w:r w:rsidRPr="00445C78">
              <w:t>50%</w:t>
            </w:r>
          </w:p>
        </w:tc>
        <w:tc>
          <w:tcPr>
            <w:tcW w:w="456" w:type="pct"/>
            <w:vAlign w:val="center"/>
          </w:tcPr>
          <w:p w14:paraId="1297D8B9" w14:textId="77777777" w:rsidR="005A30E5" w:rsidRPr="00445C78" w:rsidRDefault="005A30E5" w:rsidP="00AC4E98">
            <w:pPr>
              <w:spacing w:after="0" w:line="276" w:lineRule="auto"/>
              <w:jc w:val="center"/>
            </w:pPr>
            <w:r w:rsidRPr="00445C78">
              <w:t>25%</w:t>
            </w:r>
          </w:p>
        </w:tc>
        <w:tc>
          <w:tcPr>
            <w:tcW w:w="405" w:type="pct"/>
            <w:vAlign w:val="center"/>
          </w:tcPr>
          <w:p w14:paraId="6661DBD7" w14:textId="77777777" w:rsidR="005A30E5" w:rsidRPr="00445C78" w:rsidRDefault="005A30E5" w:rsidP="00AC4E98">
            <w:pPr>
              <w:spacing w:after="0" w:line="276" w:lineRule="auto"/>
              <w:jc w:val="center"/>
            </w:pPr>
            <w:r w:rsidRPr="00445C78">
              <w:t>8.75%</w:t>
            </w:r>
          </w:p>
        </w:tc>
        <w:tc>
          <w:tcPr>
            <w:tcW w:w="506" w:type="pct"/>
          </w:tcPr>
          <w:p w14:paraId="533BAE81" w14:textId="53A3F8D7" w:rsidR="005A30E5" w:rsidRPr="00445C78" w:rsidRDefault="003A61F2" w:rsidP="00AC4E98">
            <w:pPr>
              <w:spacing w:after="0" w:line="276" w:lineRule="auto"/>
            </w:pPr>
            <w:r w:rsidRPr="00445C78">
              <w:t xml:space="preserve">Semester 1 </w:t>
            </w:r>
            <w:r w:rsidR="000A4DE4">
              <w:t>Week 16</w:t>
            </w:r>
          </w:p>
        </w:tc>
        <w:tc>
          <w:tcPr>
            <w:tcW w:w="2165" w:type="pct"/>
          </w:tcPr>
          <w:p w14:paraId="33A27E2E" w14:textId="5E98A750" w:rsidR="005A30E5" w:rsidRPr="000E7F3A" w:rsidRDefault="00156660" w:rsidP="00AC4E98">
            <w:pPr>
              <w:spacing w:after="0" w:line="276" w:lineRule="auto"/>
              <w:rPr>
                <w:b/>
                <w:bCs/>
              </w:rPr>
            </w:pPr>
            <w:r w:rsidRPr="000E7F3A">
              <w:rPr>
                <w:b/>
                <w:bCs/>
              </w:rPr>
              <w:t>Task 4</w:t>
            </w:r>
            <w:r w:rsidR="003A61F2" w:rsidRPr="000E7F3A">
              <w:rPr>
                <w:b/>
                <w:bCs/>
              </w:rPr>
              <w:t>(a)</w:t>
            </w:r>
            <w:r w:rsidR="005A30E5" w:rsidRPr="000E7F3A">
              <w:rPr>
                <w:b/>
                <w:bCs/>
              </w:rPr>
              <w:t>: Semester 1 practical examination</w:t>
            </w:r>
            <w:r w:rsidR="00292939" w:rsidRPr="000E7F3A">
              <w:rPr>
                <w:b/>
                <w:bCs/>
              </w:rPr>
              <w:t xml:space="preserve"> </w:t>
            </w:r>
            <w:r w:rsidR="00292939" w:rsidRPr="000E7F3A">
              <w:t>(10–12 minutes)</w:t>
            </w:r>
          </w:p>
          <w:p w14:paraId="7BCF7317" w14:textId="25D037FD" w:rsidR="005A30E5" w:rsidRPr="00445C78" w:rsidRDefault="006647C1" w:rsidP="00AC4E98">
            <w:pPr>
              <w:spacing w:line="276" w:lineRule="auto"/>
            </w:pPr>
            <w:r w:rsidRPr="00445C78">
              <w:t xml:space="preserve">A representative sample of the syllabus content </w:t>
            </w:r>
            <w:r w:rsidR="003A61F2" w:rsidRPr="00445C78">
              <w:t xml:space="preserve">from Unit 3 using the examination design brief from </w:t>
            </w:r>
            <w:r w:rsidRPr="00445C78">
              <w:t>the ATAR Year 12</w:t>
            </w:r>
            <w:r w:rsidR="003A61F2" w:rsidRPr="00445C78">
              <w:t xml:space="preserve"> </w:t>
            </w:r>
            <w:r w:rsidR="0073458F" w:rsidRPr="00445C78">
              <w:t>s</w:t>
            </w:r>
            <w:r w:rsidR="003A61F2" w:rsidRPr="00445C78">
              <w:t>yllabus</w:t>
            </w:r>
            <w:r w:rsidRPr="00445C78">
              <w:t>.</w:t>
            </w:r>
          </w:p>
        </w:tc>
      </w:tr>
      <w:tr w:rsidR="00AC4E98" w:rsidRPr="00445C78" w14:paraId="08EB630A" w14:textId="77777777" w:rsidTr="00AC4E98">
        <w:trPr>
          <w:trHeight w:val="20"/>
        </w:trPr>
        <w:tc>
          <w:tcPr>
            <w:tcW w:w="456" w:type="pct"/>
            <w:vMerge/>
            <w:vAlign w:val="center"/>
          </w:tcPr>
          <w:p w14:paraId="08BC5823" w14:textId="77777777" w:rsidR="005A30E5" w:rsidRPr="00445C78" w:rsidRDefault="005A30E5" w:rsidP="00AC4E98">
            <w:pPr>
              <w:spacing w:after="0" w:line="276" w:lineRule="auto"/>
              <w:jc w:val="center"/>
            </w:pPr>
          </w:p>
        </w:tc>
        <w:tc>
          <w:tcPr>
            <w:tcW w:w="556" w:type="pct"/>
            <w:vMerge/>
            <w:vAlign w:val="center"/>
          </w:tcPr>
          <w:p w14:paraId="3C8DDAFB" w14:textId="77777777" w:rsidR="005A30E5" w:rsidRPr="00445C78" w:rsidRDefault="005A30E5" w:rsidP="00AC4E98">
            <w:pPr>
              <w:spacing w:after="0" w:line="276" w:lineRule="auto"/>
              <w:jc w:val="center"/>
            </w:pPr>
          </w:p>
        </w:tc>
        <w:tc>
          <w:tcPr>
            <w:tcW w:w="456" w:type="pct"/>
            <w:vMerge/>
            <w:vAlign w:val="center"/>
          </w:tcPr>
          <w:p w14:paraId="2916A5BA" w14:textId="77777777" w:rsidR="005A30E5" w:rsidRPr="00445C78" w:rsidRDefault="005A30E5" w:rsidP="00AC4E98">
            <w:pPr>
              <w:spacing w:after="0" w:line="276" w:lineRule="auto"/>
              <w:jc w:val="center"/>
            </w:pPr>
          </w:p>
        </w:tc>
        <w:tc>
          <w:tcPr>
            <w:tcW w:w="456" w:type="pct"/>
            <w:vAlign w:val="center"/>
          </w:tcPr>
          <w:p w14:paraId="64E0A28A" w14:textId="77777777" w:rsidR="005A30E5" w:rsidRPr="00445C78" w:rsidRDefault="005A30E5" w:rsidP="00AC4E98">
            <w:pPr>
              <w:spacing w:after="0" w:line="276" w:lineRule="auto"/>
              <w:jc w:val="center"/>
            </w:pPr>
            <w:r w:rsidRPr="00445C78">
              <w:t>25%</w:t>
            </w:r>
          </w:p>
        </w:tc>
        <w:tc>
          <w:tcPr>
            <w:tcW w:w="405" w:type="pct"/>
            <w:vAlign w:val="center"/>
          </w:tcPr>
          <w:p w14:paraId="18C87D66" w14:textId="77777777" w:rsidR="005A30E5" w:rsidRPr="00445C78" w:rsidRDefault="005A30E5" w:rsidP="00AC4E98">
            <w:pPr>
              <w:spacing w:after="0" w:line="276" w:lineRule="auto"/>
              <w:jc w:val="center"/>
            </w:pPr>
            <w:r w:rsidRPr="00445C78">
              <w:t>8.75%</w:t>
            </w:r>
          </w:p>
        </w:tc>
        <w:tc>
          <w:tcPr>
            <w:tcW w:w="506" w:type="pct"/>
          </w:tcPr>
          <w:p w14:paraId="5E7F6FCB" w14:textId="0F7392DB" w:rsidR="005A30E5" w:rsidRPr="00445C78" w:rsidRDefault="003A61F2" w:rsidP="00AC4E98">
            <w:pPr>
              <w:spacing w:after="0" w:line="276" w:lineRule="auto"/>
            </w:pPr>
            <w:r w:rsidRPr="00445C78">
              <w:t xml:space="preserve">Semester 2 </w:t>
            </w:r>
            <w:r w:rsidR="005A30E5" w:rsidRPr="00445C78">
              <w:t>Examination week</w:t>
            </w:r>
          </w:p>
        </w:tc>
        <w:tc>
          <w:tcPr>
            <w:tcW w:w="2165" w:type="pct"/>
          </w:tcPr>
          <w:p w14:paraId="59F0B25C" w14:textId="3555EA22" w:rsidR="005A30E5" w:rsidRPr="000E7F3A" w:rsidRDefault="00156660" w:rsidP="00AC4E98">
            <w:pPr>
              <w:spacing w:after="0" w:line="276" w:lineRule="auto"/>
              <w:rPr>
                <w:b/>
                <w:bCs/>
              </w:rPr>
            </w:pPr>
            <w:r w:rsidRPr="000E7F3A">
              <w:rPr>
                <w:b/>
                <w:bCs/>
              </w:rPr>
              <w:t>Task 8</w:t>
            </w:r>
            <w:r w:rsidR="003A61F2" w:rsidRPr="000E7F3A">
              <w:rPr>
                <w:b/>
                <w:bCs/>
              </w:rPr>
              <w:t>(</w:t>
            </w:r>
            <w:r w:rsidRPr="000E7F3A">
              <w:rPr>
                <w:b/>
                <w:bCs/>
              </w:rPr>
              <w:t>a</w:t>
            </w:r>
            <w:r w:rsidR="003A61F2" w:rsidRPr="000E7F3A">
              <w:rPr>
                <w:b/>
                <w:bCs/>
              </w:rPr>
              <w:t>)</w:t>
            </w:r>
            <w:r w:rsidR="005A30E5" w:rsidRPr="000E7F3A">
              <w:rPr>
                <w:b/>
                <w:bCs/>
              </w:rPr>
              <w:t>: Semester 2 practical examination</w:t>
            </w:r>
            <w:r w:rsidR="00292939" w:rsidRPr="000E7F3A">
              <w:rPr>
                <w:b/>
                <w:bCs/>
              </w:rPr>
              <w:t xml:space="preserve"> </w:t>
            </w:r>
            <w:r w:rsidR="00292939" w:rsidRPr="000E7F3A">
              <w:t>(10–12 minutes)</w:t>
            </w:r>
          </w:p>
          <w:p w14:paraId="01F757AE" w14:textId="72A936B6" w:rsidR="005A30E5" w:rsidRPr="00445C78" w:rsidRDefault="003A61F2" w:rsidP="00AC4E98">
            <w:pPr>
              <w:spacing w:line="276" w:lineRule="auto"/>
            </w:pPr>
            <w:r w:rsidRPr="00445C78">
              <w:t xml:space="preserve">A representative sample of the syllabus content from Unit 3 and Unit 4 using the examination design brief from the ATAR Year 12 </w:t>
            </w:r>
            <w:r w:rsidR="0073458F" w:rsidRPr="00445C78">
              <w:t>s</w:t>
            </w:r>
            <w:r w:rsidRPr="00445C78">
              <w:t>yllabus.</w:t>
            </w:r>
          </w:p>
        </w:tc>
      </w:tr>
      <w:tr w:rsidR="000E7F3A" w:rsidRPr="000E7F3A" w14:paraId="166B2FDC" w14:textId="77777777" w:rsidTr="00AC4E98">
        <w:trPr>
          <w:trHeight w:val="20"/>
        </w:trPr>
        <w:tc>
          <w:tcPr>
            <w:tcW w:w="456" w:type="pct"/>
            <w:shd w:val="clear" w:color="auto" w:fill="E4D8EB"/>
            <w:vAlign w:val="center"/>
          </w:tcPr>
          <w:p w14:paraId="6EEDF706" w14:textId="316CEB8A" w:rsidR="003A61F2" w:rsidRPr="000E7F3A" w:rsidRDefault="003A61F2" w:rsidP="00AC4E98">
            <w:pPr>
              <w:spacing w:after="0" w:line="276" w:lineRule="auto"/>
              <w:jc w:val="center"/>
              <w:rPr>
                <w:b/>
                <w:bCs/>
              </w:rPr>
            </w:pPr>
            <w:r w:rsidRPr="000E7F3A">
              <w:rPr>
                <w:b/>
                <w:bCs/>
              </w:rPr>
              <w:t>Total</w:t>
            </w:r>
          </w:p>
        </w:tc>
        <w:tc>
          <w:tcPr>
            <w:tcW w:w="556" w:type="pct"/>
            <w:shd w:val="clear" w:color="auto" w:fill="E4D8EB"/>
            <w:vAlign w:val="center"/>
          </w:tcPr>
          <w:p w14:paraId="3A2AA102" w14:textId="77777777" w:rsidR="003A61F2" w:rsidRPr="000E7F3A" w:rsidRDefault="003A61F2" w:rsidP="00AC4E98">
            <w:pPr>
              <w:spacing w:after="0" w:line="276" w:lineRule="auto"/>
              <w:jc w:val="center"/>
              <w:rPr>
                <w:b/>
                <w:bCs/>
              </w:rPr>
            </w:pPr>
          </w:p>
        </w:tc>
        <w:tc>
          <w:tcPr>
            <w:tcW w:w="456" w:type="pct"/>
            <w:shd w:val="clear" w:color="auto" w:fill="E4D8EB"/>
            <w:vAlign w:val="center"/>
          </w:tcPr>
          <w:p w14:paraId="106F9F13" w14:textId="60DE03D9" w:rsidR="003A61F2" w:rsidRPr="000E7F3A" w:rsidRDefault="003A61F2" w:rsidP="00AC4E98">
            <w:pPr>
              <w:spacing w:after="0" w:line="276" w:lineRule="auto"/>
              <w:jc w:val="center"/>
              <w:rPr>
                <w:b/>
                <w:bCs/>
              </w:rPr>
            </w:pPr>
            <w:r w:rsidRPr="000E7F3A">
              <w:rPr>
                <w:b/>
                <w:bCs/>
              </w:rPr>
              <w:t>100%</w:t>
            </w:r>
          </w:p>
        </w:tc>
        <w:tc>
          <w:tcPr>
            <w:tcW w:w="456" w:type="pct"/>
            <w:shd w:val="clear" w:color="auto" w:fill="E4D8EB"/>
            <w:vAlign w:val="center"/>
          </w:tcPr>
          <w:p w14:paraId="25364B1C" w14:textId="4046778B" w:rsidR="003A61F2" w:rsidRPr="000E7F3A" w:rsidRDefault="003A61F2" w:rsidP="00AC4E98">
            <w:pPr>
              <w:spacing w:after="0" w:line="276" w:lineRule="auto"/>
              <w:jc w:val="center"/>
              <w:rPr>
                <w:b/>
                <w:bCs/>
              </w:rPr>
            </w:pPr>
            <w:r w:rsidRPr="000E7F3A">
              <w:rPr>
                <w:b/>
                <w:bCs/>
              </w:rPr>
              <w:t>100%</w:t>
            </w:r>
          </w:p>
        </w:tc>
        <w:tc>
          <w:tcPr>
            <w:tcW w:w="405" w:type="pct"/>
            <w:shd w:val="clear" w:color="auto" w:fill="E4D8EB"/>
            <w:vAlign w:val="center"/>
          </w:tcPr>
          <w:p w14:paraId="2EEC3548" w14:textId="6A64F5EC" w:rsidR="003A61F2" w:rsidRPr="000E7F3A" w:rsidRDefault="003A61F2" w:rsidP="00AC4E98">
            <w:pPr>
              <w:spacing w:line="276" w:lineRule="auto"/>
              <w:jc w:val="center"/>
              <w:rPr>
                <w:b/>
                <w:bCs/>
              </w:rPr>
            </w:pPr>
            <w:r w:rsidRPr="000E7F3A">
              <w:rPr>
                <w:b/>
                <w:bCs/>
              </w:rPr>
              <w:t>35%</w:t>
            </w:r>
          </w:p>
        </w:tc>
        <w:tc>
          <w:tcPr>
            <w:tcW w:w="506" w:type="pct"/>
            <w:shd w:val="clear" w:color="auto" w:fill="E4D8EB"/>
            <w:vAlign w:val="center"/>
          </w:tcPr>
          <w:p w14:paraId="36C4E944" w14:textId="77777777" w:rsidR="003A61F2" w:rsidRPr="000E7F3A" w:rsidRDefault="003A61F2" w:rsidP="00AC4E98">
            <w:pPr>
              <w:spacing w:after="0" w:line="276" w:lineRule="auto"/>
              <w:jc w:val="center"/>
              <w:rPr>
                <w:b/>
                <w:bCs/>
              </w:rPr>
            </w:pPr>
          </w:p>
        </w:tc>
        <w:tc>
          <w:tcPr>
            <w:tcW w:w="2165" w:type="pct"/>
            <w:shd w:val="clear" w:color="auto" w:fill="E4D8EB"/>
            <w:vAlign w:val="center"/>
          </w:tcPr>
          <w:p w14:paraId="3B35B4F0" w14:textId="77777777" w:rsidR="003A61F2" w:rsidRPr="000E7F3A" w:rsidRDefault="003A61F2" w:rsidP="00AC4E98">
            <w:pPr>
              <w:spacing w:after="0" w:line="276" w:lineRule="auto"/>
              <w:jc w:val="center"/>
              <w:rPr>
                <w:b/>
                <w:bCs/>
              </w:rPr>
            </w:pPr>
          </w:p>
        </w:tc>
      </w:tr>
    </w:tbl>
    <w:p w14:paraId="0BBE6A7B" w14:textId="77777777" w:rsidR="0073458F" w:rsidRPr="00151E75" w:rsidRDefault="0073458F">
      <w:pPr>
        <w:rPr>
          <w:rFonts w:cstheme="minorHAnsi"/>
          <w:sz w:val="20"/>
          <w:szCs w:val="20"/>
        </w:rPr>
      </w:pPr>
      <w:r w:rsidRPr="00151E75">
        <w:rPr>
          <w:rFonts w:cstheme="minorHAnsi"/>
          <w:sz w:val="20"/>
          <w:szCs w:val="20"/>
        </w:rPr>
        <w:br w:type="page"/>
      </w:r>
    </w:p>
    <w:tbl>
      <w:tblPr>
        <w:tblStyle w:val="SCSATable"/>
        <w:tblW w:w="4996" w:type="pct"/>
        <w:tblInd w:w="5" w:type="dxa"/>
        <w:tblLayout w:type="fixed"/>
        <w:tblLook w:val="04A0" w:firstRow="1" w:lastRow="0" w:firstColumn="1" w:lastColumn="0" w:noHBand="0" w:noVBand="1"/>
      </w:tblPr>
      <w:tblGrid>
        <w:gridCol w:w="1271"/>
        <w:gridCol w:w="1560"/>
        <w:gridCol w:w="1277"/>
        <w:gridCol w:w="1276"/>
        <w:gridCol w:w="1133"/>
        <w:gridCol w:w="1276"/>
        <w:gridCol w:w="6198"/>
      </w:tblGrid>
      <w:tr w:rsidR="000E7F3A" w:rsidRPr="000E7F3A" w14:paraId="4CA53F73" w14:textId="77777777" w:rsidTr="000E7F3A">
        <w:trPr>
          <w:cnfStyle w:val="100000000000" w:firstRow="1" w:lastRow="0" w:firstColumn="0" w:lastColumn="0" w:oddVBand="0" w:evenVBand="0" w:oddHBand="0" w:evenHBand="0" w:firstRowFirstColumn="0" w:firstRowLastColumn="0" w:lastRowFirstColumn="0" w:lastRowLastColumn="0"/>
          <w:trHeight w:val="20"/>
        </w:trPr>
        <w:tc>
          <w:tcPr>
            <w:tcW w:w="454" w:type="pct"/>
            <w:vAlign w:val="center"/>
            <w:hideMark/>
          </w:tcPr>
          <w:p w14:paraId="33296611" w14:textId="77777777" w:rsidR="0073458F" w:rsidRPr="000E7F3A" w:rsidRDefault="0073458F" w:rsidP="00AC4E98">
            <w:pPr>
              <w:spacing w:after="0" w:line="276" w:lineRule="auto"/>
              <w:jc w:val="center"/>
            </w:pPr>
            <w:r w:rsidRPr="000E7F3A">
              <w:lastRenderedPageBreak/>
              <w:t>Assessment component</w:t>
            </w:r>
          </w:p>
        </w:tc>
        <w:tc>
          <w:tcPr>
            <w:tcW w:w="557" w:type="pct"/>
            <w:vAlign w:val="center"/>
          </w:tcPr>
          <w:p w14:paraId="563D6E78" w14:textId="7E25CFC6" w:rsidR="0073458F" w:rsidRPr="000E7F3A" w:rsidRDefault="0073458F" w:rsidP="00AC4E98">
            <w:pPr>
              <w:spacing w:after="0" w:line="276" w:lineRule="auto"/>
              <w:jc w:val="center"/>
            </w:pPr>
            <w:r w:rsidRPr="000E7F3A">
              <w:t>Assessment type</w:t>
            </w:r>
          </w:p>
        </w:tc>
        <w:tc>
          <w:tcPr>
            <w:tcW w:w="456" w:type="pct"/>
            <w:vAlign w:val="center"/>
          </w:tcPr>
          <w:p w14:paraId="0DC3D8B3" w14:textId="0F4C5356" w:rsidR="0073458F" w:rsidRPr="000E7F3A" w:rsidRDefault="0073458F" w:rsidP="00AC4E98">
            <w:pPr>
              <w:spacing w:after="0" w:line="276" w:lineRule="auto"/>
              <w:jc w:val="center"/>
            </w:pPr>
            <w:r w:rsidRPr="000E7F3A">
              <w:t xml:space="preserve">Assessment </w:t>
            </w:r>
            <w:r w:rsidRPr="000E7F3A">
              <w:br/>
              <w:t xml:space="preserve">type </w:t>
            </w:r>
            <w:r w:rsidR="00AC4E98">
              <w:t>w</w:t>
            </w:r>
            <w:r w:rsidRPr="000E7F3A">
              <w:t>eighting</w:t>
            </w:r>
          </w:p>
        </w:tc>
        <w:tc>
          <w:tcPr>
            <w:tcW w:w="456" w:type="pct"/>
            <w:vAlign w:val="center"/>
          </w:tcPr>
          <w:p w14:paraId="2D5CFC1B" w14:textId="77777777" w:rsidR="0073458F" w:rsidRPr="000E7F3A" w:rsidRDefault="0073458F" w:rsidP="00AC4E98">
            <w:pPr>
              <w:spacing w:after="0" w:line="276" w:lineRule="auto"/>
              <w:jc w:val="center"/>
            </w:pPr>
            <w:r w:rsidRPr="000E7F3A">
              <w:t>Assessment</w:t>
            </w:r>
          </w:p>
          <w:p w14:paraId="634070AC" w14:textId="77777777" w:rsidR="0073458F" w:rsidRPr="000E7F3A" w:rsidRDefault="0073458F" w:rsidP="00AC4E98">
            <w:pPr>
              <w:spacing w:after="0" w:line="276" w:lineRule="auto"/>
              <w:jc w:val="center"/>
            </w:pPr>
            <w:r w:rsidRPr="000E7F3A">
              <w:t>task</w:t>
            </w:r>
          </w:p>
          <w:p w14:paraId="3A2F60A9" w14:textId="77777777" w:rsidR="0073458F" w:rsidRPr="000E7F3A" w:rsidRDefault="0073458F" w:rsidP="00AC4E98">
            <w:pPr>
              <w:spacing w:after="0" w:line="276" w:lineRule="auto"/>
              <w:jc w:val="center"/>
            </w:pPr>
            <w:r w:rsidRPr="000E7F3A">
              <w:t>weighting</w:t>
            </w:r>
          </w:p>
        </w:tc>
        <w:tc>
          <w:tcPr>
            <w:tcW w:w="405" w:type="pct"/>
            <w:vAlign w:val="center"/>
          </w:tcPr>
          <w:p w14:paraId="469BF5A2" w14:textId="5E2D4E67" w:rsidR="0073458F" w:rsidRPr="000E7F3A" w:rsidRDefault="0073458F" w:rsidP="00AC4E98">
            <w:pPr>
              <w:spacing w:after="0" w:line="276" w:lineRule="auto"/>
              <w:jc w:val="center"/>
            </w:pPr>
            <w:r w:rsidRPr="000E7F3A">
              <w:t>Weighting for combined</w:t>
            </w:r>
          </w:p>
          <w:p w14:paraId="682B1134" w14:textId="77777777" w:rsidR="0073458F" w:rsidRPr="000E7F3A" w:rsidRDefault="0073458F" w:rsidP="00AC4E98">
            <w:pPr>
              <w:spacing w:line="276" w:lineRule="auto"/>
              <w:jc w:val="center"/>
            </w:pPr>
            <w:r w:rsidRPr="000E7F3A">
              <w:t>mark</w:t>
            </w:r>
          </w:p>
        </w:tc>
        <w:tc>
          <w:tcPr>
            <w:tcW w:w="456" w:type="pct"/>
            <w:vAlign w:val="center"/>
          </w:tcPr>
          <w:p w14:paraId="573FF16C" w14:textId="77777777" w:rsidR="0073458F" w:rsidRPr="000E7F3A" w:rsidRDefault="0073458F" w:rsidP="00AC4E98">
            <w:pPr>
              <w:spacing w:after="0" w:line="276" w:lineRule="auto"/>
              <w:jc w:val="center"/>
            </w:pPr>
            <w:r w:rsidRPr="000E7F3A">
              <w:t>When</w:t>
            </w:r>
          </w:p>
        </w:tc>
        <w:tc>
          <w:tcPr>
            <w:tcW w:w="2215" w:type="pct"/>
            <w:vAlign w:val="center"/>
            <w:hideMark/>
          </w:tcPr>
          <w:p w14:paraId="4B1DADE6" w14:textId="77777777" w:rsidR="0073458F" w:rsidRPr="000E7F3A" w:rsidRDefault="0073458F" w:rsidP="00AC4E98">
            <w:pPr>
              <w:spacing w:after="0" w:line="276" w:lineRule="auto"/>
              <w:jc w:val="center"/>
            </w:pPr>
            <w:r w:rsidRPr="000E7F3A">
              <w:t>Assessment task</w:t>
            </w:r>
          </w:p>
        </w:tc>
      </w:tr>
      <w:tr w:rsidR="000E7F3A" w:rsidRPr="000E7F3A" w14:paraId="7E5CE398" w14:textId="77777777" w:rsidTr="000E7F3A">
        <w:trPr>
          <w:trHeight w:val="20"/>
        </w:trPr>
        <w:tc>
          <w:tcPr>
            <w:tcW w:w="454" w:type="pct"/>
            <w:vMerge w:val="restart"/>
            <w:vAlign w:val="center"/>
          </w:tcPr>
          <w:p w14:paraId="7A7FF205" w14:textId="267761A2" w:rsidR="0073458F" w:rsidRPr="000E7F3A" w:rsidRDefault="0073458F" w:rsidP="00AC4E98">
            <w:pPr>
              <w:spacing w:after="0" w:line="276" w:lineRule="auto"/>
              <w:jc w:val="center"/>
            </w:pPr>
            <w:r w:rsidRPr="000E7F3A">
              <w:t>Written</w:t>
            </w:r>
          </w:p>
        </w:tc>
        <w:tc>
          <w:tcPr>
            <w:tcW w:w="557" w:type="pct"/>
            <w:vMerge w:val="restart"/>
            <w:vAlign w:val="center"/>
          </w:tcPr>
          <w:p w14:paraId="4CE93A8C" w14:textId="0B25A4BB" w:rsidR="0073458F" w:rsidRPr="000E7F3A" w:rsidRDefault="0073458F" w:rsidP="00AC4E98">
            <w:pPr>
              <w:spacing w:after="0" w:line="276" w:lineRule="auto"/>
              <w:jc w:val="center"/>
            </w:pPr>
            <w:r w:rsidRPr="000E7F3A">
              <w:t>Responding to</w:t>
            </w:r>
          </w:p>
          <w:p w14:paraId="1974A274" w14:textId="2A77FDA1" w:rsidR="0073458F" w:rsidRPr="000E7F3A" w:rsidRDefault="0073458F" w:rsidP="00AC4E98">
            <w:pPr>
              <w:spacing w:after="0" w:line="276" w:lineRule="auto"/>
              <w:jc w:val="center"/>
            </w:pPr>
            <w:r w:rsidRPr="000E7F3A">
              <w:t>texts</w:t>
            </w:r>
          </w:p>
        </w:tc>
        <w:tc>
          <w:tcPr>
            <w:tcW w:w="456" w:type="pct"/>
            <w:vMerge w:val="restart"/>
            <w:vAlign w:val="center"/>
          </w:tcPr>
          <w:p w14:paraId="2A8900B4" w14:textId="5849CB20" w:rsidR="0073458F" w:rsidRPr="000E7F3A" w:rsidRDefault="0073458F" w:rsidP="00AC4E98">
            <w:pPr>
              <w:spacing w:after="0" w:line="276" w:lineRule="auto"/>
              <w:jc w:val="center"/>
            </w:pPr>
            <w:r w:rsidRPr="000E7F3A">
              <w:t>30%</w:t>
            </w:r>
          </w:p>
        </w:tc>
        <w:tc>
          <w:tcPr>
            <w:tcW w:w="456" w:type="pct"/>
            <w:vAlign w:val="center"/>
          </w:tcPr>
          <w:p w14:paraId="64ECB495" w14:textId="220268F6" w:rsidR="0073458F" w:rsidRPr="000E7F3A" w:rsidRDefault="0073458F" w:rsidP="00AC4E98">
            <w:pPr>
              <w:spacing w:after="0" w:line="276" w:lineRule="auto"/>
              <w:jc w:val="center"/>
            </w:pPr>
            <w:r w:rsidRPr="000E7F3A">
              <w:t>15%</w:t>
            </w:r>
          </w:p>
        </w:tc>
        <w:tc>
          <w:tcPr>
            <w:tcW w:w="405" w:type="pct"/>
            <w:vAlign w:val="center"/>
          </w:tcPr>
          <w:p w14:paraId="67D8A4FF" w14:textId="51817324" w:rsidR="0073458F" w:rsidRPr="000E7F3A" w:rsidRDefault="0073458F" w:rsidP="00AC4E98">
            <w:pPr>
              <w:spacing w:after="0" w:line="276" w:lineRule="auto"/>
              <w:jc w:val="center"/>
            </w:pPr>
            <w:r w:rsidRPr="000E7F3A">
              <w:t>9.75%</w:t>
            </w:r>
          </w:p>
        </w:tc>
        <w:tc>
          <w:tcPr>
            <w:tcW w:w="456" w:type="pct"/>
          </w:tcPr>
          <w:p w14:paraId="6E2B1ABF" w14:textId="77777777" w:rsidR="0073458F" w:rsidRPr="000E7F3A" w:rsidRDefault="0073458F" w:rsidP="00AC4E98">
            <w:pPr>
              <w:spacing w:after="0" w:line="276" w:lineRule="auto"/>
            </w:pPr>
            <w:r w:rsidRPr="000E7F3A">
              <w:t>Semester 1</w:t>
            </w:r>
          </w:p>
          <w:p w14:paraId="6C8850D2" w14:textId="06ADF618" w:rsidR="0073458F" w:rsidRPr="000E7F3A" w:rsidRDefault="0073458F" w:rsidP="00AC4E98">
            <w:pPr>
              <w:spacing w:after="0" w:line="276" w:lineRule="auto"/>
            </w:pPr>
            <w:r w:rsidRPr="000E7F3A">
              <w:t>Week 5</w:t>
            </w:r>
          </w:p>
        </w:tc>
        <w:tc>
          <w:tcPr>
            <w:tcW w:w="2215" w:type="pct"/>
          </w:tcPr>
          <w:p w14:paraId="5AC6AEFD" w14:textId="615F0B98" w:rsidR="0073458F" w:rsidRPr="00AC4E98" w:rsidRDefault="0073458F" w:rsidP="00AC4E98">
            <w:pPr>
              <w:spacing w:after="0" w:line="276" w:lineRule="auto"/>
              <w:rPr>
                <w:b/>
                <w:bCs/>
              </w:rPr>
            </w:pPr>
            <w:r w:rsidRPr="00AC4E98">
              <w:rPr>
                <w:b/>
                <w:bCs/>
              </w:rPr>
              <w:t>Task 1: Making choices</w:t>
            </w:r>
          </w:p>
          <w:p w14:paraId="1976D1D7" w14:textId="58023D55" w:rsidR="0073458F" w:rsidRPr="000E7F3A" w:rsidRDefault="0073458F" w:rsidP="00AC4E98">
            <w:pPr>
              <w:spacing w:line="276" w:lineRule="auto"/>
            </w:pPr>
            <w:r w:rsidRPr="000E7F3A">
              <w:t>Listen, read and view texts in Indonesian and respond to questions in Indonesian or English</w:t>
            </w:r>
            <w:r w:rsidR="00751CE6">
              <w:t>, as specified in the question</w:t>
            </w:r>
            <w:r w:rsidRPr="000E7F3A">
              <w:t>.</w:t>
            </w:r>
          </w:p>
        </w:tc>
      </w:tr>
      <w:tr w:rsidR="000E7F3A" w:rsidRPr="000E7F3A" w14:paraId="089E90A7" w14:textId="77777777" w:rsidTr="000E7F3A">
        <w:trPr>
          <w:trHeight w:val="20"/>
        </w:trPr>
        <w:tc>
          <w:tcPr>
            <w:tcW w:w="454" w:type="pct"/>
            <w:vMerge/>
            <w:vAlign w:val="center"/>
          </w:tcPr>
          <w:p w14:paraId="4C942ACA" w14:textId="77777777" w:rsidR="0073458F" w:rsidRPr="000E7F3A" w:rsidRDefault="0073458F" w:rsidP="00AC4E98">
            <w:pPr>
              <w:spacing w:after="0" w:line="276" w:lineRule="auto"/>
              <w:jc w:val="center"/>
            </w:pPr>
          </w:p>
        </w:tc>
        <w:tc>
          <w:tcPr>
            <w:tcW w:w="557" w:type="pct"/>
            <w:vMerge/>
            <w:vAlign w:val="center"/>
          </w:tcPr>
          <w:p w14:paraId="6B3A68DD" w14:textId="77777777" w:rsidR="0073458F" w:rsidRPr="000E7F3A" w:rsidRDefault="0073458F" w:rsidP="00AC4E98">
            <w:pPr>
              <w:spacing w:after="0" w:line="276" w:lineRule="auto"/>
              <w:jc w:val="center"/>
            </w:pPr>
          </w:p>
        </w:tc>
        <w:tc>
          <w:tcPr>
            <w:tcW w:w="456" w:type="pct"/>
            <w:vMerge/>
            <w:vAlign w:val="center"/>
          </w:tcPr>
          <w:p w14:paraId="3AD5CC30" w14:textId="77777777" w:rsidR="0073458F" w:rsidRPr="000E7F3A" w:rsidRDefault="0073458F" w:rsidP="00AC4E98">
            <w:pPr>
              <w:spacing w:after="0" w:line="276" w:lineRule="auto"/>
              <w:jc w:val="center"/>
            </w:pPr>
          </w:p>
        </w:tc>
        <w:tc>
          <w:tcPr>
            <w:tcW w:w="456" w:type="pct"/>
            <w:vAlign w:val="center"/>
          </w:tcPr>
          <w:p w14:paraId="3707287A" w14:textId="4E5F9122" w:rsidR="0073458F" w:rsidRPr="000E7F3A" w:rsidRDefault="0073458F" w:rsidP="00AC4E98">
            <w:pPr>
              <w:spacing w:after="0" w:line="276" w:lineRule="auto"/>
              <w:jc w:val="center"/>
            </w:pPr>
            <w:r w:rsidRPr="000E7F3A">
              <w:t>15%</w:t>
            </w:r>
          </w:p>
        </w:tc>
        <w:tc>
          <w:tcPr>
            <w:tcW w:w="405" w:type="pct"/>
            <w:vAlign w:val="center"/>
          </w:tcPr>
          <w:p w14:paraId="28A89E66" w14:textId="434FAB8E" w:rsidR="0073458F" w:rsidRPr="000E7F3A" w:rsidRDefault="0073458F" w:rsidP="00AC4E98">
            <w:pPr>
              <w:spacing w:after="0" w:line="276" w:lineRule="auto"/>
              <w:jc w:val="center"/>
            </w:pPr>
            <w:r w:rsidRPr="000E7F3A">
              <w:t>9.75%</w:t>
            </w:r>
          </w:p>
        </w:tc>
        <w:tc>
          <w:tcPr>
            <w:tcW w:w="456" w:type="pct"/>
          </w:tcPr>
          <w:p w14:paraId="62753722" w14:textId="77777777" w:rsidR="0073458F" w:rsidRPr="000E7F3A" w:rsidRDefault="0073458F" w:rsidP="00AC4E98">
            <w:pPr>
              <w:spacing w:after="0" w:line="276" w:lineRule="auto"/>
            </w:pPr>
            <w:r w:rsidRPr="000E7F3A">
              <w:t>Semester 2</w:t>
            </w:r>
          </w:p>
          <w:p w14:paraId="684A7B3B" w14:textId="45D0F74E" w:rsidR="0073458F" w:rsidRPr="000E7F3A" w:rsidRDefault="0073458F" w:rsidP="00AC4E98">
            <w:pPr>
              <w:spacing w:after="0" w:line="276" w:lineRule="auto"/>
            </w:pPr>
            <w:r w:rsidRPr="000E7F3A">
              <w:t>Week 14</w:t>
            </w:r>
          </w:p>
        </w:tc>
        <w:tc>
          <w:tcPr>
            <w:tcW w:w="2215" w:type="pct"/>
          </w:tcPr>
          <w:p w14:paraId="7CAC5103" w14:textId="77777777" w:rsidR="0073458F" w:rsidRPr="00AC4E98" w:rsidRDefault="0073458F" w:rsidP="00AC4E98">
            <w:pPr>
              <w:spacing w:after="0" w:line="276" w:lineRule="auto"/>
              <w:rPr>
                <w:b/>
                <w:bCs/>
              </w:rPr>
            </w:pPr>
            <w:r w:rsidRPr="00AC4E98">
              <w:rPr>
                <w:b/>
                <w:bCs/>
              </w:rPr>
              <w:t>Task 7: Current global issues</w:t>
            </w:r>
          </w:p>
          <w:p w14:paraId="4F79A43D" w14:textId="68F7DAEA" w:rsidR="0073458F" w:rsidRPr="000E7F3A" w:rsidRDefault="0073458F" w:rsidP="00AC4E98">
            <w:pPr>
              <w:spacing w:line="276" w:lineRule="auto"/>
            </w:pPr>
            <w:r w:rsidRPr="000E7F3A">
              <w:t xml:space="preserve">Listen, read and view texts in Indonesian and respond </w:t>
            </w:r>
            <w:r w:rsidR="00751CE6">
              <w:t xml:space="preserve">to questions </w:t>
            </w:r>
            <w:r w:rsidRPr="000E7F3A">
              <w:t>in Indonesian or English, as specified</w:t>
            </w:r>
            <w:r w:rsidR="00751CE6">
              <w:t xml:space="preserve"> in the question</w:t>
            </w:r>
            <w:r w:rsidRPr="000E7F3A">
              <w:t>.</w:t>
            </w:r>
          </w:p>
        </w:tc>
      </w:tr>
      <w:tr w:rsidR="000E7F3A" w:rsidRPr="000E7F3A" w14:paraId="59D0D104" w14:textId="77777777" w:rsidTr="000E7F3A">
        <w:trPr>
          <w:trHeight w:val="20"/>
        </w:trPr>
        <w:tc>
          <w:tcPr>
            <w:tcW w:w="454" w:type="pct"/>
            <w:vMerge/>
            <w:vAlign w:val="center"/>
          </w:tcPr>
          <w:p w14:paraId="6BA80114" w14:textId="77777777" w:rsidR="0073458F" w:rsidRPr="000E7F3A" w:rsidRDefault="0073458F" w:rsidP="00AC4E98">
            <w:pPr>
              <w:spacing w:after="0" w:line="276" w:lineRule="auto"/>
              <w:jc w:val="center"/>
            </w:pPr>
          </w:p>
        </w:tc>
        <w:tc>
          <w:tcPr>
            <w:tcW w:w="557" w:type="pct"/>
            <w:vMerge w:val="restart"/>
            <w:vAlign w:val="center"/>
          </w:tcPr>
          <w:p w14:paraId="273E5B92" w14:textId="753170ED" w:rsidR="0073458F" w:rsidRPr="000E7F3A" w:rsidRDefault="0073458F" w:rsidP="00AC4E98">
            <w:pPr>
              <w:spacing w:after="0" w:line="276" w:lineRule="auto"/>
              <w:jc w:val="center"/>
            </w:pPr>
            <w:r w:rsidRPr="000E7F3A">
              <w:t>Written communication</w:t>
            </w:r>
          </w:p>
        </w:tc>
        <w:tc>
          <w:tcPr>
            <w:tcW w:w="456" w:type="pct"/>
            <w:vMerge w:val="restart"/>
            <w:vAlign w:val="center"/>
          </w:tcPr>
          <w:p w14:paraId="1E4BBAE5" w14:textId="04C63D98" w:rsidR="0073458F" w:rsidRPr="000E7F3A" w:rsidRDefault="0073458F" w:rsidP="00AC4E98">
            <w:pPr>
              <w:spacing w:after="0" w:line="276" w:lineRule="auto"/>
              <w:jc w:val="center"/>
            </w:pPr>
            <w:r w:rsidRPr="000E7F3A">
              <w:t>20%</w:t>
            </w:r>
          </w:p>
        </w:tc>
        <w:tc>
          <w:tcPr>
            <w:tcW w:w="456" w:type="pct"/>
            <w:vAlign w:val="center"/>
          </w:tcPr>
          <w:p w14:paraId="5A4DA846" w14:textId="4435AFAF" w:rsidR="0073458F" w:rsidRPr="000E7F3A" w:rsidRDefault="0073458F" w:rsidP="00AC4E98">
            <w:pPr>
              <w:spacing w:after="0" w:line="276" w:lineRule="auto"/>
              <w:jc w:val="center"/>
            </w:pPr>
            <w:r w:rsidRPr="000E7F3A">
              <w:t>10%</w:t>
            </w:r>
          </w:p>
        </w:tc>
        <w:tc>
          <w:tcPr>
            <w:tcW w:w="405" w:type="pct"/>
            <w:vAlign w:val="center"/>
          </w:tcPr>
          <w:p w14:paraId="703D7166" w14:textId="5AA1A0A4" w:rsidR="0073458F" w:rsidRPr="000E7F3A" w:rsidRDefault="0073458F" w:rsidP="00AC4E98">
            <w:pPr>
              <w:spacing w:after="0" w:line="276" w:lineRule="auto"/>
              <w:jc w:val="center"/>
            </w:pPr>
            <w:r w:rsidRPr="000E7F3A">
              <w:t>6.5%</w:t>
            </w:r>
          </w:p>
        </w:tc>
        <w:tc>
          <w:tcPr>
            <w:tcW w:w="456" w:type="pct"/>
          </w:tcPr>
          <w:p w14:paraId="059CAC24" w14:textId="77777777" w:rsidR="0073458F" w:rsidRPr="000E7F3A" w:rsidRDefault="0073458F" w:rsidP="00AC4E98">
            <w:pPr>
              <w:spacing w:after="0" w:line="276" w:lineRule="auto"/>
            </w:pPr>
            <w:r w:rsidRPr="000E7F3A">
              <w:t>Semester 1</w:t>
            </w:r>
          </w:p>
          <w:p w14:paraId="00344C72" w14:textId="66849E84" w:rsidR="0073458F" w:rsidRPr="000E7F3A" w:rsidRDefault="0073458F" w:rsidP="00AC4E98">
            <w:pPr>
              <w:spacing w:after="0" w:line="276" w:lineRule="auto"/>
            </w:pPr>
            <w:r w:rsidRPr="000E7F3A">
              <w:t>Week 10</w:t>
            </w:r>
          </w:p>
        </w:tc>
        <w:tc>
          <w:tcPr>
            <w:tcW w:w="2215" w:type="pct"/>
          </w:tcPr>
          <w:p w14:paraId="08C22C10" w14:textId="77777777" w:rsidR="0073458F" w:rsidRPr="00AC4E98" w:rsidRDefault="0073458F" w:rsidP="00AC4E98">
            <w:pPr>
              <w:spacing w:after="0" w:line="276" w:lineRule="auto"/>
              <w:rPr>
                <w:b/>
                <w:bCs/>
              </w:rPr>
            </w:pPr>
            <w:r w:rsidRPr="00AC4E98">
              <w:rPr>
                <w:b/>
                <w:bCs/>
              </w:rPr>
              <w:t>Task 2: Culture and the arts</w:t>
            </w:r>
          </w:p>
          <w:p w14:paraId="71656496" w14:textId="1C2109D4" w:rsidR="0073458F" w:rsidRPr="000E7F3A" w:rsidRDefault="0073458F" w:rsidP="00AC4E98">
            <w:pPr>
              <w:spacing w:line="276" w:lineRule="auto"/>
            </w:pPr>
            <w:r w:rsidRPr="000E7F3A">
              <w:t>Write an informative article of approximately 300 words in Indonesian.</w:t>
            </w:r>
          </w:p>
        </w:tc>
      </w:tr>
      <w:tr w:rsidR="000E7F3A" w:rsidRPr="000E7F3A" w14:paraId="33E0FAE8" w14:textId="77777777" w:rsidTr="000E7F3A">
        <w:trPr>
          <w:trHeight w:val="20"/>
        </w:trPr>
        <w:tc>
          <w:tcPr>
            <w:tcW w:w="454" w:type="pct"/>
            <w:vMerge/>
            <w:vAlign w:val="center"/>
          </w:tcPr>
          <w:p w14:paraId="41A67757" w14:textId="77777777" w:rsidR="0073458F" w:rsidRPr="000E7F3A" w:rsidRDefault="0073458F" w:rsidP="00AC4E98">
            <w:pPr>
              <w:spacing w:after="0" w:line="276" w:lineRule="auto"/>
              <w:jc w:val="center"/>
            </w:pPr>
          </w:p>
        </w:tc>
        <w:tc>
          <w:tcPr>
            <w:tcW w:w="557" w:type="pct"/>
            <w:vMerge/>
            <w:vAlign w:val="center"/>
          </w:tcPr>
          <w:p w14:paraId="2A3D0D83" w14:textId="77777777" w:rsidR="0073458F" w:rsidRPr="000E7F3A" w:rsidRDefault="0073458F" w:rsidP="00AC4E98">
            <w:pPr>
              <w:spacing w:after="0" w:line="276" w:lineRule="auto"/>
              <w:jc w:val="center"/>
            </w:pPr>
          </w:p>
        </w:tc>
        <w:tc>
          <w:tcPr>
            <w:tcW w:w="456" w:type="pct"/>
            <w:vMerge/>
            <w:vAlign w:val="center"/>
          </w:tcPr>
          <w:p w14:paraId="033C2A51" w14:textId="77777777" w:rsidR="0073458F" w:rsidRPr="000E7F3A" w:rsidRDefault="0073458F" w:rsidP="00AC4E98">
            <w:pPr>
              <w:spacing w:after="0" w:line="276" w:lineRule="auto"/>
              <w:jc w:val="center"/>
            </w:pPr>
          </w:p>
        </w:tc>
        <w:tc>
          <w:tcPr>
            <w:tcW w:w="456" w:type="pct"/>
            <w:vAlign w:val="center"/>
          </w:tcPr>
          <w:p w14:paraId="36302318" w14:textId="3A82BD58" w:rsidR="0073458F" w:rsidRPr="000E7F3A" w:rsidRDefault="0073458F" w:rsidP="00AC4E98">
            <w:pPr>
              <w:spacing w:after="0" w:line="276" w:lineRule="auto"/>
              <w:jc w:val="center"/>
            </w:pPr>
            <w:r w:rsidRPr="000E7F3A">
              <w:t>10%</w:t>
            </w:r>
          </w:p>
        </w:tc>
        <w:tc>
          <w:tcPr>
            <w:tcW w:w="405" w:type="pct"/>
            <w:vAlign w:val="center"/>
          </w:tcPr>
          <w:p w14:paraId="6FBF1600" w14:textId="44A69CB4" w:rsidR="0073458F" w:rsidRPr="000E7F3A" w:rsidRDefault="0073458F" w:rsidP="00AC4E98">
            <w:pPr>
              <w:spacing w:after="0" w:line="276" w:lineRule="auto"/>
              <w:jc w:val="center"/>
            </w:pPr>
            <w:r w:rsidRPr="000E7F3A">
              <w:t>6.5%</w:t>
            </w:r>
          </w:p>
        </w:tc>
        <w:tc>
          <w:tcPr>
            <w:tcW w:w="456" w:type="pct"/>
          </w:tcPr>
          <w:p w14:paraId="46D68706" w14:textId="77777777" w:rsidR="0073458F" w:rsidRPr="000E7F3A" w:rsidRDefault="0073458F" w:rsidP="00AC4E98">
            <w:pPr>
              <w:spacing w:after="0" w:line="276" w:lineRule="auto"/>
            </w:pPr>
            <w:r w:rsidRPr="000E7F3A">
              <w:t>Semester 2</w:t>
            </w:r>
          </w:p>
          <w:p w14:paraId="10BBFD62" w14:textId="2F06BEA8" w:rsidR="0073458F" w:rsidRPr="000E7F3A" w:rsidRDefault="0073458F" w:rsidP="00AC4E98">
            <w:pPr>
              <w:spacing w:after="0" w:line="276" w:lineRule="auto"/>
            </w:pPr>
            <w:r w:rsidRPr="000E7F3A">
              <w:t>Week 5</w:t>
            </w:r>
          </w:p>
        </w:tc>
        <w:tc>
          <w:tcPr>
            <w:tcW w:w="2215" w:type="pct"/>
          </w:tcPr>
          <w:p w14:paraId="30CD05D4" w14:textId="77777777" w:rsidR="0073458F" w:rsidRPr="00AC4E98" w:rsidRDefault="0073458F" w:rsidP="00AC4E98">
            <w:pPr>
              <w:spacing w:after="0" w:line="276" w:lineRule="auto"/>
              <w:rPr>
                <w:b/>
                <w:bCs/>
              </w:rPr>
            </w:pPr>
            <w:r w:rsidRPr="00AC4E98">
              <w:rPr>
                <w:b/>
                <w:bCs/>
              </w:rPr>
              <w:t xml:space="preserve">Task 5: </w:t>
            </w:r>
            <w:proofErr w:type="gramStart"/>
            <w:r w:rsidRPr="00AC4E98">
              <w:rPr>
                <w:b/>
                <w:bCs/>
              </w:rPr>
              <w:t>Making a contribution</w:t>
            </w:r>
            <w:proofErr w:type="gramEnd"/>
          </w:p>
          <w:p w14:paraId="16F443FD" w14:textId="446564D7" w:rsidR="0073458F" w:rsidRPr="000E7F3A" w:rsidRDefault="0073458F" w:rsidP="00AC4E98">
            <w:pPr>
              <w:spacing w:line="276" w:lineRule="auto"/>
            </w:pPr>
            <w:r w:rsidRPr="000E7F3A">
              <w:t>Write a personal letter/email of approximately 350 words in Indonesian.</w:t>
            </w:r>
          </w:p>
        </w:tc>
      </w:tr>
      <w:tr w:rsidR="000E7F3A" w:rsidRPr="000E7F3A" w14:paraId="5168157D" w14:textId="77777777" w:rsidTr="000E7F3A">
        <w:trPr>
          <w:trHeight w:val="20"/>
        </w:trPr>
        <w:tc>
          <w:tcPr>
            <w:tcW w:w="454" w:type="pct"/>
            <w:vMerge/>
            <w:vAlign w:val="center"/>
          </w:tcPr>
          <w:p w14:paraId="46201E00" w14:textId="77777777" w:rsidR="0073458F" w:rsidRPr="000E7F3A" w:rsidRDefault="0073458F" w:rsidP="00AC4E98">
            <w:pPr>
              <w:spacing w:after="0" w:line="276" w:lineRule="auto"/>
              <w:jc w:val="center"/>
            </w:pPr>
          </w:p>
        </w:tc>
        <w:tc>
          <w:tcPr>
            <w:tcW w:w="557" w:type="pct"/>
            <w:vMerge w:val="restart"/>
            <w:vAlign w:val="center"/>
          </w:tcPr>
          <w:p w14:paraId="00DA693F" w14:textId="77777777" w:rsidR="0073458F" w:rsidRPr="000E7F3A" w:rsidRDefault="0073458F" w:rsidP="00AC4E98">
            <w:pPr>
              <w:spacing w:after="0" w:line="276" w:lineRule="auto"/>
              <w:jc w:val="center"/>
            </w:pPr>
            <w:r w:rsidRPr="000E7F3A">
              <w:t>Written</w:t>
            </w:r>
          </w:p>
          <w:p w14:paraId="592BBCD7" w14:textId="560440E5" w:rsidR="0073458F" w:rsidRPr="000E7F3A" w:rsidRDefault="0073458F" w:rsidP="00AC4E98">
            <w:pPr>
              <w:spacing w:after="0" w:line="276" w:lineRule="auto"/>
              <w:jc w:val="center"/>
            </w:pPr>
            <w:r w:rsidRPr="000E7F3A">
              <w:t>examination</w:t>
            </w:r>
          </w:p>
        </w:tc>
        <w:tc>
          <w:tcPr>
            <w:tcW w:w="456" w:type="pct"/>
            <w:vMerge w:val="restart"/>
            <w:vAlign w:val="center"/>
          </w:tcPr>
          <w:p w14:paraId="7DF871F2" w14:textId="7C3A7512" w:rsidR="0073458F" w:rsidRPr="000E7F3A" w:rsidRDefault="0073458F" w:rsidP="00AC4E98">
            <w:pPr>
              <w:spacing w:after="0" w:line="276" w:lineRule="auto"/>
              <w:jc w:val="center"/>
            </w:pPr>
            <w:r w:rsidRPr="000E7F3A">
              <w:t>50%</w:t>
            </w:r>
          </w:p>
        </w:tc>
        <w:tc>
          <w:tcPr>
            <w:tcW w:w="456" w:type="pct"/>
            <w:vAlign w:val="center"/>
          </w:tcPr>
          <w:p w14:paraId="3F385C0E" w14:textId="69AA1DB6" w:rsidR="0073458F" w:rsidRPr="000E7F3A" w:rsidRDefault="0073458F" w:rsidP="00AC4E98">
            <w:pPr>
              <w:spacing w:after="0" w:line="276" w:lineRule="auto"/>
              <w:jc w:val="center"/>
            </w:pPr>
            <w:r w:rsidRPr="000E7F3A">
              <w:t>20%</w:t>
            </w:r>
          </w:p>
        </w:tc>
        <w:tc>
          <w:tcPr>
            <w:tcW w:w="405" w:type="pct"/>
            <w:vAlign w:val="center"/>
          </w:tcPr>
          <w:p w14:paraId="70306AC3" w14:textId="3E42B7CB" w:rsidR="0073458F" w:rsidRPr="000E7F3A" w:rsidRDefault="0073458F" w:rsidP="00AC4E98">
            <w:pPr>
              <w:spacing w:after="0" w:line="276" w:lineRule="auto"/>
              <w:jc w:val="center"/>
            </w:pPr>
            <w:r w:rsidRPr="000E7F3A">
              <w:t>16.25%</w:t>
            </w:r>
          </w:p>
        </w:tc>
        <w:tc>
          <w:tcPr>
            <w:tcW w:w="456" w:type="pct"/>
          </w:tcPr>
          <w:p w14:paraId="0C7CA757" w14:textId="33DE4834" w:rsidR="0073458F" w:rsidRPr="000E7F3A" w:rsidRDefault="0073458F" w:rsidP="00AC4E98">
            <w:pPr>
              <w:spacing w:after="0" w:line="276" w:lineRule="auto"/>
            </w:pPr>
            <w:r w:rsidRPr="000E7F3A">
              <w:t xml:space="preserve">Semester 1 </w:t>
            </w:r>
            <w:r w:rsidR="000A4DE4">
              <w:t>Week 16</w:t>
            </w:r>
          </w:p>
        </w:tc>
        <w:tc>
          <w:tcPr>
            <w:tcW w:w="2215" w:type="pct"/>
          </w:tcPr>
          <w:p w14:paraId="1128FC97" w14:textId="77777777" w:rsidR="0073458F" w:rsidRPr="00AC4E98" w:rsidRDefault="0073458F" w:rsidP="00AC4E98">
            <w:pPr>
              <w:spacing w:after="0" w:line="276" w:lineRule="auto"/>
              <w:rPr>
                <w:b/>
                <w:bCs/>
              </w:rPr>
            </w:pPr>
            <w:r w:rsidRPr="00AC4E98">
              <w:rPr>
                <w:b/>
                <w:bCs/>
              </w:rPr>
              <w:t xml:space="preserve">Task 4(b): Semester 1 written examination </w:t>
            </w:r>
            <w:r w:rsidRPr="00AC4E98">
              <w:t>(2.5 hours)</w:t>
            </w:r>
          </w:p>
          <w:p w14:paraId="33B8BE44" w14:textId="6C6EF888" w:rsidR="0073458F" w:rsidRPr="000E7F3A" w:rsidRDefault="0073458F" w:rsidP="00AC4E98">
            <w:pPr>
              <w:spacing w:line="276" w:lineRule="auto"/>
            </w:pPr>
            <w:r w:rsidRPr="000E7F3A">
              <w:t>A representative sample of the syllabus content from Unit 3 using the examination design brief from the ATAR Year 12 syllabus.</w:t>
            </w:r>
          </w:p>
        </w:tc>
      </w:tr>
      <w:tr w:rsidR="000E7F3A" w:rsidRPr="000E7F3A" w14:paraId="07A4A7EE" w14:textId="77777777" w:rsidTr="000E7F3A">
        <w:trPr>
          <w:trHeight w:val="20"/>
        </w:trPr>
        <w:tc>
          <w:tcPr>
            <w:tcW w:w="454" w:type="pct"/>
            <w:vMerge/>
            <w:vAlign w:val="center"/>
          </w:tcPr>
          <w:p w14:paraId="210D2DA2" w14:textId="77777777" w:rsidR="0073458F" w:rsidRPr="000E7F3A" w:rsidRDefault="0073458F" w:rsidP="00AC4E98">
            <w:pPr>
              <w:spacing w:after="0" w:line="276" w:lineRule="auto"/>
              <w:jc w:val="center"/>
            </w:pPr>
          </w:p>
        </w:tc>
        <w:tc>
          <w:tcPr>
            <w:tcW w:w="557" w:type="pct"/>
            <w:vMerge/>
            <w:vAlign w:val="center"/>
          </w:tcPr>
          <w:p w14:paraId="119C75CC" w14:textId="77777777" w:rsidR="0073458F" w:rsidRPr="000E7F3A" w:rsidRDefault="0073458F" w:rsidP="00AC4E98">
            <w:pPr>
              <w:spacing w:after="0" w:line="276" w:lineRule="auto"/>
              <w:jc w:val="center"/>
            </w:pPr>
          </w:p>
        </w:tc>
        <w:tc>
          <w:tcPr>
            <w:tcW w:w="456" w:type="pct"/>
            <w:vMerge/>
            <w:vAlign w:val="center"/>
          </w:tcPr>
          <w:p w14:paraId="3A5FD3B3" w14:textId="77777777" w:rsidR="0073458F" w:rsidRPr="000E7F3A" w:rsidRDefault="0073458F" w:rsidP="00AC4E98">
            <w:pPr>
              <w:spacing w:after="0" w:line="276" w:lineRule="auto"/>
              <w:jc w:val="center"/>
            </w:pPr>
          </w:p>
        </w:tc>
        <w:tc>
          <w:tcPr>
            <w:tcW w:w="456" w:type="pct"/>
            <w:vAlign w:val="center"/>
          </w:tcPr>
          <w:p w14:paraId="09494389" w14:textId="784164C6" w:rsidR="0073458F" w:rsidRPr="000E7F3A" w:rsidRDefault="0073458F" w:rsidP="00AC4E98">
            <w:pPr>
              <w:spacing w:after="0" w:line="276" w:lineRule="auto"/>
              <w:jc w:val="center"/>
            </w:pPr>
            <w:r w:rsidRPr="000E7F3A">
              <w:t>30%</w:t>
            </w:r>
          </w:p>
        </w:tc>
        <w:tc>
          <w:tcPr>
            <w:tcW w:w="405" w:type="pct"/>
            <w:vAlign w:val="center"/>
          </w:tcPr>
          <w:p w14:paraId="5AB09983" w14:textId="7FC40B5E" w:rsidR="0073458F" w:rsidRPr="000E7F3A" w:rsidRDefault="0073458F" w:rsidP="00AC4E98">
            <w:pPr>
              <w:spacing w:after="0" w:line="276" w:lineRule="auto"/>
              <w:jc w:val="center"/>
            </w:pPr>
            <w:r w:rsidRPr="000E7F3A">
              <w:t>16.25%</w:t>
            </w:r>
          </w:p>
        </w:tc>
        <w:tc>
          <w:tcPr>
            <w:tcW w:w="456" w:type="pct"/>
          </w:tcPr>
          <w:p w14:paraId="43FE2004" w14:textId="1EF516B4" w:rsidR="0073458F" w:rsidRPr="000E7F3A" w:rsidRDefault="0073458F" w:rsidP="00AC4E98">
            <w:pPr>
              <w:spacing w:after="0" w:line="276" w:lineRule="auto"/>
            </w:pPr>
            <w:r w:rsidRPr="000E7F3A">
              <w:t>Semester 2 Examination week</w:t>
            </w:r>
          </w:p>
        </w:tc>
        <w:tc>
          <w:tcPr>
            <w:tcW w:w="2215" w:type="pct"/>
          </w:tcPr>
          <w:p w14:paraId="3B74AD1D" w14:textId="77777777" w:rsidR="0073458F" w:rsidRPr="000E7F3A" w:rsidRDefault="0073458F" w:rsidP="00AC4E98">
            <w:pPr>
              <w:spacing w:after="0" w:line="276" w:lineRule="auto"/>
            </w:pPr>
            <w:r w:rsidRPr="00AC4E98">
              <w:rPr>
                <w:b/>
                <w:bCs/>
              </w:rPr>
              <w:t>Task 8(b): Semester 2 written examination</w:t>
            </w:r>
            <w:r w:rsidRPr="000E7F3A">
              <w:t xml:space="preserve"> (2.5 hours)</w:t>
            </w:r>
          </w:p>
          <w:p w14:paraId="4BB8B280" w14:textId="06221472" w:rsidR="0073458F" w:rsidRPr="000E7F3A" w:rsidRDefault="0073458F" w:rsidP="00AC4E98">
            <w:pPr>
              <w:spacing w:line="276" w:lineRule="auto"/>
            </w:pPr>
            <w:r w:rsidRPr="000E7F3A">
              <w:t>A representative sample of the syllabus content from Unit 3 and Unit 4 using the examination design brief from the ATAR Year 12 syllabus.</w:t>
            </w:r>
          </w:p>
        </w:tc>
      </w:tr>
      <w:tr w:rsidR="000E7F3A" w:rsidRPr="000E7F3A" w14:paraId="01E68F3F" w14:textId="77777777" w:rsidTr="000E7F3A">
        <w:trPr>
          <w:trHeight w:val="20"/>
        </w:trPr>
        <w:tc>
          <w:tcPr>
            <w:tcW w:w="454" w:type="pct"/>
            <w:shd w:val="clear" w:color="auto" w:fill="E4D8EB"/>
            <w:vAlign w:val="center"/>
          </w:tcPr>
          <w:p w14:paraId="52CAF741" w14:textId="77777777" w:rsidR="0073458F" w:rsidRPr="000E7F3A" w:rsidRDefault="0073458F" w:rsidP="00AC4E98">
            <w:pPr>
              <w:spacing w:after="0" w:line="276" w:lineRule="auto"/>
              <w:jc w:val="center"/>
              <w:rPr>
                <w:b/>
                <w:bCs/>
              </w:rPr>
            </w:pPr>
            <w:r w:rsidRPr="000E7F3A">
              <w:rPr>
                <w:b/>
                <w:bCs/>
              </w:rPr>
              <w:t>Total</w:t>
            </w:r>
          </w:p>
        </w:tc>
        <w:tc>
          <w:tcPr>
            <w:tcW w:w="557" w:type="pct"/>
            <w:shd w:val="clear" w:color="auto" w:fill="E4D8EB"/>
            <w:vAlign w:val="center"/>
          </w:tcPr>
          <w:p w14:paraId="4F7C4F61" w14:textId="77777777" w:rsidR="0073458F" w:rsidRPr="000E7F3A" w:rsidRDefault="0073458F" w:rsidP="00AC4E98">
            <w:pPr>
              <w:spacing w:after="0" w:line="276" w:lineRule="auto"/>
              <w:jc w:val="center"/>
              <w:rPr>
                <w:b/>
                <w:bCs/>
              </w:rPr>
            </w:pPr>
          </w:p>
        </w:tc>
        <w:tc>
          <w:tcPr>
            <w:tcW w:w="456" w:type="pct"/>
            <w:shd w:val="clear" w:color="auto" w:fill="E4D8EB"/>
            <w:vAlign w:val="center"/>
          </w:tcPr>
          <w:p w14:paraId="6EFE231D" w14:textId="77777777" w:rsidR="0073458F" w:rsidRPr="000E7F3A" w:rsidRDefault="0073458F" w:rsidP="00AC4E98">
            <w:pPr>
              <w:spacing w:after="0" w:line="276" w:lineRule="auto"/>
              <w:jc w:val="center"/>
              <w:rPr>
                <w:b/>
                <w:bCs/>
              </w:rPr>
            </w:pPr>
            <w:r w:rsidRPr="000E7F3A">
              <w:rPr>
                <w:b/>
                <w:bCs/>
              </w:rPr>
              <w:t>100%</w:t>
            </w:r>
          </w:p>
        </w:tc>
        <w:tc>
          <w:tcPr>
            <w:tcW w:w="456" w:type="pct"/>
            <w:shd w:val="clear" w:color="auto" w:fill="E4D8EB"/>
            <w:vAlign w:val="center"/>
          </w:tcPr>
          <w:p w14:paraId="2695F870" w14:textId="77777777" w:rsidR="0073458F" w:rsidRPr="000E7F3A" w:rsidRDefault="0073458F" w:rsidP="00AC4E98">
            <w:pPr>
              <w:spacing w:line="276" w:lineRule="auto"/>
              <w:jc w:val="center"/>
              <w:rPr>
                <w:b/>
                <w:bCs/>
              </w:rPr>
            </w:pPr>
            <w:r w:rsidRPr="000E7F3A">
              <w:rPr>
                <w:b/>
                <w:bCs/>
              </w:rPr>
              <w:t>100%</w:t>
            </w:r>
          </w:p>
        </w:tc>
        <w:tc>
          <w:tcPr>
            <w:tcW w:w="405" w:type="pct"/>
            <w:shd w:val="clear" w:color="auto" w:fill="E4D8EB"/>
            <w:vAlign w:val="center"/>
          </w:tcPr>
          <w:p w14:paraId="62689F8D" w14:textId="44DD6805" w:rsidR="0073458F" w:rsidRPr="000E7F3A" w:rsidRDefault="0073458F" w:rsidP="00AC4E98">
            <w:pPr>
              <w:spacing w:after="0" w:line="276" w:lineRule="auto"/>
              <w:jc w:val="center"/>
              <w:rPr>
                <w:b/>
                <w:bCs/>
              </w:rPr>
            </w:pPr>
            <w:r w:rsidRPr="000E7F3A">
              <w:rPr>
                <w:b/>
                <w:bCs/>
              </w:rPr>
              <w:t>65%</w:t>
            </w:r>
          </w:p>
        </w:tc>
        <w:tc>
          <w:tcPr>
            <w:tcW w:w="456" w:type="pct"/>
            <w:shd w:val="clear" w:color="auto" w:fill="E4D8EB"/>
            <w:vAlign w:val="center"/>
          </w:tcPr>
          <w:p w14:paraId="62BDCD45" w14:textId="77777777" w:rsidR="0073458F" w:rsidRPr="000E7F3A" w:rsidRDefault="0073458F" w:rsidP="00AC4E98">
            <w:pPr>
              <w:spacing w:after="0" w:line="276" w:lineRule="auto"/>
              <w:jc w:val="center"/>
              <w:rPr>
                <w:b/>
                <w:bCs/>
              </w:rPr>
            </w:pPr>
          </w:p>
        </w:tc>
        <w:tc>
          <w:tcPr>
            <w:tcW w:w="2215" w:type="pct"/>
            <w:shd w:val="clear" w:color="auto" w:fill="E4D8EB"/>
            <w:vAlign w:val="center"/>
          </w:tcPr>
          <w:p w14:paraId="2678C33C" w14:textId="77777777" w:rsidR="0073458F" w:rsidRPr="000E7F3A" w:rsidRDefault="0073458F" w:rsidP="00AC4E98">
            <w:pPr>
              <w:spacing w:after="0" w:line="276" w:lineRule="auto"/>
              <w:jc w:val="center"/>
              <w:rPr>
                <w:b/>
                <w:bCs/>
              </w:rPr>
            </w:pPr>
          </w:p>
        </w:tc>
      </w:tr>
    </w:tbl>
    <w:p w14:paraId="70EC453F" w14:textId="77777777" w:rsidR="0073458F" w:rsidRPr="0063135E" w:rsidRDefault="0073458F" w:rsidP="00FC24FC"/>
    <w:sectPr w:rsidR="0073458F" w:rsidRPr="0063135E" w:rsidSect="000E55EF">
      <w:headerReference w:type="even" r:id="rId15"/>
      <w:headerReference w:type="default" r:id="rId16"/>
      <w:footerReference w:type="even" r:id="rId17"/>
      <w:footerReference w:type="default" r:id="rId18"/>
      <w:headerReference w:type="first" r:id="rId19"/>
      <w:footerReference w:type="first" r:id="rId20"/>
      <w:pgSz w:w="16838" w:h="11906" w:orient="landscape"/>
      <w:pgMar w:top="1644"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A5D63" w14:textId="77777777" w:rsidR="00047BEE" w:rsidRDefault="00047BEE" w:rsidP="00E35001">
      <w:r>
        <w:separator/>
      </w:r>
    </w:p>
  </w:endnote>
  <w:endnote w:type="continuationSeparator" w:id="0">
    <w:p w14:paraId="6C24C906" w14:textId="77777777" w:rsidR="00047BEE" w:rsidRDefault="00047BEE"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23E3" w14:textId="1E9B9F6F" w:rsidR="00CA6678" w:rsidRPr="00F66141" w:rsidRDefault="00AC4E98" w:rsidP="00AC4E98">
    <w:pPr>
      <w:pStyle w:val="Footereven"/>
    </w:pPr>
    <w:r w:rsidRPr="00464F4E">
      <w:t>2024/2384</w:t>
    </w:r>
    <w:r w:rsidR="00EB565E">
      <w:t>[v</w:t>
    </w:r>
    <w:r w:rsidR="00136223">
      <w:t>4</w:t>
    </w:r>
    <w:r w:rsidR="00EB565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12FA" w14:textId="77777777" w:rsidR="00CA6678" w:rsidRPr="00DE34C4" w:rsidRDefault="00CA6678" w:rsidP="0072790A">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15990v3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7944" w14:textId="77777777" w:rsidR="00136223" w:rsidRDefault="001362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A7C3" w14:textId="77777777" w:rsidR="002C1362" w:rsidRPr="00AF134A" w:rsidRDefault="00E10F46" w:rsidP="00AC4E98">
    <w:pPr>
      <w:pStyle w:val="Footereven"/>
    </w:pPr>
    <w:r w:rsidRPr="00AF134A">
      <w:t xml:space="preserve">Sample assessment outline | </w:t>
    </w:r>
    <w:r w:rsidR="00840ACB">
      <w:t>Korean</w:t>
    </w:r>
    <w:r w:rsidR="00F70CBB" w:rsidRPr="00F70CBB">
      <w:t xml:space="preserve">: Second Language </w:t>
    </w:r>
    <w:r w:rsidRPr="00AF134A">
      <w:t>| ATAR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01FD" w14:textId="77777777" w:rsidR="002C1362" w:rsidRPr="00AF134A" w:rsidRDefault="004912D2" w:rsidP="009856E0">
    <w:pPr>
      <w:pStyle w:val="Footer"/>
      <w:pBdr>
        <w:top w:val="single" w:sz="8" w:space="4" w:color="5C815C"/>
      </w:pBdr>
      <w:tabs>
        <w:tab w:val="clear" w:pos="4513"/>
        <w:tab w:val="clear" w:pos="9026"/>
      </w:tabs>
      <w:ind w:left="-567" w:right="-501"/>
      <w:jc w:val="right"/>
      <w:rPr>
        <w:rFonts w:ascii="Franklin Gothic Book" w:hAnsi="Franklin Gothic Book"/>
        <w:color w:val="342568"/>
        <w:sz w:val="18"/>
      </w:rPr>
    </w:pPr>
    <w:r w:rsidRPr="00AF134A">
      <w:rPr>
        <w:rFonts w:ascii="Franklin Gothic Book" w:hAnsi="Franklin Gothic Book"/>
        <w:b/>
        <w:noProof/>
        <w:color w:val="342568"/>
        <w:sz w:val="18"/>
        <w:szCs w:val="18"/>
      </w:rPr>
      <w:t>S</w:t>
    </w:r>
    <w:r w:rsidR="00967319" w:rsidRPr="00AF134A">
      <w:rPr>
        <w:rFonts w:ascii="Franklin Gothic Book" w:hAnsi="Franklin Gothic Book"/>
        <w:b/>
        <w:noProof/>
        <w:color w:val="342568"/>
        <w:sz w:val="18"/>
        <w:szCs w:val="18"/>
      </w:rPr>
      <w:t xml:space="preserve">ample assessment outline </w:t>
    </w:r>
    <w:r w:rsidRPr="00AF134A">
      <w:rPr>
        <w:rFonts w:ascii="Franklin Gothic Book" w:hAnsi="Franklin Gothic Book"/>
        <w:b/>
        <w:noProof/>
        <w:color w:val="342568"/>
        <w:sz w:val="18"/>
        <w:szCs w:val="18"/>
      </w:rPr>
      <w:t>| &lt;Course name&gt;</w:t>
    </w:r>
    <w:r w:rsidRPr="00AF134A">
      <w:rPr>
        <w:rFonts w:ascii="Franklin Gothic Book" w:hAnsi="Franklin Gothic Book"/>
        <w:b/>
        <w:color w:val="342568"/>
        <w:sz w:val="18"/>
        <w:szCs w:val="18"/>
      </w:rPr>
      <w:t xml:space="preserve"> </w:t>
    </w:r>
    <w:r w:rsidRPr="00AF134A">
      <w:rPr>
        <w:rFonts w:ascii="Franklin Gothic Book" w:hAnsi="Franklin Gothic Book"/>
        <w:b/>
        <w:noProof/>
        <w:color w:val="342568"/>
        <w:sz w:val="18"/>
        <w:szCs w:val="18"/>
      </w:rPr>
      <w:t>| ATAR Year 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627B" w14:textId="78A44376" w:rsidR="006E5D3B" w:rsidRPr="00AF134A" w:rsidRDefault="006E5D3B" w:rsidP="00AC4E98">
    <w:pPr>
      <w:pStyle w:val="Footerodd"/>
    </w:pPr>
    <w:r w:rsidRPr="00AF134A">
      <w:t xml:space="preserve">Sample assessment outline | </w:t>
    </w:r>
    <w:r w:rsidR="00E26C63">
      <w:t>Indonesian</w:t>
    </w:r>
    <w:r w:rsidR="00F70CBB" w:rsidRPr="00F70CBB">
      <w:t xml:space="preserve">: </w:t>
    </w:r>
    <w:r w:rsidR="007C6568">
      <w:t>Background</w:t>
    </w:r>
    <w:r w:rsidR="00F70CBB" w:rsidRPr="00F70CBB">
      <w:t xml:space="preserve"> Language</w:t>
    </w:r>
    <w:r w:rsidRPr="00AF134A">
      <w:t xml:space="preserve">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A2BE4" w14:textId="77777777" w:rsidR="00047BEE" w:rsidRDefault="00047BEE" w:rsidP="00E35001">
      <w:r>
        <w:separator/>
      </w:r>
    </w:p>
  </w:footnote>
  <w:footnote w:type="continuationSeparator" w:id="0">
    <w:p w14:paraId="57DEC2A8" w14:textId="77777777" w:rsidR="00047BEE" w:rsidRDefault="00047BEE"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77053" w14:textId="77777777" w:rsidR="00136223" w:rsidRDefault="00136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CE19" w14:textId="77777777" w:rsidR="00136223" w:rsidRDefault="00136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AF02" w14:textId="77777777" w:rsidR="00CA6678" w:rsidRDefault="00CA6678" w:rsidP="0072790A">
    <w:pPr>
      <w:pStyle w:val="Header"/>
      <w:ind w:left="-709"/>
    </w:pPr>
    <w:r>
      <w:rPr>
        <w:noProof/>
        <w:lang w:eastAsia="ko-KR"/>
      </w:rPr>
      <w:drawing>
        <wp:inline distT="0" distB="0" distL="0" distR="0" wp14:anchorId="44005420" wp14:editId="25EE660A">
          <wp:extent cx="4533900" cy="704850"/>
          <wp:effectExtent l="0" t="0" r="0" b="0"/>
          <wp:docPr id="1610745702" name="Picture 1610745702"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45702" name="Picture 1610745702"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3EC3" w14:textId="77777777" w:rsidR="00E10F46" w:rsidRPr="00AF673D" w:rsidRDefault="00F80BA4" w:rsidP="00AC4E98">
    <w:pPr>
      <w:pStyle w:val="Headereven"/>
    </w:pPr>
    <w:r w:rsidRPr="001B3981">
      <w:rPr>
        <w:noProof w:val="0"/>
      </w:rPr>
      <w:fldChar w:fldCharType="begin"/>
    </w:r>
    <w:r w:rsidR="00E10F46" w:rsidRPr="001B3981">
      <w:instrText xml:space="preserve"> PAGE   \* MERGEFORMAT </w:instrText>
    </w:r>
    <w:r w:rsidRPr="001B3981">
      <w:rPr>
        <w:noProof w:val="0"/>
      </w:rPr>
      <w:fldChar w:fldCharType="separate"/>
    </w:r>
    <w:r w:rsidR="00A77833">
      <w:t>2</w:t>
    </w:r>
    <w:r w:rsidRPr="001B398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F875" w14:textId="77777777" w:rsidR="002C1362" w:rsidRPr="001B3981" w:rsidRDefault="00F80BA4" w:rsidP="00501A53">
    <w:pPr>
      <w:pStyle w:val="Header"/>
      <w:pBdr>
        <w:bottom w:val="single" w:sz="8" w:space="1" w:color="5C815C"/>
      </w:pBdr>
      <w:tabs>
        <w:tab w:val="clear" w:pos="4513"/>
        <w:tab w:val="clear" w:pos="9026"/>
      </w:tabs>
      <w:ind w:left="14034" w:right="-1210"/>
      <w:rPr>
        <w:rFonts w:ascii="Franklin Gothic Book" w:hAnsi="Franklin Gothic Book"/>
        <w:b/>
        <w:noProof/>
        <w:color w:val="46328C"/>
        <w:sz w:val="32"/>
      </w:rPr>
    </w:pPr>
    <w:r w:rsidRPr="001B3981">
      <w:rPr>
        <w:rFonts w:ascii="Franklin Gothic Book" w:hAnsi="Franklin Gothic Book"/>
        <w:b/>
        <w:noProof/>
        <w:color w:val="46328C"/>
        <w:sz w:val="32"/>
      </w:rPr>
      <w:fldChar w:fldCharType="begin"/>
    </w:r>
    <w:r w:rsidR="00967319" w:rsidRPr="001B3981">
      <w:rPr>
        <w:rFonts w:ascii="Franklin Gothic Book" w:hAnsi="Franklin Gothic Book"/>
        <w:b/>
        <w:noProof/>
        <w:color w:val="46328C"/>
        <w:sz w:val="32"/>
      </w:rPr>
      <w:instrText xml:space="preserve"> PAGE   \* MERGEFORMAT </w:instrText>
    </w:r>
    <w:r w:rsidRPr="001B3981">
      <w:rPr>
        <w:rFonts w:ascii="Franklin Gothic Book" w:hAnsi="Franklin Gothic Book"/>
        <w:b/>
        <w:noProof/>
        <w:color w:val="46328C"/>
        <w:sz w:val="32"/>
      </w:rPr>
      <w:fldChar w:fldCharType="separate"/>
    </w:r>
    <w:r w:rsidR="00AF134A">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14:paraId="569D765F" w14:textId="77777777" w:rsidR="002C1362" w:rsidRPr="00501A53" w:rsidRDefault="002C1362" w:rsidP="00501A53">
    <w:pPr>
      <w:pStyle w:val="Header"/>
      <w:pBdr>
        <w:bottom w:val="single" w:sz="8" w:space="1" w:color="5C815C"/>
      </w:pBdr>
      <w:tabs>
        <w:tab w:val="clear" w:pos="4513"/>
        <w:tab w:val="clear" w:pos="9026"/>
      </w:tabs>
      <w:ind w:right="-1210"/>
      <w:rPr>
        <w:rFonts w:ascii="Franklin Gothic Book" w:hAnsi="Franklin Gothic Book"/>
        <w:b/>
        <w:noProof/>
        <w:color w:val="46328C"/>
        <w:sz w:val="3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B2A7" w14:textId="77777777" w:rsidR="002C1362" w:rsidRPr="00206B3E" w:rsidRDefault="00F80BA4" w:rsidP="00AC4E98">
    <w:pPr>
      <w:pStyle w:val="Headerodd"/>
    </w:pPr>
    <w:r w:rsidRPr="001B3981">
      <w:fldChar w:fldCharType="begin"/>
    </w:r>
    <w:r w:rsidR="00E10F46" w:rsidRPr="001B3981">
      <w:instrText xml:space="preserve"> PAGE   \* MERGEFORMAT </w:instrText>
    </w:r>
    <w:r w:rsidRPr="001B3981">
      <w:fldChar w:fldCharType="separate"/>
    </w:r>
    <w:r w:rsidR="000E5E79">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4538786">
    <w:abstractNumId w:val="3"/>
  </w:num>
  <w:num w:numId="2" w16cid:durableId="5249296">
    <w:abstractNumId w:val="0"/>
  </w:num>
  <w:num w:numId="3" w16cid:durableId="1081829681">
    <w:abstractNumId w:val="1"/>
  </w:num>
  <w:num w:numId="4" w16cid:durableId="1213036025">
    <w:abstractNumId w:val="5"/>
  </w:num>
  <w:num w:numId="5" w16cid:durableId="1365400694">
    <w:abstractNumId w:val="2"/>
  </w:num>
  <w:num w:numId="6" w16cid:durableId="917134168">
    <w:abstractNumId w:val="3"/>
  </w:num>
  <w:num w:numId="7" w16cid:durableId="1411148697">
    <w:abstractNumId w:val="3"/>
  </w:num>
  <w:num w:numId="8" w16cid:durableId="316374119">
    <w:abstractNumId w:val="3"/>
  </w:num>
  <w:num w:numId="9" w16cid:durableId="798449628">
    <w:abstractNumId w:val="3"/>
  </w:num>
  <w:num w:numId="10" w16cid:durableId="1854758532">
    <w:abstractNumId w:val="3"/>
  </w:num>
  <w:num w:numId="11" w16cid:durableId="594479811">
    <w:abstractNumId w:val="3"/>
  </w:num>
  <w:num w:numId="12" w16cid:durableId="681396253">
    <w:abstractNumId w:val="3"/>
  </w:num>
  <w:num w:numId="13" w16cid:durableId="1542591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zsTQ1MjE1NTC2tDRT0lEKTi0uzszPAykwqgUAxgDYqiwAAAA="/>
  </w:docVars>
  <w:rsids>
    <w:rsidRoot w:val="005B4B65"/>
    <w:rsid w:val="00001293"/>
    <w:rsid w:val="00001F2D"/>
    <w:rsid w:val="000242A6"/>
    <w:rsid w:val="00031867"/>
    <w:rsid w:val="00037F54"/>
    <w:rsid w:val="00047BEE"/>
    <w:rsid w:val="0007342A"/>
    <w:rsid w:val="0008283C"/>
    <w:rsid w:val="000A4DE4"/>
    <w:rsid w:val="000B726A"/>
    <w:rsid w:val="000C60C9"/>
    <w:rsid w:val="000D5A05"/>
    <w:rsid w:val="000E55EF"/>
    <w:rsid w:val="000E5E79"/>
    <w:rsid w:val="000E60EF"/>
    <w:rsid w:val="000E7F3A"/>
    <w:rsid w:val="0012127E"/>
    <w:rsid w:val="00125F43"/>
    <w:rsid w:val="00131A84"/>
    <w:rsid w:val="00136223"/>
    <w:rsid w:val="00143F6A"/>
    <w:rsid w:val="00150910"/>
    <w:rsid w:val="00151E75"/>
    <w:rsid w:val="0015485D"/>
    <w:rsid w:val="00156660"/>
    <w:rsid w:val="001572FF"/>
    <w:rsid w:val="00183AD3"/>
    <w:rsid w:val="00196D05"/>
    <w:rsid w:val="001B3FBE"/>
    <w:rsid w:val="001C27D1"/>
    <w:rsid w:val="001C73C4"/>
    <w:rsid w:val="00206B3E"/>
    <w:rsid w:val="0023317E"/>
    <w:rsid w:val="00260C77"/>
    <w:rsid w:val="00280D24"/>
    <w:rsid w:val="00292939"/>
    <w:rsid w:val="002A0505"/>
    <w:rsid w:val="002A0932"/>
    <w:rsid w:val="002C1362"/>
    <w:rsid w:val="002D4DE9"/>
    <w:rsid w:val="002E7382"/>
    <w:rsid w:val="002F0372"/>
    <w:rsid w:val="002F2A8F"/>
    <w:rsid w:val="00301CE9"/>
    <w:rsid w:val="00307024"/>
    <w:rsid w:val="00313837"/>
    <w:rsid w:val="00331511"/>
    <w:rsid w:val="00350968"/>
    <w:rsid w:val="00361B00"/>
    <w:rsid w:val="00380171"/>
    <w:rsid w:val="0038532C"/>
    <w:rsid w:val="00390625"/>
    <w:rsid w:val="003A61F2"/>
    <w:rsid w:val="003C2E8B"/>
    <w:rsid w:val="003D60C7"/>
    <w:rsid w:val="003E266B"/>
    <w:rsid w:val="003F536E"/>
    <w:rsid w:val="00414CA3"/>
    <w:rsid w:val="00445C78"/>
    <w:rsid w:val="00463EC9"/>
    <w:rsid w:val="00464F4E"/>
    <w:rsid w:val="00472167"/>
    <w:rsid w:val="004736E2"/>
    <w:rsid w:val="0048322A"/>
    <w:rsid w:val="004912D2"/>
    <w:rsid w:val="004A20BA"/>
    <w:rsid w:val="004A3CF3"/>
    <w:rsid w:val="004D17E1"/>
    <w:rsid w:val="004D5B5E"/>
    <w:rsid w:val="004E578E"/>
    <w:rsid w:val="00501A53"/>
    <w:rsid w:val="00560A06"/>
    <w:rsid w:val="0056166E"/>
    <w:rsid w:val="00567D91"/>
    <w:rsid w:val="00571385"/>
    <w:rsid w:val="005812D7"/>
    <w:rsid w:val="005929C1"/>
    <w:rsid w:val="005A30E5"/>
    <w:rsid w:val="005A3412"/>
    <w:rsid w:val="005A7E67"/>
    <w:rsid w:val="005B4B65"/>
    <w:rsid w:val="005D3866"/>
    <w:rsid w:val="005E3EEB"/>
    <w:rsid w:val="005F4FF3"/>
    <w:rsid w:val="005F6D5D"/>
    <w:rsid w:val="00623F63"/>
    <w:rsid w:val="0063135E"/>
    <w:rsid w:val="00661A82"/>
    <w:rsid w:val="006647C1"/>
    <w:rsid w:val="0067325A"/>
    <w:rsid w:val="006C2107"/>
    <w:rsid w:val="006D33A6"/>
    <w:rsid w:val="006D74DC"/>
    <w:rsid w:val="006D760B"/>
    <w:rsid w:val="006E40EE"/>
    <w:rsid w:val="006E5D3B"/>
    <w:rsid w:val="006F1FC4"/>
    <w:rsid w:val="006F379D"/>
    <w:rsid w:val="00701970"/>
    <w:rsid w:val="0073458F"/>
    <w:rsid w:val="007355D8"/>
    <w:rsid w:val="00745C34"/>
    <w:rsid w:val="00751CE6"/>
    <w:rsid w:val="00757C19"/>
    <w:rsid w:val="00765FC7"/>
    <w:rsid w:val="00766F5C"/>
    <w:rsid w:val="00773C19"/>
    <w:rsid w:val="007A245A"/>
    <w:rsid w:val="007B0EEB"/>
    <w:rsid w:val="007B49EB"/>
    <w:rsid w:val="007C6568"/>
    <w:rsid w:val="007E2B5C"/>
    <w:rsid w:val="007F4EAC"/>
    <w:rsid w:val="0080082A"/>
    <w:rsid w:val="00801EA9"/>
    <w:rsid w:val="00840ACB"/>
    <w:rsid w:val="0084303B"/>
    <w:rsid w:val="00857651"/>
    <w:rsid w:val="00867B84"/>
    <w:rsid w:val="00880BBA"/>
    <w:rsid w:val="00896ED9"/>
    <w:rsid w:val="008A34EA"/>
    <w:rsid w:val="008B35EB"/>
    <w:rsid w:val="008B783D"/>
    <w:rsid w:val="008D3F5C"/>
    <w:rsid w:val="008E090C"/>
    <w:rsid w:val="008E3109"/>
    <w:rsid w:val="009241A5"/>
    <w:rsid w:val="009329C9"/>
    <w:rsid w:val="00941E8C"/>
    <w:rsid w:val="00952908"/>
    <w:rsid w:val="00962904"/>
    <w:rsid w:val="00967319"/>
    <w:rsid w:val="00970CB9"/>
    <w:rsid w:val="00970E03"/>
    <w:rsid w:val="00973A4D"/>
    <w:rsid w:val="00983375"/>
    <w:rsid w:val="009856E0"/>
    <w:rsid w:val="009874A3"/>
    <w:rsid w:val="009B62FF"/>
    <w:rsid w:val="009D189A"/>
    <w:rsid w:val="009D32A5"/>
    <w:rsid w:val="009E0E2D"/>
    <w:rsid w:val="009F74F2"/>
    <w:rsid w:val="009F76E4"/>
    <w:rsid w:val="00A009DA"/>
    <w:rsid w:val="00A14FF5"/>
    <w:rsid w:val="00A26F6A"/>
    <w:rsid w:val="00A30567"/>
    <w:rsid w:val="00A44EC6"/>
    <w:rsid w:val="00A67017"/>
    <w:rsid w:val="00A74C8E"/>
    <w:rsid w:val="00A75CE9"/>
    <w:rsid w:val="00A77833"/>
    <w:rsid w:val="00A949EF"/>
    <w:rsid w:val="00AB6CAB"/>
    <w:rsid w:val="00AC37E9"/>
    <w:rsid w:val="00AC4E98"/>
    <w:rsid w:val="00AD5A58"/>
    <w:rsid w:val="00AF134A"/>
    <w:rsid w:val="00AF1EE6"/>
    <w:rsid w:val="00B1396E"/>
    <w:rsid w:val="00B329C8"/>
    <w:rsid w:val="00B408FD"/>
    <w:rsid w:val="00B446FD"/>
    <w:rsid w:val="00B47E2E"/>
    <w:rsid w:val="00B7792B"/>
    <w:rsid w:val="00B8547E"/>
    <w:rsid w:val="00BA1E4C"/>
    <w:rsid w:val="00BA5D13"/>
    <w:rsid w:val="00BB0BC2"/>
    <w:rsid w:val="00BC29F2"/>
    <w:rsid w:val="00BD7DF9"/>
    <w:rsid w:val="00C15D33"/>
    <w:rsid w:val="00C20DC8"/>
    <w:rsid w:val="00C3201A"/>
    <w:rsid w:val="00C33853"/>
    <w:rsid w:val="00C711E5"/>
    <w:rsid w:val="00CA1E6F"/>
    <w:rsid w:val="00CA6164"/>
    <w:rsid w:val="00CA6678"/>
    <w:rsid w:val="00CA78D1"/>
    <w:rsid w:val="00CB6CA8"/>
    <w:rsid w:val="00CC47FD"/>
    <w:rsid w:val="00CE3F29"/>
    <w:rsid w:val="00CE7BA7"/>
    <w:rsid w:val="00CF2B72"/>
    <w:rsid w:val="00D06F67"/>
    <w:rsid w:val="00D67005"/>
    <w:rsid w:val="00D77A15"/>
    <w:rsid w:val="00D84A05"/>
    <w:rsid w:val="00D9279C"/>
    <w:rsid w:val="00DA2D58"/>
    <w:rsid w:val="00DA54FC"/>
    <w:rsid w:val="00DC0357"/>
    <w:rsid w:val="00DC04C7"/>
    <w:rsid w:val="00DD3368"/>
    <w:rsid w:val="00DF4E4A"/>
    <w:rsid w:val="00E040B3"/>
    <w:rsid w:val="00E10F46"/>
    <w:rsid w:val="00E26C63"/>
    <w:rsid w:val="00E304E7"/>
    <w:rsid w:val="00E35001"/>
    <w:rsid w:val="00E63C3E"/>
    <w:rsid w:val="00E74ABB"/>
    <w:rsid w:val="00E80B48"/>
    <w:rsid w:val="00E84E3F"/>
    <w:rsid w:val="00E870EB"/>
    <w:rsid w:val="00E87E8F"/>
    <w:rsid w:val="00E9077B"/>
    <w:rsid w:val="00E93C36"/>
    <w:rsid w:val="00E969D9"/>
    <w:rsid w:val="00EA23AE"/>
    <w:rsid w:val="00EB565E"/>
    <w:rsid w:val="00EC5EFB"/>
    <w:rsid w:val="00ED4901"/>
    <w:rsid w:val="00ED5018"/>
    <w:rsid w:val="00EF45CE"/>
    <w:rsid w:val="00F13868"/>
    <w:rsid w:val="00F14034"/>
    <w:rsid w:val="00F17A48"/>
    <w:rsid w:val="00F23A6E"/>
    <w:rsid w:val="00F261F4"/>
    <w:rsid w:val="00F31C72"/>
    <w:rsid w:val="00F4433D"/>
    <w:rsid w:val="00F56D52"/>
    <w:rsid w:val="00F648C1"/>
    <w:rsid w:val="00F70CBB"/>
    <w:rsid w:val="00F80BA4"/>
    <w:rsid w:val="00FB799D"/>
    <w:rsid w:val="00FC1832"/>
    <w:rsid w:val="00FC24FC"/>
    <w:rsid w:val="00FC3F97"/>
    <w:rsid w:val="00FD1310"/>
    <w:rsid w:val="00FD4A4C"/>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C580E"/>
  <w15:docId w15:val="{2EA781A2-8051-4CC6-A5C7-8AD84EE3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78"/>
    <w:pPr>
      <w:spacing w:after="120"/>
    </w:pPr>
    <w:rPr>
      <w:lang w:eastAsia="en-AU"/>
    </w:rPr>
  </w:style>
  <w:style w:type="paragraph" w:styleId="Heading1">
    <w:name w:val="heading 1"/>
    <w:basedOn w:val="Heading2"/>
    <w:next w:val="Normal"/>
    <w:link w:val="Heading1Char"/>
    <w:uiPriority w:val="9"/>
    <w:qFormat/>
    <w:rsid w:val="00A67017"/>
    <w:pPr>
      <w:outlineLvl w:val="0"/>
    </w:pPr>
  </w:style>
  <w:style w:type="paragraph" w:styleId="Heading2">
    <w:name w:val="heading 2"/>
    <w:basedOn w:val="Heading3"/>
    <w:next w:val="Normal"/>
    <w:link w:val="Heading2Char"/>
    <w:uiPriority w:val="9"/>
    <w:unhideWhenUsed/>
    <w:qFormat/>
    <w:rsid w:val="004912D2"/>
    <w:pPr>
      <w:outlineLvl w:val="1"/>
    </w:pPr>
  </w:style>
  <w:style w:type="paragraph" w:styleId="Heading3">
    <w:name w:val="heading 3"/>
    <w:basedOn w:val="Normal"/>
    <w:next w:val="Normal"/>
    <w:link w:val="Heading3Char"/>
    <w:uiPriority w:val="9"/>
    <w:unhideWhenUsed/>
    <w:qFormat/>
    <w:rsid w:val="00E304E7"/>
    <w:pPr>
      <w:spacing w:before="80" w:after="80"/>
      <w:ind w:left="-567"/>
      <w:outlineLvl w:val="2"/>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line="280" w:lineRule="exact"/>
    </w:pPr>
    <w:rPr>
      <w:rFonts w:ascii="Times New Roman" w:hAnsi="Times New Roman"/>
      <w:szCs w:val="20"/>
      <w:lang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A67017"/>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4912D2"/>
    <w:rPr>
      <w:rFonts w:ascii="Franklin Gothic Book" w:eastAsia="MS Mincho" w:hAnsi="Franklin Gothic Book" w:cs="Calibri"/>
      <w:color w:val="342568"/>
      <w:sz w:val="24"/>
      <w:szCs w:val="24"/>
      <w:lang w:val="en-GB" w:eastAsia="ja-JP"/>
    </w:rPr>
  </w:style>
  <w:style w:type="character" w:customStyle="1" w:styleId="Heading3Char">
    <w:name w:val="Heading 3 Char"/>
    <w:basedOn w:val="DefaultParagraphFont"/>
    <w:link w:val="Heading3"/>
    <w:uiPriority w:val="9"/>
    <w:rsid w:val="00E304E7"/>
    <w:rPr>
      <w:rFonts w:ascii="Franklin Gothic Book" w:eastAsia="MS Mincho" w:hAnsi="Franklin Gothic Book" w:cs="Calibri"/>
      <w:color w:val="342568"/>
      <w:sz w:val="24"/>
      <w:szCs w:val="24"/>
      <w:lang w:val="en-GB" w:eastAsia="ja-JP"/>
    </w:rPr>
  </w:style>
  <w:style w:type="paragraph" w:customStyle="1" w:styleId="Paragraph">
    <w:name w:val="Paragraph"/>
    <w:basedOn w:val="Normal"/>
    <w:link w:val="ParagraphChar"/>
    <w:qFormat/>
    <w:rsid w:val="0048322A"/>
    <w:pPr>
      <w:spacing w:before="120"/>
    </w:pPr>
    <w:rPr>
      <w:rFonts w:ascii="Calibri" w:eastAsiaTheme="minorHAnsi" w:hAnsi="Calibri" w:cs="Calibri"/>
    </w:rPr>
  </w:style>
  <w:style w:type="character" w:customStyle="1" w:styleId="ParagraphChar">
    <w:name w:val="Paragraph Char"/>
    <w:basedOn w:val="DefaultParagraphFont"/>
    <w:link w:val="Paragraph"/>
    <w:locked/>
    <w:rsid w:val="0048322A"/>
    <w:rPr>
      <w:rFonts w:ascii="Calibri" w:eastAsiaTheme="minorHAnsi" w:hAnsi="Calibri" w:cs="Calibri"/>
      <w:lang w:eastAsia="en-AU"/>
    </w:rPr>
  </w:style>
  <w:style w:type="paragraph" w:customStyle="1" w:styleId="ListItem">
    <w:name w:val="List Item"/>
    <w:basedOn w:val="Paragraph"/>
    <w:qFormat/>
    <w:rsid w:val="0048322A"/>
    <w:pPr>
      <w:numPr>
        <w:numId w:val="13"/>
      </w:numPr>
      <w:ind w:left="0" w:firstLine="0"/>
    </w:pPr>
    <w:rPr>
      <w:iCs/>
    </w:rPr>
  </w:style>
  <w:style w:type="character" w:styleId="CommentReference">
    <w:name w:val="annotation reference"/>
    <w:basedOn w:val="DefaultParagraphFont"/>
    <w:uiPriority w:val="99"/>
    <w:semiHidden/>
    <w:unhideWhenUsed/>
    <w:rsid w:val="00D77A15"/>
    <w:rPr>
      <w:sz w:val="16"/>
      <w:szCs w:val="16"/>
    </w:rPr>
  </w:style>
  <w:style w:type="paragraph" w:styleId="CommentText">
    <w:name w:val="annotation text"/>
    <w:basedOn w:val="Normal"/>
    <w:link w:val="CommentTextChar"/>
    <w:uiPriority w:val="99"/>
    <w:unhideWhenUsed/>
    <w:rsid w:val="00D77A15"/>
    <w:rPr>
      <w:sz w:val="20"/>
      <w:szCs w:val="20"/>
    </w:rPr>
  </w:style>
  <w:style w:type="character" w:customStyle="1" w:styleId="CommentTextChar">
    <w:name w:val="Comment Text Char"/>
    <w:basedOn w:val="DefaultParagraphFont"/>
    <w:link w:val="CommentText"/>
    <w:uiPriority w:val="99"/>
    <w:rsid w:val="00D77A15"/>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D77A15"/>
    <w:rPr>
      <w:b/>
      <w:bCs/>
    </w:rPr>
  </w:style>
  <w:style w:type="character" w:customStyle="1" w:styleId="CommentSubjectChar">
    <w:name w:val="Comment Subject Char"/>
    <w:basedOn w:val="CommentTextChar"/>
    <w:link w:val="CommentSubject"/>
    <w:uiPriority w:val="99"/>
    <w:semiHidden/>
    <w:rsid w:val="00D77A15"/>
    <w:rPr>
      <w:rFonts w:ascii="Arial" w:eastAsia="Times New Roman" w:hAnsi="Arial" w:cs="Times New Roman"/>
      <w:b/>
      <w:bCs/>
      <w:sz w:val="20"/>
      <w:szCs w:val="20"/>
      <w:lang w:val="it-IT" w:eastAsia="en-AU"/>
    </w:rPr>
  </w:style>
  <w:style w:type="character" w:styleId="Hyperlink">
    <w:name w:val="Hyperlink"/>
    <w:basedOn w:val="DefaultParagraphFont"/>
    <w:uiPriority w:val="99"/>
    <w:unhideWhenUsed/>
    <w:rsid w:val="00350968"/>
    <w:rPr>
      <w:color w:val="580F8B"/>
      <w:u w:val="single"/>
    </w:rPr>
  </w:style>
  <w:style w:type="character" w:styleId="HTMLVariable">
    <w:name w:val="HTML Variable"/>
    <w:basedOn w:val="DefaultParagraphFont"/>
    <w:uiPriority w:val="99"/>
    <w:unhideWhenUsed/>
    <w:rsid w:val="00350968"/>
    <w:rPr>
      <w:i/>
      <w:iCs/>
    </w:rPr>
  </w:style>
  <w:style w:type="paragraph" w:customStyle="1" w:styleId="Footereven">
    <w:name w:val="Footer even"/>
    <w:basedOn w:val="Normal"/>
    <w:qFormat/>
    <w:rsid w:val="0080082A"/>
    <w:pPr>
      <w:pBdr>
        <w:top w:val="single" w:sz="4" w:space="4" w:color="5C815C"/>
      </w:pBdr>
    </w:pPr>
    <w:rPr>
      <w:b/>
      <w:noProof/>
      <w:color w:val="342568"/>
      <w:sz w:val="18"/>
      <w:szCs w:val="18"/>
    </w:rPr>
  </w:style>
  <w:style w:type="paragraph" w:customStyle="1" w:styleId="Footerodd">
    <w:name w:val="Footer odd"/>
    <w:basedOn w:val="Normal"/>
    <w:qFormat/>
    <w:rsid w:val="0080082A"/>
    <w:pPr>
      <w:pBdr>
        <w:top w:val="single" w:sz="4" w:space="4" w:color="5C815C"/>
      </w:pBdr>
      <w:jc w:val="right"/>
    </w:pPr>
    <w:rPr>
      <w:b/>
      <w:noProof/>
      <w:color w:val="342568"/>
      <w:sz w:val="18"/>
      <w:szCs w:val="18"/>
    </w:rPr>
  </w:style>
  <w:style w:type="paragraph" w:customStyle="1" w:styleId="Headereven">
    <w:name w:val="Header even"/>
    <w:basedOn w:val="Normal"/>
    <w:qFormat/>
    <w:rsid w:val="0080082A"/>
    <w:pPr>
      <w:pBdr>
        <w:bottom w:val="single" w:sz="8" w:space="1" w:color="5C815C"/>
      </w:pBdr>
      <w:ind w:left="-1276" w:right="14175"/>
      <w:jc w:val="right"/>
    </w:pPr>
    <w:rPr>
      <w:b/>
      <w:noProof/>
      <w:color w:val="46328C"/>
      <w:sz w:val="36"/>
    </w:rPr>
  </w:style>
  <w:style w:type="paragraph" w:customStyle="1" w:styleId="Headerodd">
    <w:name w:val="Header odd"/>
    <w:basedOn w:val="Normal"/>
    <w:qFormat/>
    <w:rsid w:val="0080082A"/>
    <w:pPr>
      <w:pBdr>
        <w:bottom w:val="single" w:sz="8" w:space="1" w:color="5C815C"/>
      </w:pBdr>
      <w:ind w:left="14175" w:right="-1276"/>
    </w:pPr>
    <w:rPr>
      <w:b/>
      <w:color w:val="46328C"/>
      <w:sz w:val="36"/>
    </w:rPr>
  </w:style>
  <w:style w:type="paragraph" w:customStyle="1" w:styleId="SCSAHeading1">
    <w:name w:val="SCSA Heading 1"/>
    <w:basedOn w:val="Normal"/>
    <w:qFormat/>
    <w:rsid w:val="0080082A"/>
    <w:pPr>
      <w:outlineLvl w:val="0"/>
    </w:pPr>
    <w:rPr>
      <w:color w:val="5F497A"/>
      <w:sz w:val="32"/>
    </w:rPr>
  </w:style>
  <w:style w:type="paragraph" w:customStyle="1" w:styleId="SCSAHeading2">
    <w:name w:val="SCSA Heading 2"/>
    <w:basedOn w:val="Normal"/>
    <w:qFormat/>
    <w:rsid w:val="0080082A"/>
    <w:pPr>
      <w:spacing w:after="240"/>
      <w:outlineLvl w:val="1"/>
    </w:pPr>
    <w:rPr>
      <w:color w:val="5F497A"/>
      <w:sz w:val="28"/>
    </w:rPr>
  </w:style>
  <w:style w:type="paragraph" w:customStyle="1" w:styleId="SCSATableHeading">
    <w:name w:val="SCSA Table Heading"/>
    <w:basedOn w:val="Normal"/>
    <w:qFormat/>
    <w:rsid w:val="0080082A"/>
    <w:pPr>
      <w:keepNext/>
      <w:spacing w:before="120"/>
    </w:pPr>
    <w:rPr>
      <w:rFonts w:cstheme="minorHAnsi"/>
      <w:b/>
      <w:bCs/>
      <w:sz w:val="20"/>
      <w:szCs w:val="28"/>
    </w:rPr>
  </w:style>
  <w:style w:type="paragraph" w:customStyle="1" w:styleId="SCSATableHeadingnospace">
    <w:name w:val="SCSA Table Heading no space"/>
    <w:basedOn w:val="SCSATableHeading"/>
    <w:qFormat/>
    <w:rsid w:val="0080082A"/>
    <w:pPr>
      <w:spacing w:before="0"/>
    </w:pPr>
  </w:style>
  <w:style w:type="paragraph" w:customStyle="1" w:styleId="SCSATableListParagraph">
    <w:name w:val="SCSA Table List Paragraph"/>
    <w:basedOn w:val="ListParagraph"/>
    <w:qFormat/>
    <w:rsid w:val="0080082A"/>
    <w:pPr>
      <w:ind w:left="0"/>
    </w:pPr>
    <w:rPr>
      <w:sz w:val="20"/>
    </w:rPr>
  </w:style>
  <w:style w:type="paragraph" w:customStyle="1" w:styleId="SCSATitle1">
    <w:name w:val="SCSA Title 1"/>
    <w:basedOn w:val="Normal"/>
    <w:qFormat/>
    <w:rsid w:val="0080082A"/>
    <w:pPr>
      <w:keepNext/>
      <w:spacing w:before="3500"/>
      <w:jc w:val="center"/>
    </w:pPr>
    <w:rPr>
      <w:b/>
      <w:smallCaps/>
      <w:color w:val="5F497A"/>
      <w:sz w:val="40"/>
      <w:szCs w:val="52"/>
    </w:rPr>
  </w:style>
  <w:style w:type="paragraph" w:customStyle="1" w:styleId="SCSATitle2">
    <w:name w:val="SCSA Title 2"/>
    <w:basedOn w:val="Normal"/>
    <w:qFormat/>
    <w:rsid w:val="0080082A"/>
    <w:pPr>
      <w:keepNext/>
      <w:pBdr>
        <w:top w:val="single" w:sz="8" w:space="3" w:color="4F6228"/>
      </w:pBdr>
      <w:ind w:left="1701" w:right="1701"/>
      <w:jc w:val="center"/>
    </w:pPr>
    <w:rPr>
      <w:b/>
      <w:smallCaps/>
      <w:color w:val="5F497A"/>
      <w:sz w:val="32"/>
      <w:szCs w:val="28"/>
      <w:lang w:eastAsia="x-none"/>
    </w:rPr>
  </w:style>
  <w:style w:type="paragraph" w:customStyle="1" w:styleId="SCSATitle3">
    <w:name w:val="SCSA Title 3"/>
    <w:basedOn w:val="Normal"/>
    <w:qFormat/>
    <w:rsid w:val="0080082A"/>
    <w:pPr>
      <w:keepNext/>
      <w:pBdr>
        <w:bottom w:val="single" w:sz="8" w:space="3" w:color="4F6228"/>
      </w:pBdr>
      <w:ind w:left="1701" w:right="1701"/>
      <w:jc w:val="center"/>
    </w:pPr>
    <w:rPr>
      <w:b/>
      <w:smallCaps/>
      <w:color w:val="5F497A"/>
      <w:sz w:val="32"/>
      <w:szCs w:val="28"/>
      <w:lang w:eastAsia="x-none"/>
    </w:rPr>
  </w:style>
  <w:style w:type="table" w:customStyle="1" w:styleId="SCSATable">
    <w:name w:val="SCSA Table"/>
    <w:basedOn w:val="TableNormal"/>
    <w:uiPriority w:val="99"/>
    <w:rsid w:val="00445C78"/>
    <w:pPr>
      <w:spacing w:after="0" w:line="240" w:lineRule="auto"/>
    </w:pPr>
    <w:rPr>
      <w:sz w:val="20"/>
    </w:rPr>
    <w:tblPr>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Pr>
    <w:tblStylePr w:type="firstRow">
      <w:rPr>
        <w:rFonts w:asciiTheme="minorHAnsi" w:eastAsiaTheme="minorEastAsia" w:hAnsiTheme="minorHAnsi"/>
        <w:b/>
        <w:i w:val="0"/>
        <w:sz w:val="20"/>
      </w:rPr>
      <w:tblPr/>
      <w:tcPr>
        <w:tcBorders>
          <w:top w:val="nil"/>
          <w:left w:val="nil"/>
          <w:bottom w:val="nil"/>
          <w:right w:val="nil"/>
          <w:insideH w:val="single" w:sz="4" w:space="0" w:color="FFFFFF" w:themeColor="background1"/>
          <w:insideV w:val="single" w:sz="4" w:space="0" w:color="FFFFFF" w:themeColor="background1"/>
        </w:tcBorders>
        <w:shd w:val="clear" w:color="auto" w:fill="BD9FCF"/>
      </w:tcPr>
    </w:tblStylePr>
  </w:style>
  <w:style w:type="table" w:styleId="TableGrid">
    <w:name w:val="Table Grid"/>
    <w:basedOn w:val="TableNormal"/>
    <w:uiPriority w:val="59"/>
    <w:rsid w:val="0044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46FD"/>
    <w:pPr>
      <w:spacing w:after="0" w:line="240" w:lineRule="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653508">
      <w:bodyDiv w:val="1"/>
      <w:marLeft w:val="0"/>
      <w:marRight w:val="0"/>
      <w:marTop w:val="0"/>
      <w:marBottom w:val="0"/>
      <w:divBdr>
        <w:top w:val="none" w:sz="0" w:space="0" w:color="auto"/>
        <w:left w:val="none" w:sz="0" w:space="0" w:color="auto"/>
        <w:bottom w:val="none" w:sz="0" w:space="0" w:color="auto"/>
        <w:right w:val="none" w:sz="0" w:space="0" w:color="auto"/>
      </w:divBdr>
    </w:div>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870187662">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206793325">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162499262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Aaron Urquhart</cp:lastModifiedBy>
  <cp:revision>19</cp:revision>
  <cp:lastPrinted>2024-03-07T03:23:00Z</cp:lastPrinted>
  <dcterms:created xsi:type="dcterms:W3CDTF">2024-01-12T05:46:00Z</dcterms:created>
  <dcterms:modified xsi:type="dcterms:W3CDTF">2024-09-25T06:26:00Z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4c7821241a9d9ef88a253e12fac5880a4357d61757ff84befd56a0c683e10475</vt:lpwstr>
  </property>
</Properties>
</file>