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C1B3" w14:textId="77777777" w:rsidR="00C41FA8" w:rsidRPr="00B340E2" w:rsidRDefault="00C41FA8" w:rsidP="007541CB">
      <w:pPr>
        <w:pStyle w:val="SCSATitle1"/>
        <w:keepNext w:val="0"/>
      </w:pPr>
      <w:r>
        <w:rPr>
          <w:noProof/>
        </w:rPr>
        <w:drawing>
          <wp:anchor distT="0" distB="0" distL="114300" distR="114300" simplePos="0" relativeHeight="251659264" behindDoc="1" locked="1" layoutInCell="1" allowOverlap="1" wp14:anchorId="1A94FD39" wp14:editId="44C0BB1E">
            <wp:simplePos x="0" y="0"/>
            <wp:positionH relativeFrom="column">
              <wp:posOffset>-6105525</wp:posOffset>
            </wp:positionH>
            <wp:positionV relativeFrom="paragraph">
              <wp:posOffset>391160</wp:posOffset>
            </wp:positionV>
            <wp:extent cx="11631295" cy="9121775"/>
            <wp:effectExtent l="0" t="0" r="0" b="0"/>
            <wp:wrapNone/>
            <wp:docPr id="1" name="Picture 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0E2">
        <w:t xml:space="preserve">Sample </w:t>
      </w:r>
      <w:r>
        <w:t>Course</w:t>
      </w:r>
      <w:r w:rsidRPr="00B340E2">
        <w:t xml:space="preserve"> Outline</w:t>
      </w:r>
    </w:p>
    <w:p w14:paraId="4304A4A1" w14:textId="77777777" w:rsidR="00C41FA8" w:rsidRPr="00B340E2" w:rsidRDefault="00C41FA8" w:rsidP="007541CB">
      <w:pPr>
        <w:pStyle w:val="SCSATitle2"/>
        <w:keepNext w:val="0"/>
      </w:pPr>
      <w:r>
        <w:t>Mathematics Methods</w:t>
      </w:r>
    </w:p>
    <w:p w14:paraId="242C7B99" w14:textId="77777777" w:rsidR="00C41FA8" w:rsidRPr="00B340E2" w:rsidRDefault="00C41FA8" w:rsidP="007541CB">
      <w:pPr>
        <w:pStyle w:val="SCSATitle3"/>
        <w:keepNext w:val="0"/>
      </w:pPr>
      <w:r w:rsidRPr="00B340E2">
        <w:t>ATAR Year 1</w:t>
      </w:r>
      <w:r>
        <w:t>2</w:t>
      </w:r>
    </w:p>
    <w:p w14:paraId="45CCE829" w14:textId="77777777" w:rsidR="00C41FA8" w:rsidRPr="00B340E2" w:rsidRDefault="00C41FA8" w:rsidP="00C41FA8">
      <w:pPr>
        <w:spacing w:line="264" w:lineRule="auto"/>
        <w:rPr>
          <w:rFonts w:ascii="Times New Roman" w:eastAsia="SimSun" w:hAnsi="Times New Roman"/>
          <w:sz w:val="24"/>
          <w:szCs w:val="24"/>
          <w:lang w:eastAsia="zh-CN"/>
        </w:rPr>
      </w:pPr>
      <w:r w:rsidRPr="00B340E2">
        <w:rPr>
          <w:rFonts w:ascii="Times New Roman" w:eastAsia="SimSun" w:hAnsi="Times New Roman"/>
          <w:sz w:val="24"/>
          <w:szCs w:val="24"/>
          <w:lang w:eastAsia="zh-CN"/>
        </w:rPr>
        <w:br w:type="page"/>
      </w:r>
    </w:p>
    <w:p w14:paraId="008FB572" w14:textId="77777777" w:rsidR="00805C8B" w:rsidRPr="00B2176D" w:rsidRDefault="00805C8B" w:rsidP="00805C8B">
      <w:pPr>
        <w:adjustRightInd w:val="0"/>
        <w:rPr>
          <w:rFonts w:eastAsiaTheme="minorHAnsi"/>
          <w:color w:val="000000"/>
          <w:lang w:bidi="my-MM"/>
        </w:rPr>
      </w:pPr>
      <w:r w:rsidRPr="00B2176D">
        <w:rPr>
          <w:rFonts w:eastAsiaTheme="minorHAnsi"/>
          <w:b/>
          <w:bCs/>
          <w:color w:val="000000"/>
          <w:lang w:bidi="my-MM"/>
        </w:rPr>
        <w:lastRenderedPageBreak/>
        <w:t>Acknowledge</w:t>
      </w:r>
      <w:r>
        <w:rPr>
          <w:rFonts w:eastAsiaTheme="minorHAnsi"/>
          <w:b/>
          <w:bCs/>
          <w:color w:val="000000"/>
          <w:lang w:bidi="my-MM"/>
        </w:rPr>
        <w:t>ment of Country</w:t>
      </w:r>
    </w:p>
    <w:p w14:paraId="22CD573D" w14:textId="312DFE69" w:rsidR="004B6106" w:rsidRPr="007541CB" w:rsidRDefault="00805C8B" w:rsidP="007541CB">
      <w:pPr>
        <w:spacing w:after="6960"/>
      </w:pPr>
      <w:r w:rsidRPr="007541C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05C1228" w14:textId="375A6B26" w:rsidR="0000256A" w:rsidRPr="007541CB" w:rsidRDefault="0000256A" w:rsidP="007541CB">
      <w:pPr>
        <w:rPr>
          <w:sz w:val="20"/>
          <w:szCs w:val="20"/>
        </w:rPr>
      </w:pPr>
      <w:r w:rsidRPr="007541CB">
        <w:rPr>
          <w:b/>
          <w:sz w:val="20"/>
          <w:szCs w:val="20"/>
        </w:rPr>
        <w:t>Copyright</w:t>
      </w:r>
      <w:r w:rsidRPr="007541CB">
        <w:rPr>
          <w:sz w:val="20"/>
          <w:szCs w:val="20"/>
        </w:rPr>
        <w:t>© School Curriculum and Standards Authority, 2017</w:t>
      </w:r>
    </w:p>
    <w:p w14:paraId="50BF7A6F" w14:textId="77777777" w:rsidR="00805C8B" w:rsidRPr="007541CB" w:rsidRDefault="00805C8B" w:rsidP="007541CB">
      <w:pPr>
        <w:rPr>
          <w:sz w:val="20"/>
          <w:szCs w:val="20"/>
        </w:rPr>
      </w:pPr>
      <w:r w:rsidRPr="007541CB">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CC8C7F1" w14:textId="77777777" w:rsidR="00805C8B" w:rsidRPr="007541CB" w:rsidRDefault="00805C8B" w:rsidP="007541CB">
      <w:pPr>
        <w:rPr>
          <w:sz w:val="20"/>
          <w:szCs w:val="20"/>
        </w:rPr>
      </w:pPr>
      <w:r w:rsidRPr="007541CB">
        <w:rPr>
          <w:sz w:val="20"/>
          <w:szCs w:val="20"/>
        </w:rPr>
        <w:t xml:space="preserve">Copying or communication for any other purpose can be done only within the terms of the </w:t>
      </w:r>
      <w:r w:rsidRPr="007541CB">
        <w:rPr>
          <w:i/>
          <w:sz w:val="20"/>
          <w:szCs w:val="20"/>
        </w:rPr>
        <w:t>Copyright Act 1968</w:t>
      </w:r>
      <w:r w:rsidRPr="007541CB">
        <w:rPr>
          <w:sz w:val="20"/>
          <w:szCs w:val="20"/>
        </w:rPr>
        <w:t xml:space="preserve"> or with prior written permission of the Authority. Copying or communication of any third-party copyright material can be done only within the terms of the </w:t>
      </w:r>
      <w:r w:rsidRPr="007541CB">
        <w:rPr>
          <w:i/>
          <w:sz w:val="20"/>
          <w:szCs w:val="20"/>
        </w:rPr>
        <w:t>Copyright Act 1968</w:t>
      </w:r>
      <w:r w:rsidRPr="007541CB">
        <w:rPr>
          <w:sz w:val="20"/>
          <w:szCs w:val="20"/>
        </w:rPr>
        <w:t xml:space="preserve"> or with permission of the copyright owners.</w:t>
      </w:r>
    </w:p>
    <w:p w14:paraId="1DAB5DAB" w14:textId="77777777" w:rsidR="00805C8B" w:rsidRPr="007541CB" w:rsidRDefault="00805C8B" w:rsidP="007541CB">
      <w:pPr>
        <w:rPr>
          <w:sz w:val="20"/>
          <w:szCs w:val="20"/>
        </w:rPr>
      </w:pPr>
      <w:r w:rsidRPr="007541CB">
        <w:rPr>
          <w:sz w:val="20"/>
          <w:szCs w:val="20"/>
        </w:rPr>
        <w:t xml:space="preserve">Any content in this document that has been derived from the Australian Curriculum may be used under the terms of the </w:t>
      </w:r>
      <w:hyperlink r:id="rId9" w:history="1">
        <w:r w:rsidRPr="007541CB">
          <w:rPr>
            <w:rStyle w:val="Hyperlink"/>
            <w:sz w:val="20"/>
            <w:szCs w:val="20"/>
          </w:rPr>
          <w:t>Creative Commons Attribution 4.0 International (CC BY)</w:t>
        </w:r>
      </w:hyperlink>
      <w:r w:rsidRPr="007541CB">
        <w:rPr>
          <w:sz w:val="20"/>
          <w:szCs w:val="20"/>
        </w:rPr>
        <w:t xml:space="preserve"> licence.</w:t>
      </w:r>
    </w:p>
    <w:p w14:paraId="469E6EBB" w14:textId="77777777" w:rsidR="0000256A" w:rsidRPr="00805C8B" w:rsidRDefault="0000256A" w:rsidP="0000256A">
      <w:pPr>
        <w:spacing w:after="80" w:line="264" w:lineRule="auto"/>
        <w:ind w:right="68"/>
        <w:jc w:val="both"/>
        <w:rPr>
          <w:rFonts w:ascii="Calibri" w:hAnsi="Calibri" w:cs="Arial"/>
          <w:b/>
          <w:sz w:val="20"/>
          <w:szCs w:val="20"/>
        </w:rPr>
      </w:pPr>
      <w:r w:rsidRPr="00805C8B">
        <w:rPr>
          <w:rFonts w:ascii="Calibri" w:hAnsi="Calibri" w:cs="Arial"/>
          <w:b/>
          <w:sz w:val="20"/>
          <w:szCs w:val="20"/>
        </w:rPr>
        <w:t>Disclaimer</w:t>
      </w:r>
    </w:p>
    <w:p w14:paraId="470ACBF5" w14:textId="37CA503E" w:rsidR="0000256A" w:rsidRPr="00805C8B" w:rsidRDefault="0000256A" w:rsidP="00805C8B">
      <w:pPr>
        <w:spacing w:line="264" w:lineRule="auto"/>
        <w:ind w:right="68"/>
        <w:rPr>
          <w:rFonts w:ascii="Calibri" w:hAnsi="Calibri" w:cs="Arial"/>
          <w:sz w:val="20"/>
          <w:szCs w:val="20"/>
        </w:rPr>
      </w:pPr>
      <w:r w:rsidRPr="00805C8B">
        <w:rPr>
          <w:rFonts w:ascii="Calibri" w:hAnsi="Calibri" w:cs="Arial"/>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805C8B">
        <w:rPr>
          <w:rFonts w:ascii="Calibri" w:hAnsi="Calibri" w:cs="Arial"/>
          <w:sz w:val="20"/>
          <w:szCs w:val="20"/>
        </w:rPr>
        <w:t xml:space="preserve"> Teachers must exercise their professional judgement as to the appropriateness of any they may wish to use.</w:t>
      </w:r>
    </w:p>
    <w:p w14:paraId="043F4F8C" w14:textId="77777777" w:rsidR="00C41FA8" w:rsidRDefault="00C41FA8" w:rsidP="00C41FA8">
      <w:pPr>
        <w:rPr>
          <w:rFonts w:ascii="Franklin Gothic Book" w:eastAsia="MS Mincho" w:hAnsi="Franklin Gothic Book" w:cs="Calibri"/>
          <w:color w:val="342568"/>
          <w:sz w:val="28"/>
          <w:szCs w:val="28"/>
          <w:lang w:val="en-GB" w:eastAsia="ja-JP"/>
        </w:rPr>
        <w:sectPr w:rsidR="00C41FA8" w:rsidSect="000358EE">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0BDB63A9" w14:textId="77777777" w:rsidR="00C41FA8" w:rsidRPr="00054C2C" w:rsidRDefault="00C41FA8" w:rsidP="003B0266">
      <w:pPr>
        <w:pStyle w:val="SCSAHeading1"/>
        <w:rPr>
          <w:lang w:val="en-GB" w:eastAsia="ja-JP"/>
        </w:rPr>
      </w:pPr>
      <w:r w:rsidRPr="00054C2C">
        <w:rPr>
          <w:lang w:val="en-GB" w:eastAsia="ja-JP"/>
        </w:rPr>
        <w:lastRenderedPageBreak/>
        <w:t>Sample course outline</w:t>
      </w:r>
    </w:p>
    <w:p w14:paraId="7A8B0DE7" w14:textId="77777777" w:rsidR="00C41FA8" w:rsidRPr="00054C2C" w:rsidRDefault="00BF75F5" w:rsidP="003B0266">
      <w:pPr>
        <w:pStyle w:val="SCSAHeading1"/>
        <w:rPr>
          <w:lang w:val="en-GB" w:eastAsia="ja-JP"/>
        </w:rPr>
      </w:pPr>
      <w:r>
        <w:rPr>
          <w:lang w:val="en-GB" w:eastAsia="ja-JP"/>
        </w:rPr>
        <w:t xml:space="preserve">Mathematics Methods </w:t>
      </w:r>
      <w:r>
        <w:rPr>
          <w:rFonts w:ascii="Calibri" w:hAnsi="Calibri"/>
          <w:lang w:val="en-GB" w:eastAsia="ja-JP"/>
        </w:rPr>
        <w:t>–</w:t>
      </w:r>
      <w:r w:rsidR="00C41FA8" w:rsidRPr="00054C2C">
        <w:rPr>
          <w:lang w:val="en-GB" w:eastAsia="ja-JP"/>
        </w:rPr>
        <w:t xml:space="preserve"> ATAR Year 12</w:t>
      </w:r>
    </w:p>
    <w:p w14:paraId="43A14A02" w14:textId="77777777" w:rsidR="00C41FA8" w:rsidRDefault="00C41FA8" w:rsidP="003B0266">
      <w:pPr>
        <w:pStyle w:val="SCSAHeading2"/>
        <w:rPr>
          <w:lang w:val="en-GB" w:eastAsia="ja-JP"/>
        </w:rPr>
      </w:pPr>
      <w:r w:rsidRPr="00054C2C">
        <w:rPr>
          <w:lang w:val="en-GB" w:eastAsia="ja-JP"/>
        </w:rPr>
        <w:t>Unit 3 and Unit 4</w:t>
      </w:r>
    </w:p>
    <w:p w14:paraId="660F1343" w14:textId="77777777" w:rsidR="00BF5B98" w:rsidRPr="003B0266" w:rsidRDefault="00BF5B98" w:rsidP="003B0266">
      <w:pPr>
        <w:rPr>
          <w:b/>
          <w:bCs/>
        </w:rPr>
      </w:pPr>
      <w:r w:rsidRPr="003B0266">
        <w:rPr>
          <w:b/>
          <w:bCs/>
        </w:rPr>
        <w:t>Semester 1</w:t>
      </w:r>
    </w:p>
    <w:tbl>
      <w:tblPr>
        <w:tblStyle w:val="SCSATable"/>
        <w:tblW w:w="5020" w:type="pct"/>
        <w:tblLook w:val="04A0" w:firstRow="1" w:lastRow="0" w:firstColumn="1" w:lastColumn="0" w:noHBand="0" w:noVBand="1"/>
      </w:tblPr>
      <w:tblGrid>
        <w:gridCol w:w="1110"/>
        <w:gridCol w:w="6099"/>
        <w:gridCol w:w="1843"/>
      </w:tblGrid>
      <w:tr w:rsidR="00BF5B98" w:rsidRPr="00E8555C" w14:paraId="7A7A2DDB" w14:textId="77777777" w:rsidTr="00754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hideMark/>
          </w:tcPr>
          <w:p w14:paraId="6B62E6C0" w14:textId="77777777" w:rsidR="00BF5B98" w:rsidRPr="003B0266" w:rsidRDefault="00BF5B98" w:rsidP="007541CB">
            <w:pPr>
              <w:spacing w:after="0"/>
              <w:rPr>
                <w:rFonts w:ascii="Calibri" w:hAnsi="Calibri" w:cs="Arial"/>
                <w:b w:val="0"/>
                <w:lang w:eastAsia="en-US"/>
              </w:rPr>
            </w:pPr>
            <w:r w:rsidRPr="003B0266">
              <w:rPr>
                <w:rFonts w:ascii="Calibri" w:hAnsi="Calibri" w:cs="Arial"/>
                <w:lang w:eastAsia="en-US"/>
              </w:rPr>
              <w:t>Week</w:t>
            </w:r>
          </w:p>
        </w:tc>
        <w:tc>
          <w:tcPr>
            <w:tcW w:w="3369" w:type="pct"/>
            <w:vAlign w:val="center"/>
            <w:hideMark/>
          </w:tcPr>
          <w:p w14:paraId="4C3B45CA" w14:textId="77777777" w:rsidR="00BF5B98" w:rsidRPr="003B0266" w:rsidRDefault="00BF5B98" w:rsidP="007541C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lang w:eastAsia="en-US"/>
              </w:rPr>
            </w:pPr>
            <w:r w:rsidRPr="003B0266">
              <w:rPr>
                <w:rFonts w:ascii="Calibri" w:hAnsi="Calibri" w:cs="Arial"/>
                <w:lang w:eastAsia="en-US"/>
              </w:rPr>
              <w:t>Topic/Syllabus content</w:t>
            </w:r>
          </w:p>
        </w:tc>
        <w:tc>
          <w:tcPr>
            <w:tcW w:w="1018" w:type="pct"/>
            <w:vAlign w:val="center"/>
          </w:tcPr>
          <w:p w14:paraId="18F141E8" w14:textId="77777777" w:rsidR="00BF5B98" w:rsidRPr="003B0266" w:rsidRDefault="00BF5B98" w:rsidP="007541C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lang w:eastAsia="en-US"/>
              </w:rPr>
            </w:pPr>
            <w:r w:rsidRPr="003B0266">
              <w:rPr>
                <w:rFonts w:ascii="Calibri" w:hAnsi="Calibri" w:cs="Arial"/>
                <w:lang w:eastAsia="en-US"/>
              </w:rPr>
              <w:t>Assessment</w:t>
            </w:r>
          </w:p>
        </w:tc>
      </w:tr>
      <w:tr w:rsidR="00BF5B98" w:rsidRPr="00E8555C" w14:paraId="4A2EFA4E" w14:textId="77777777" w:rsidTr="007541CB">
        <w:trPr>
          <w:trHeight w:val="1555"/>
        </w:trPr>
        <w:tc>
          <w:tcPr>
            <w:cnfStyle w:val="001000000000" w:firstRow="0" w:lastRow="0" w:firstColumn="1" w:lastColumn="0" w:oddVBand="0" w:evenVBand="0" w:oddHBand="0" w:evenHBand="0" w:firstRowFirstColumn="0" w:firstRowLastColumn="0" w:lastRowFirstColumn="0" w:lastRowLastColumn="0"/>
            <w:tcW w:w="613" w:type="pct"/>
            <w:hideMark/>
          </w:tcPr>
          <w:p w14:paraId="3C3E1CD3" w14:textId="77777777" w:rsidR="00BF5B98" w:rsidRPr="00054C2C" w:rsidRDefault="00BF5B98" w:rsidP="00A10D3B">
            <w:pPr>
              <w:rPr>
                <w:rFonts w:ascii="Calibri" w:hAnsi="Calibri" w:cs="Arial"/>
                <w:lang w:eastAsia="en-US"/>
              </w:rPr>
            </w:pPr>
            <w:r w:rsidRPr="00054C2C">
              <w:rPr>
                <w:rFonts w:ascii="Calibri" w:hAnsi="Calibri" w:cs="Arial"/>
                <w:lang w:val="en-GB" w:eastAsia="en-US"/>
              </w:rPr>
              <w:t>1–2</w:t>
            </w:r>
          </w:p>
        </w:tc>
        <w:tc>
          <w:tcPr>
            <w:tcW w:w="3369" w:type="pct"/>
          </w:tcPr>
          <w:p w14:paraId="35E4A4A4" w14:textId="77777777" w:rsidR="00BF5B98" w:rsidRPr="00140830" w:rsidRDefault="00BF5B98" w:rsidP="00DB3BF5">
            <w:pPr>
              <w:tabs>
                <w:tab w:val="left" w:pos="4536"/>
              </w:tabs>
              <w:spacing w:after="0"/>
              <w:cnfStyle w:val="000000000000" w:firstRow="0" w:lastRow="0" w:firstColumn="0" w:lastColumn="0" w:oddVBand="0" w:evenVBand="0" w:oddHBand="0" w:evenHBand="0" w:firstRowFirstColumn="0" w:firstRowLastColumn="0" w:lastRowFirstColumn="0" w:lastRowLastColumn="0"/>
            </w:pPr>
            <w:r w:rsidRPr="00140830">
              <w:rPr>
                <w:b/>
              </w:rPr>
              <w:t>Further differentiation and applications</w:t>
            </w:r>
            <w:r>
              <w:rPr>
                <w:b/>
              </w:rPr>
              <w:t xml:space="preserve"> (3.1.1–3.1.16)</w:t>
            </w:r>
          </w:p>
          <w:p w14:paraId="1F8D0730" w14:textId="73A8E7AC" w:rsidR="00BF5B98" w:rsidRPr="00140830" w:rsidRDefault="00BF5B98" w:rsidP="00DB3BF5">
            <w:pPr>
              <w:cnfStyle w:val="000000000000" w:firstRow="0" w:lastRow="0" w:firstColumn="0" w:lastColumn="0" w:oddVBand="0" w:evenVBand="0" w:oddHBand="0" w:evenHBand="0" w:firstRowFirstColumn="0" w:firstRowLastColumn="0" w:lastRowFirstColumn="0" w:lastRowLastColumn="0"/>
            </w:pPr>
            <w:r w:rsidRPr="00140830">
              <w:t xml:space="preserve">Exponential functions – estimate and identify </w:t>
            </w:r>
            <w:r w:rsidRPr="00140830">
              <w:rPr>
                <w:i/>
              </w:rPr>
              <w:t>e</w:t>
            </w:r>
            <w:r w:rsidRPr="00140830">
              <w:t xml:space="preserve"> and </w:t>
            </w:r>
            <w:r>
              <w:t xml:space="preserve">establish </w:t>
            </w:r>
            <w:r w:rsidRPr="00140830">
              <w:t>its derivative</w:t>
            </w:r>
            <w:r w:rsidR="005E1EAE">
              <w:t>;</w:t>
            </w:r>
            <w:r w:rsidRPr="00140830">
              <w:t xml:space="preserve"> use the exponential growth function and its derivative to solve problems</w:t>
            </w:r>
          </w:p>
          <w:p w14:paraId="00598D97" w14:textId="77777777"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 xml:space="preserve">Trigonometric functions – use geometric constructions, graphical and numerical methods to establish the derivative of sin </w:t>
            </w:r>
            <w:r w:rsidRPr="00140830">
              <w:rPr>
                <w:i/>
              </w:rPr>
              <w:t>x</w:t>
            </w:r>
            <w:r w:rsidRPr="00140830">
              <w:t xml:space="preserve"> and cos </w:t>
            </w:r>
            <w:r w:rsidRPr="00140830">
              <w:rPr>
                <w:i/>
              </w:rPr>
              <w:t>x</w:t>
            </w:r>
            <w:r w:rsidRPr="00140830">
              <w:t xml:space="preserve"> and use them to solve practical problems</w:t>
            </w:r>
          </w:p>
        </w:tc>
        <w:tc>
          <w:tcPr>
            <w:tcW w:w="1018" w:type="pct"/>
            <w:vAlign w:val="center"/>
          </w:tcPr>
          <w:p w14:paraId="06998278"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5104F97B" w14:textId="77777777" w:rsidTr="007541CB">
        <w:trPr>
          <w:trHeight w:val="417"/>
        </w:trPr>
        <w:tc>
          <w:tcPr>
            <w:cnfStyle w:val="001000000000" w:firstRow="0" w:lastRow="0" w:firstColumn="1" w:lastColumn="0" w:oddVBand="0" w:evenVBand="0" w:oddHBand="0" w:evenHBand="0" w:firstRowFirstColumn="0" w:firstRowLastColumn="0" w:lastRowFirstColumn="0" w:lastRowLastColumn="0"/>
            <w:tcW w:w="613" w:type="pct"/>
            <w:hideMark/>
          </w:tcPr>
          <w:p w14:paraId="074559D8" w14:textId="77777777" w:rsidR="00BF5B98" w:rsidRPr="00054C2C" w:rsidRDefault="00BF5B98" w:rsidP="00A10D3B">
            <w:pPr>
              <w:rPr>
                <w:rFonts w:ascii="Calibri" w:hAnsi="Calibri" w:cs="Arial"/>
                <w:lang w:eastAsia="en-US"/>
              </w:rPr>
            </w:pPr>
            <w:r w:rsidRPr="00054C2C">
              <w:rPr>
                <w:rFonts w:ascii="Calibri" w:hAnsi="Calibri" w:cs="Arial"/>
                <w:lang w:eastAsia="en-US"/>
              </w:rPr>
              <w:t>3</w:t>
            </w:r>
          </w:p>
        </w:tc>
        <w:tc>
          <w:tcPr>
            <w:tcW w:w="3369" w:type="pct"/>
          </w:tcPr>
          <w:p w14:paraId="0A945617" w14:textId="77777777"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 xml:space="preserve">Differentiation rules – examine, </w:t>
            </w:r>
            <w:r>
              <w:t>apply</w:t>
            </w:r>
            <w:r w:rsidRPr="00140830">
              <w:t xml:space="preserve"> and use the product, quotient and chain rule to differentiate a range of functions</w:t>
            </w:r>
          </w:p>
        </w:tc>
        <w:tc>
          <w:tcPr>
            <w:tcW w:w="1018" w:type="pct"/>
            <w:vAlign w:val="center"/>
          </w:tcPr>
          <w:p w14:paraId="77B760AE" w14:textId="77777777" w:rsidR="00BF5B98" w:rsidRPr="0085109C" w:rsidRDefault="00BF5B98" w:rsidP="003B026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val="en-GB" w:eastAsia="en-US"/>
              </w:rPr>
            </w:pPr>
          </w:p>
        </w:tc>
      </w:tr>
      <w:tr w:rsidR="00BF5B98" w:rsidRPr="00E8555C" w14:paraId="6E72D31F" w14:textId="77777777" w:rsidTr="007541CB">
        <w:tc>
          <w:tcPr>
            <w:cnfStyle w:val="001000000000" w:firstRow="0" w:lastRow="0" w:firstColumn="1" w:lastColumn="0" w:oddVBand="0" w:evenVBand="0" w:oddHBand="0" w:evenHBand="0" w:firstRowFirstColumn="0" w:firstRowLastColumn="0" w:lastRowFirstColumn="0" w:lastRowLastColumn="0"/>
            <w:tcW w:w="613" w:type="pct"/>
            <w:hideMark/>
          </w:tcPr>
          <w:p w14:paraId="46E3D0B4" w14:textId="77777777" w:rsidR="00BF5B98" w:rsidRPr="00054C2C" w:rsidRDefault="00BF5B98" w:rsidP="00A10D3B">
            <w:pPr>
              <w:rPr>
                <w:rFonts w:ascii="Calibri" w:hAnsi="Calibri" w:cs="Arial"/>
                <w:lang w:eastAsia="en-US"/>
              </w:rPr>
            </w:pPr>
            <w:r w:rsidRPr="00054C2C">
              <w:rPr>
                <w:rFonts w:ascii="Calibri" w:hAnsi="Calibri" w:cs="Arial"/>
                <w:lang w:eastAsia="en-US"/>
              </w:rPr>
              <w:t>4–5</w:t>
            </w:r>
          </w:p>
        </w:tc>
        <w:tc>
          <w:tcPr>
            <w:tcW w:w="3369" w:type="pct"/>
          </w:tcPr>
          <w:p w14:paraId="2CCA6E3F" w14:textId="77777777"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The second derivative and applications of differentiation – identify and apply differentiation techniques and concepts to optimisation problems, rates of change and graph sketching</w:t>
            </w:r>
          </w:p>
        </w:tc>
        <w:tc>
          <w:tcPr>
            <w:tcW w:w="1018" w:type="pct"/>
            <w:vAlign w:val="center"/>
          </w:tcPr>
          <w:p w14:paraId="6CF42D18"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b/>
                <w:lang w:val="en-GB" w:eastAsia="en-US"/>
              </w:rPr>
              <w:t xml:space="preserve">Task </w:t>
            </w:r>
            <w:r>
              <w:rPr>
                <w:rFonts w:ascii="Calibri" w:hAnsi="Calibri" w:cs="Arial"/>
                <w:b/>
                <w:lang w:val="en-GB" w:eastAsia="en-US"/>
              </w:rPr>
              <w:t>1</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eek 5)</w:t>
            </w:r>
          </w:p>
        </w:tc>
      </w:tr>
      <w:tr w:rsidR="00BF5B98" w:rsidRPr="00E8555C" w14:paraId="28FBE1F6" w14:textId="77777777" w:rsidTr="007541CB">
        <w:tc>
          <w:tcPr>
            <w:cnfStyle w:val="001000000000" w:firstRow="0" w:lastRow="0" w:firstColumn="1" w:lastColumn="0" w:oddVBand="0" w:evenVBand="0" w:oddHBand="0" w:evenHBand="0" w:firstRowFirstColumn="0" w:firstRowLastColumn="0" w:lastRowFirstColumn="0" w:lastRowLastColumn="0"/>
            <w:tcW w:w="613" w:type="pct"/>
            <w:hideMark/>
          </w:tcPr>
          <w:p w14:paraId="461A518F" w14:textId="77777777" w:rsidR="00BF5B98" w:rsidRPr="00054C2C" w:rsidRDefault="00BF5B98" w:rsidP="00A10D3B">
            <w:pPr>
              <w:rPr>
                <w:rFonts w:ascii="Calibri" w:hAnsi="Calibri" w:cs="Arial"/>
                <w:lang w:eastAsia="en-US"/>
              </w:rPr>
            </w:pPr>
            <w:r w:rsidRPr="00054C2C">
              <w:rPr>
                <w:rFonts w:ascii="Calibri" w:hAnsi="Calibri" w:cs="Arial"/>
                <w:lang w:eastAsia="en-US"/>
              </w:rPr>
              <w:t>6</w:t>
            </w:r>
          </w:p>
        </w:tc>
        <w:tc>
          <w:tcPr>
            <w:tcW w:w="3369" w:type="pct"/>
          </w:tcPr>
          <w:p w14:paraId="7AB7BA2E" w14:textId="77777777" w:rsidR="00BF5B98" w:rsidRPr="00140830" w:rsidRDefault="00BF5B98" w:rsidP="00DB3BF5">
            <w:pPr>
              <w:tabs>
                <w:tab w:val="left" w:pos="4536"/>
              </w:tabs>
              <w:spacing w:after="0"/>
              <w:cnfStyle w:val="000000000000" w:firstRow="0" w:lastRow="0" w:firstColumn="0" w:lastColumn="0" w:oddVBand="0" w:evenVBand="0" w:oddHBand="0" w:evenHBand="0" w:firstRowFirstColumn="0" w:firstRowLastColumn="0" w:lastRowFirstColumn="0" w:lastRowLastColumn="0"/>
              <w:rPr>
                <w:b/>
              </w:rPr>
            </w:pPr>
            <w:r w:rsidRPr="00140830">
              <w:rPr>
                <w:b/>
              </w:rPr>
              <w:t>Integrals</w:t>
            </w:r>
            <w:r>
              <w:rPr>
                <w:b/>
              </w:rPr>
              <w:t xml:space="preserve"> (3.2.1–3.2.22)</w:t>
            </w:r>
          </w:p>
          <w:p w14:paraId="756E71BE" w14:textId="31CCA3D3"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Anti-differentiation – identify anti-differentiation as a process that reverses differentiation</w:t>
            </w:r>
            <w:r w:rsidR="005E1EAE">
              <w:t>;</w:t>
            </w:r>
            <w:r w:rsidRPr="00140830">
              <w:t xml:space="preserve"> establish and use notation and formulas</w:t>
            </w:r>
            <w:r w:rsidR="008D3220">
              <w:t>,</w:t>
            </w:r>
            <w:r w:rsidRPr="00140830">
              <w:t xml:space="preserve"> and use linearity of anti-differentiation</w:t>
            </w:r>
          </w:p>
        </w:tc>
        <w:tc>
          <w:tcPr>
            <w:tcW w:w="1018" w:type="pct"/>
            <w:vAlign w:val="center"/>
          </w:tcPr>
          <w:p w14:paraId="290E69C1"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41091A8A" w14:textId="77777777" w:rsidTr="007541CB">
        <w:tc>
          <w:tcPr>
            <w:cnfStyle w:val="001000000000" w:firstRow="0" w:lastRow="0" w:firstColumn="1" w:lastColumn="0" w:oddVBand="0" w:evenVBand="0" w:oddHBand="0" w:evenHBand="0" w:firstRowFirstColumn="0" w:firstRowLastColumn="0" w:lastRowFirstColumn="0" w:lastRowLastColumn="0"/>
            <w:tcW w:w="613" w:type="pct"/>
            <w:hideMark/>
          </w:tcPr>
          <w:p w14:paraId="621873D4" w14:textId="77777777" w:rsidR="00BF5B98" w:rsidRPr="00054C2C" w:rsidRDefault="00BF5B98" w:rsidP="00A10D3B">
            <w:pPr>
              <w:rPr>
                <w:rFonts w:ascii="Calibri" w:hAnsi="Calibri" w:cs="Arial"/>
                <w:lang w:eastAsia="en-US"/>
              </w:rPr>
            </w:pPr>
            <w:r w:rsidRPr="00054C2C">
              <w:rPr>
                <w:rFonts w:ascii="Calibri" w:hAnsi="Calibri" w:cs="Arial"/>
                <w:lang w:val="en-GB" w:eastAsia="en-US"/>
              </w:rPr>
              <w:t>7–8</w:t>
            </w:r>
          </w:p>
        </w:tc>
        <w:tc>
          <w:tcPr>
            <w:tcW w:w="3369" w:type="pct"/>
          </w:tcPr>
          <w:p w14:paraId="5F208792" w14:textId="602E3A07"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 xml:space="preserve">Definite integrals and </w:t>
            </w:r>
            <w:r>
              <w:t xml:space="preserve">the </w:t>
            </w:r>
            <w:r w:rsidRPr="00140830">
              <w:t>Fundamental theorem – estimate the area under a curve</w:t>
            </w:r>
            <w:r w:rsidR="005E1EAE">
              <w:t>;</w:t>
            </w:r>
            <w:r w:rsidRPr="00140830">
              <w:t xml:space="preserve"> link and interpret the limit of sums to area using integrals</w:t>
            </w:r>
            <w:r w:rsidR="005E1EAE">
              <w:t>;</w:t>
            </w:r>
            <w:r w:rsidRPr="00140830">
              <w:t xml:space="preserve"> examine</w:t>
            </w:r>
            <w:r w:rsidR="005E1EAE">
              <w:t>,</w:t>
            </w:r>
            <w:r w:rsidRPr="00140830">
              <w:t xml:space="preserve"> develop and apply the Fundamental theorem as a link between differentiating and integrating</w:t>
            </w:r>
          </w:p>
        </w:tc>
        <w:tc>
          <w:tcPr>
            <w:tcW w:w="1018" w:type="pct"/>
            <w:vAlign w:val="center"/>
          </w:tcPr>
          <w:p w14:paraId="2A600769"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b/>
                <w:lang w:val="en-GB" w:eastAsia="en-US"/>
              </w:rPr>
              <w:t xml:space="preserve">Task </w:t>
            </w:r>
            <w:r>
              <w:rPr>
                <w:rFonts w:ascii="Calibri" w:hAnsi="Calibri" w:cs="Arial"/>
                <w:b/>
                <w:lang w:val="en-GB" w:eastAsia="en-US"/>
              </w:rPr>
              <w:t>2</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 xml:space="preserve">eek </w:t>
            </w:r>
            <w:r>
              <w:rPr>
                <w:rFonts w:ascii="Calibri" w:hAnsi="Calibri" w:cs="Arial"/>
                <w:lang w:val="en-GB" w:eastAsia="en-US"/>
              </w:rPr>
              <w:t>8</w:t>
            </w:r>
            <w:r w:rsidRPr="00054C2C">
              <w:rPr>
                <w:rFonts w:ascii="Calibri" w:hAnsi="Calibri" w:cs="Arial"/>
                <w:lang w:val="en-GB" w:eastAsia="en-US"/>
              </w:rPr>
              <w:t>)</w:t>
            </w:r>
          </w:p>
        </w:tc>
      </w:tr>
      <w:tr w:rsidR="00BF5B98" w:rsidRPr="00E8555C" w14:paraId="688546B2" w14:textId="77777777" w:rsidTr="007541CB">
        <w:tc>
          <w:tcPr>
            <w:cnfStyle w:val="001000000000" w:firstRow="0" w:lastRow="0" w:firstColumn="1" w:lastColumn="0" w:oddVBand="0" w:evenVBand="0" w:oddHBand="0" w:evenHBand="0" w:firstRowFirstColumn="0" w:firstRowLastColumn="0" w:lastRowFirstColumn="0" w:lastRowLastColumn="0"/>
            <w:tcW w:w="613" w:type="pct"/>
            <w:hideMark/>
          </w:tcPr>
          <w:p w14:paraId="154C0058" w14:textId="77777777" w:rsidR="00BF5B98" w:rsidRPr="00054C2C" w:rsidRDefault="00BF5B98" w:rsidP="00A10D3B">
            <w:pPr>
              <w:rPr>
                <w:rFonts w:ascii="Calibri" w:hAnsi="Calibri" w:cs="Arial"/>
                <w:lang w:eastAsia="en-US"/>
              </w:rPr>
            </w:pPr>
            <w:r w:rsidRPr="00054C2C">
              <w:rPr>
                <w:rFonts w:ascii="Calibri" w:hAnsi="Calibri" w:cs="Arial"/>
                <w:lang w:val="en-GB" w:eastAsia="en-US"/>
              </w:rPr>
              <w:t>9–10</w:t>
            </w:r>
          </w:p>
        </w:tc>
        <w:tc>
          <w:tcPr>
            <w:tcW w:w="3369" w:type="pct"/>
          </w:tcPr>
          <w:p w14:paraId="1FB5EC23" w14:textId="7B23F0D1"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 xml:space="preserve">Applications of integration – apply techniques of </w:t>
            </w:r>
            <w:r w:rsidR="003B0266" w:rsidRPr="00140830">
              <w:t>integration to</w:t>
            </w:r>
            <w:r w:rsidRPr="00140830">
              <w:t xml:space="preserve"> rates of change, area and motion problems</w:t>
            </w:r>
          </w:p>
        </w:tc>
        <w:tc>
          <w:tcPr>
            <w:tcW w:w="1018" w:type="pct"/>
            <w:vAlign w:val="center"/>
          </w:tcPr>
          <w:p w14:paraId="2130CF16"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13265ED7" w14:textId="77777777" w:rsidTr="007541CB">
        <w:tc>
          <w:tcPr>
            <w:cnfStyle w:val="001000000000" w:firstRow="0" w:lastRow="0" w:firstColumn="1" w:lastColumn="0" w:oddVBand="0" w:evenVBand="0" w:oddHBand="0" w:evenHBand="0" w:firstRowFirstColumn="0" w:firstRowLastColumn="0" w:lastRowFirstColumn="0" w:lastRowLastColumn="0"/>
            <w:tcW w:w="613" w:type="pct"/>
          </w:tcPr>
          <w:p w14:paraId="5BF61459" w14:textId="77777777" w:rsidR="00BF5B98" w:rsidRPr="00054C2C" w:rsidRDefault="00BF5B98" w:rsidP="00A10D3B">
            <w:pPr>
              <w:rPr>
                <w:rFonts w:ascii="Calibri" w:hAnsi="Calibri" w:cs="Arial"/>
                <w:lang w:eastAsia="en-US"/>
              </w:rPr>
            </w:pPr>
            <w:r w:rsidRPr="00054C2C">
              <w:rPr>
                <w:rFonts w:ascii="Calibri" w:hAnsi="Calibri" w:cs="Arial"/>
                <w:lang w:val="en-GB" w:eastAsia="en-US"/>
              </w:rPr>
              <w:t>11–12</w:t>
            </w:r>
          </w:p>
        </w:tc>
        <w:tc>
          <w:tcPr>
            <w:tcW w:w="3369" w:type="pct"/>
          </w:tcPr>
          <w:p w14:paraId="0A777393" w14:textId="77777777" w:rsidR="00BF5B98" w:rsidRPr="00140830" w:rsidRDefault="00BF5B98" w:rsidP="00DB3BF5">
            <w:pPr>
              <w:tabs>
                <w:tab w:val="left" w:pos="4536"/>
              </w:tabs>
              <w:spacing w:after="0"/>
              <w:cnfStyle w:val="000000000000" w:firstRow="0" w:lastRow="0" w:firstColumn="0" w:lastColumn="0" w:oddVBand="0" w:evenVBand="0" w:oddHBand="0" w:evenHBand="0" w:firstRowFirstColumn="0" w:firstRowLastColumn="0" w:lastRowFirstColumn="0" w:lastRowLastColumn="0"/>
              <w:rPr>
                <w:b/>
              </w:rPr>
            </w:pPr>
            <w:r w:rsidRPr="00140830">
              <w:rPr>
                <w:b/>
              </w:rPr>
              <w:t>Discrete random variables</w:t>
            </w:r>
            <w:r>
              <w:rPr>
                <w:b/>
              </w:rPr>
              <w:t xml:space="preserve"> (3.3.1–3.3.16)</w:t>
            </w:r>
          </w:p>
          <w:p w14:paraId="23998EB1" w14:textId="6875124E"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rPr>
                <w:rFonts w:cs="Arial"/>
                <w:lang w:eastAsia="en-US"/>
              </w:rPr>
            </w:pPr>
            <w:r w:rsidRPr="00140830">
              <w:t>General discrete random variables</w:t>
            </w:r>
            <w:r w:rsidR="00C83FDA">
              <w:t xml:space="preserve"> </w:t>
            </w:r>
            <w:r w:rsidRPr="00140830">
              <w:t>– identify and develop discrete random variables and their associated</w:t>
            </w:r>
            <w:r>
              <w:t xml:space="preserve"> probability functions</w:t>
            </w:r>
            <w:r w:rsidR="00852FF7">
              <w:t>;</w:t>
            </w:r>
            <w:r>
              <w:t xml:space="preserve"> identify parameters and use </w:t>
            </w:r>
            <w:r w:rsidR="0006029D">
              <w:t xml:space="preserve">discrete random variables </w:t>
            </w:r>
            <w:r w:rsidRPr="00140830">
              <w:t>to model and solve practical problems</w:t>
            </w:r>
          </w:p>
        </w:tc>
        <w:tc>
          <w:tcPr>
            <w:tcW w:w="1018" w:type="pct"/>
            <w:vAlign w:val="center"/>
          </w:tcPr>
          <w:p w14:paraId="5503F04B"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5C18E1A1" w14:textId="77777777" w:rsidTr="007541CB">
        <w:tc>
          <w:tcPr>
            <w:cnfStyle w:val="001000000000" w:firstRow="0" w:lastRow="0" w:firstColumn="1" w:lastColumn="0" w:oddVBand="0" w:evenVBand="0" w:oddHBand="0" w:evenHBand="0" w:firstRowFirstColumn="0" w:firstRowLastColumn="0" w:lastRowFirstColumn="0" w:lastRowLastColumn="0"/>
            <w:tcW w:w="613" w:type="pct"/>
          </w:tcPr>
          <w:p w14:paraId="42111FAB" w14:textId="77777777" w:rsidR="00BF5B98" w:rsidRPr="00054C2C" w:rsidRDefault="00BF5B98" w:rsidP="00A10D3B">
            <w:pPr>
              <w:rPr>
                <w:rFonts w:ascii="Calibri" w:hAnsi="Calibri" w:cs="Arial"/>
                <w:lang w:val="en-GB" w:eastAsia="en-US"/>
              </w:rPr>
            </w:pPr>
            <w:r w:rsidRPr="00054C2C">
              <w:rPr>
                <w:rFonts w:ascii="Calibri" w:hAnsi="Calibri" w:cs="Arial"/>
                <w:lang w:val="en-GB" w:eastAsia="en-US"/>
              </w:rPr>
              <w:t>13</w:t>
            </w:r>
          </w:p>
        </w:tc>
        <w:tc>
          <w:tcPr>
            <w:tcW w:w="3369" w:type="pct"/>
          </w:tcPr>
          <w:p w14:paraId="25F8BA7D" w14:textId="6E4C2C86" w:rsidR="00BF5B98" w:rsidRPr="00140830" w:rsidRDefault="00BF5B98" w:rsidP="00DB3BF5">
            <w:pPr>
              <w:spacing w:after="0"/>
              <w:cnfStyle w:val="000000000000" w:firstRow="0" w:lastRow="0" w:firstColumn="0" w:lastColumn="0" w:oddVBand="0" w:evenVBand="0" w:oddHBand="0" w:evenHBand="0" w:firstRowFirstColumn="0" w:firstRowLastColumn="0" w:lastRowFirstColumn="0" w:lastRowLastColumn="0"/>
            </w:pPr>
            <w:r w:rsidRPr="00140830">
              <w:t>Bernoulli distributions – identify and use Bernoulli random variables and associated probabilities</w:t>
            </w:r>
            <w:r w:rsidR="00852FF7">
              <w:t>;</w:t>
            </w:r>
            <w:r w:rsidRPr="00140830">
              <w:t xml:space="preserve"> determine parameters and model and solve problems</w:t>
            </w:r>
          </w:p>
        </w:tc>
        <w:tc>
          <w:tcPr>
            <w:tcW w:w="1018" w:type="pct"/>
            <w:vAlign w:val="center"/>
          </w:tcPr>
          <w:p w14:paraId="52171F4E"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b/>
                <w:lang w:val="en-GB" w:eastAsia="en-US"/>
              </w:rPr>
            </w:pPr>
          </w:p>
        </w:tc>
      </w:tr>
      <w:tr w:rsidR="00BF5B98" w:rsidRPr="00E8555C" w14:paraId="50C6972C" w14:textId="77777777" w:rsidTr="007541CB">
        <w:trPr>
          <w:trHeight w:val="737"/>
        </w:trPr>
        <w:tc>
          <w:tcPr>
            <w:cnfStyle w:val="001000000000" w:firstRow="0" w:lastRow="0" w:firstColumn="1" w:lastColumn="0" w:oddVBand="0" w:evenVBand="0" w:oddHBand="0" w:evenHBand="0" w:firstRowFirstColumn="0" w:firstRowLastColumn="0" w:lastRowFirstColumn="0" w:lastRowLastColumn="0"/>
            <w:tcW w:w="613" w:type="pct"/>
          </w:tcPr>
          <w:p w14:paraId="4194C5B7" w14:textId="77777777" w:rsidR="00BF5B98" w:rsidRPr="00E8555C" w:rsidRDefault="00BF5B98" w:rsidP="00A10D3B">
            <w:pPr>
              <w:rPr>
                <w:rFonts w:ascii="Calibri" w:hAnsi="Calibri" w:cs="Arial"/>
                <w:lang w:val="en-GB" w:eastAsia="en-US"/>
              </w:rPr>
            </w:pPr>
            <w:r w:rsidRPr="00E8555C">
              <w:rPr>
                <w:rFonts w:ascii="Calibri" w:hAnsi="Calibri" w:cs="Arial"/>
                <w:lang w:val="en-GB" w:eastAsia="en-US"/>
              </w:rPr>
              <w:t>14</w:t>
            </w:r>
          </w:p>
        </w:tc>
        <w:tc>
          <w:tcPr>
            <w:tcW w:w="3369" w:type="pct"/>
          </w:tcPr>
          <w:p w14:paraId="0371CA5C" w14:textId="7B5509FC" w:rsidR="00BF5B98" w:rsidRPr="00E8555C" w:rsidRDefault="00BF5B98" w:rsidP="00DB3BF5">
            <w:pPr>
              <w:spacing w:after="0"/>
              <w:cnfStyle w:val="000000000000" w:firstRow="0" w:lastRow="0" w:firstColumn="0" w:lastColumn="0" w:oddVBand="0" w:evenVBand="0" w:oddHBand="0" w:evenHBand="0" w:firstRowFirstColumn="0" w:firstRowLastColumn="0" w:lastRowFirstColumn="0" w:lastRowLastColumn="0"/>
            </w:pPr>
            <w:r w:rsidRPr="00E8555C">
              <w:t>Binomial distributions – examine the concept of a binomial random variable</w:t>
            </w:r>
            <w:r w:rsidR="00852FF7">
              <w:t>;</w:t>
            </w:r>
            <w:r w:rsidRPr="00E8555C">
              <w:t xml:space="preserve"> determine associated parameters and probabilities and solve practical problems</w:t>
            </w:r>
          </w:p>
        </w:tc>
        <w:tc>
          <w:tcPr>
            <w:tcW w:w="1018" w:type="pct"/>
            <w:vAlign w:val="center"/>
          </w:tcPr>
          <w:p w14:paraId="3F6CECD6" w14:textId="77777777" w:rsidR="00BF5B98" w:rsidRPr="00E8555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val="en-GB" w:eastAsia="en-US"/>
              </w:rPr>
            </w:pPr>
            <w:r w:rsidRPr="00054C2C">
              <w:rPr>
                <w:rFonts w:ascii="Calibri" w:hAnsi="Calibri" w:cs="Arial"/>
                <w:b/>
                <w:lang w:val="en-GB" w:eastAsia="en-US"/>
              </w:rPr>
              <w:t>Task 3</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eek 1</w:t>
            </w:r>
            <w:r>
              <w:rPr>
                <w:rFonts w:ascii="Calibri" w:hAnsi="Calibri" w:cs="Arial"/>
                <w:lang w:val="en-GB" w:eastAsia="en-US"/>
              </w:rPr>
              <w:t>4</w:t>
            </w:r>
            <w:r w:rsidRPr="00054C2C">
              <w:rPr>
                <w:rFonts w:ascii="Calibri" w:hAnsi="Calibri" w:cs="Arial"/>
                <w:lang w:val="en-GB" w:eastAsia="en-US"/>
              </w:rPr>
              <w:t>)</w:t>
            </w:r>
          </w:p>
        </w:tc>
      </w:tr>
      <w:tr w:rsidR="00BF5B98" w:rsidRPr="00E8555C" w14:paraId="31AE1D38" w14:textId="77777777" w:rsidTr="007541CB">
        <w:tc>
          <w:tcPr>
            <w:cnfStyle w:val="001000000000" w:firstRow="0" w:lastRow="0" w:firstColumn="1" w:lastColumn="0" w:oddVBand="0" w:evenVBand="0" w:oddHBand="0" w:evenHBand="0" w:firstRowFirstColumn="0" w:firstRowLastColumn="0" w:lastRowFirstColumn="0" w:lastRowLastColumn="0"/>
            <w:tcW w:w="613" w:type="pct"/>
          </w:tcPr>
          <w:p w14:paraId="6DA24D1F" w14:textId="77777777" w:rsidR="00BF5B98" w:rsidRPr="00054C2C" w:rsidRDefault="00BF5B98" w:rsidP="00A10D3B">
            <w:pPr>
              <w:rPr>
                <w:rFonts w:ascii="Calibri" w:hAnsi="Calibri" w:cs="Arial"/>
                <w:lang w:eastAsia="en-US"/>
              </w:rPr>
            </w:pPr>
            <w:r w:rsidRPr="00054C2C">
              <w:rPr>
                <w:rFonts w:ascii="Calibri" w:hAnsi="Calibri" w:cs="Arial"/>
                <w:lang w:val="en-GB" w:eastAsia="en-US"/>
              </w:rPr>
              <w:t>15</w:t>
            </w:r>
          </w:p>
        </w:tc>
        <w:tc>
          <w:tcPr>
            <w:tcW w:w="3369" w:type="pct"/>
          </w:tcPr>
          <w:p w14:paraId="06758BD0" w14:textId="1DCD297E" w:rsidR="00BF5B98" w:rsidRPr="002E5C3F" w:rsidRDefault="00BF5B98" w:rsidP="00DB3BF5">
            <w:pPr>
              <w:spacing w:after="0" w:line="240"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2E5C3F">
              <w:rPr>
                <w:rFonts w:cs="Arial"/>
                <w:b/>
                <w:lang w:val="en-GB" w:eastAsia="en-US"/>
              </w:rPr>
              <w:t>Semester 1 examination</w:t>
            </w:r>
          </w:p>
        </w:tc>
        <w:tc>
          <w:tcPr>
            <w:tcW w:w="1018" w:type="pct"/>
            <w:vAlign w:val="center"/>
          </w:tcPr>
          <w:p w14:paraId="66814D41" w14:textId="77777777" w:rsidR="00BF5B98" w:rsidRPr="00054C2C" w:rsidRDefault="00BF5B98" w:rsidP="00DB3B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b/>
                <w:lang w:eastAsia="en-US"/>
              </w:rPr>
            </w:pPr>
            <w:r w:rsidRPr="00054C2C">
              <w:rPr>
                <w:rFonts w:ascii="Calibri" w:hAnsi="Calibri" w:cs="Arial"/>
                <w:b/>
                <w:lang w:eastAsia="en-US"/>
              </w:rPr>
              <w:t xml:space="preserve">Task </w:t>
            </w:r>
            <w:r>
              <w:rPr>
                <w:rFonts w:ascii="Calibri" w:hAnsi="Calibri" w:cs="Arial"/>
                <w:b/>
                <w:lang w:eastAsia="en-US"/>
              </w:rPr>
              <w:t>4</w:t>
            </w:r>
          </w:p>
          <w:p w14:paraId="097D9447" w14:textId="77777777" w:rsidR="00BF5B98" w:rsidRPr="00054C2C" w:rsidRDefault="00BF5B98" w:rsidP="003B0266">
            <w:pPr>
              <w:spacing w:after="8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lang w:eastAsia="en-US"/>
              </w:rPr>
              <w:t>(</w:t>
            </w:r>
            <w:r>
              <w:rPr>
                <w:rFonts w:ascii="Calibri" w:hAnsi="Calibri" w:cs="Arial"/>
                <w:lang w:eastAsia="en-US"/>
              </w:rPr>
              <w:t>E</w:t>
            </w:r>
            <w:r w:rsidRPr="00054C2C">
              <w:rPr>
                <w:rFonts w:ascii="Calibri" w:hAnsi="Calibri" w:cs="Arial"/>
                <w:lang w:eastAsia="en-US"/>
              </w:rPr>
              <w:t xml:space="preserve">xamination </w:t>
            </w:r>
            <w:r>
              <w:rPr>
                <w:rFonts w:ascii="Calibri" w:hAnsi="Calibri" w:cs="Arial"/>
                <w:lang w:eastAsia="en-US"/>
              </w:rPr>
              <w:t>w</w:t>
            </w:r>
            <w:r w:rsidRPr="00054C2C">
              <w:rPr>
                <w:rFonts w:ascii="Calibri" w:hAnsi="Calibri" w:cs="Arial"/>
                <w:lang w:eastAsia="en-US"/>
              </w:rPr>
              <w:t>eek)</w:t>
            </w:r>
          </w:p>
        </w:tc>
      </w:tr>
    </w:tbl>
    <w:p w14:paraId="7FA3B45F" w14:textId="77777777" w:rsidR="00BF5B98" w:rsidRPr="000358EE" w:rsidRDefault="00BF5B98" w:rsidP="000358EE">
      <w:pPr>
        <w:rPr>
          <w:b/>
          <w:bCs/>
          <w:lang w:val="en-GB" w:eastAsia="ja-JP"/>
        </w:rPr>
      </w:pPr>
      <w:r w:rsidRPr="00054C2C">
        <w:rPr>
          <w:lang w:val="en-GB" w:eastAsia="ja-JP"/>
        </w:rPr>
        <w:br w:type="page"/>
      </w:r>
      <w:r w:rsidRPr="000358EE">
        <w:rPr>
          <w:b/>
          <w:bCs/>
          <w:lang w:val="en-GB" w:eastAsia="ja-JP"/>
        </w:rPr>
        <w:lastRenderedPageBreak/>
        <w:t>Semester 2</w:t>
      </w:r>
    </w:p>
    <w:tbl>
      <w:tblPr>
        <w:tblStyle w:val="SCSATable"/>
        <w:tblW w:w="5020" w:type="pct"/>
        <w:tblLook w:val="04A0" w:firstRow="1" w:lastRow="0" w:firstColumn="1" w:lastColumn="0" w:noHBand="0" w:noVBand="1"/>
      </w:tblPr>
      <w:tblGrid>
        <w:gridCol w:w="1112"/>
        <w:gridCol w:w="6097"/>
        <w:gridCol w:w="1843"/>
      </w:tblGrid>
      <w:tr w:rsidR="00BF5B98" w:rsidRPr="00E8555C" w14:paraId="0E211558" w14:textId="77777777" w:rsidTr="00754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pct"/>
            <w:hideMark/>
          </w:tcPr>
          <w:p w14:paraId="464BA835" w14:textId="77777777" w:rsidR="00BF5B98" w:rsidRPr="003B0266" w:rsidRDefault="00BF5B98" w:rsidP="00A10D3B">
            <w:pPr>
              <w:spacing w:before="120"/>
              <w:rPr>
                <w:rFonts w:ascii="Calibri" w:hAnsi="Calibri" w:cs="Arial"/>
                <w:b w:val="0"/>
                <w:lang w:eastAsia="en-US"/>
              </w:rPr>
            </w:pPr>
            <w:r w:rsidRPr="003B0266">
              <w:rPr>
                <w:rFonts w:ascii="Calibri" w:hAnsi="Calibri" w:cs="Arial"/>
                <w:lang w:eastAsia="en-US"/>
              </w:rPr>
              <w:t>Week</w:t>
            </w:r>
          </w:p>
        </w:tc>
        <w:tc>
          <w:tcPr>
            <w:tcW w:w="3368" w:type="pct"/>
            <w:hideMark/>
          </w:tcPr>
          <w:p w14:paraId="5F80D14B" w14:textId="77777777" w:rsidR="00BF5B98" w:rsidRPr="003B0266" w:rsidRDefault="00BF5B98" w:rsidP="00A10D3B">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lang w:eastAsia="en-US"/>
              </w:rPr>
            </w:pPr>
            <w:r w:rsidRPr="003B0266">
              <w:rPr>
                <w:rFonts w:ascii="Calibri" w:hAnsi="Calibri" w:cs="Arial"/>
                <w:lang w:eastAsia="en-US"/>
              </w:rPr>
              <w:t>Topic/Syllabus content</w:t>
            </w:r>
          </w:p>
        </w:tc>
        <w:tc>
          <w:tcPr>
            <w:tcW w:w="1018" w:type="pct"/>
            <w:vAlign w:val="center"/>
          </w:tcPr>
          <w:p w14:paraId="6BEA147E" w14:textId="77777777" w:rsidR="00BF5B98" w:rsidRPr="003B0266" w:rsidRDefault="00BF5B98" w:rsidP="003B0266">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lang w:eastAsia="en-US"/>
              </w:rPr>
            </w:pPr>
            <w:r w:rsidRPr="003B0266">
              <w:rPr>
                <w:rFonts w:ascii="Calibri" w:hAnsi="Calibri" w:cs="Arial"/>
                <w:lang w:eastAsia="en-US"/>
              </w:rPr>
              <w:t>Assessment</w:t>
            </w:r>
          </w:p>
        </w:tc>
      </w:tr>
      <w:tr w:rsidR="00BF5B98" w:rsidRPr="00E8555C" w14:paraId="58D8C750" w14:textId="77777777" w:rsidTr="007541CB">
        <w:tc>
          <w:tcPr>
            <w:cnfStyle w:val="001000000000" w:firstRow="0" w:lastRow="0" w:firstColumn="1" w:lastColumn="0" w:oddVBand="0" w:evenVBand="0" w:oddHBand="0" w:evenHBand="0" w:firstRowFirstColumn="0" w:firstRowLastColumn="0" w:lastRowFirstColumn="0" w:lastRowLastColumn="0"/>
            <w:tcW w:w="614" w:type="pct"/>
            <w:hideMark/>
          </w:tcPr>
          <w:p w14:paraId="263C9648" w14:textId="77777777" w:rsidR="00BF5B98" w:rsidRPr="00054C2C" w:rsidRDefault="00BF5B98" w:rsidP="00A10D3B">
            <w:pPr>
              <w:rPr>
                <w:rFonts w:ascii="Calibri" w:hAnsi="Calibri" w:cs="Arial"/>
                <w:lang w:eastAsia="en-US"/>
              </w:rPr>
            </w:pPr>
            <w:r w:rsidRPr="00054C2C">
              <w:rPr>
                <w:rFonts w:ascii="Calibri" w:hAnsi="Calibri" w:cs="Arial"/>
                <w:lang w:eastAsia="en-US"/>
              </w:rPr>
              <w:t>1–2</w:t>
            </w:r>
          </w:p>
        </w:tc>
        <w:tc>
          <w:tcPr>
            <w:tcW w:w="3368" w:type="pct"/>
          </w:tcPr>
          <w:p w14:paraId="7D5DFC4E" w14:textId="77777777" w:rsidR="00BF5B98" w:rsidRPr="006A633A" w:rsidRDefault="00BF5B98" w:rsidP="003B0266">
            <w:pPr>
              <w:tabs>
                <w:tab w:val="left" w:pos="4536"/>
              </w:tabs>
              <w:spacing w:after="0"/>
              <w:cnfStyle w:val="000000000000" w:firstRow="0" w:lastRow="0" w:firstColumn="0" w:lastColumn="0" w:oddVBand="0" w:evenVBand="0" w:oddHBand="0" w:evenHBand="0" w:firstRowFirstColumn="0" w:firstRowLastColumn="0" w:lastRowFirstColumn="0" w:lastRowLastColumn="0"/>
              <w:rPr>
                <w:b/>
              </w:rPr>
            </w:pPr>
            <w:r w:rsidRPr="006A633A">
              <w:rPr>
                <w:b/>
              </w:rPr>
              <w:t>The logarithmic function</w:t>
            </w:r>
            <w:r>
              <w:rPr>
                <w:b/>
              </w:rPr>
              <w:t xml:space="preserve"> (4.1.1–4.1.14)</w:t>
            </w:r>
          </w:p>
          <w:p w14:paraId="19A5265D" w14:textId="7529971E" w:rsidR="00BF5B98" w:rsidRPr="00054C2C" w:rsidRDefault="00BF5B98" w:rsidP="003B0266">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rPr>
              <w:t>Logarithmic functions</w:t>
            </w:r>
            <w:r>
              <w:rPr>
                <w:rFonts w:ascii="Calibri" w:hAnsi="Calibri"/>
              </w:rPr>
              <w:t xml:space="preserve"> – </w:t>
            </w:r>
            <w:r w:rsidRPr="00054C2C">
              <w:rPr>
                <w:rFonts w:ascii="Calibri" w:hAnsi="Calibri" w:cs="Arial"/>
              </w:rPr>
              <w:t>define logarithms</w:t>
            </w:r>
            <w:r w:rsidR="009D444A">
              <w:rPr>
                <w:rFonts w:ascii="Calibri" w:hAnsi="Calibri" w:cs="Arial"/>
              </w:rPr>
              <w:t>;</w:t>
            </w:r>
            <w:r w:rsidRPr="00054C2C">
              <w:rPr>
                <w:rFonts w:ascii="Calibri" w:hAnsi="Calibri" w:cs="Arial"/>
              </w:rPr>
              <w:t xml:space="preserve"> establish and use algebraic properties</w:t>
            </w:r>
            <w:r w:rsidR="009D444A">
              <w:rPr>
                <w:rFonts w:ascii="Calibri" w:hAnsi="Calibri" w:cs="Arial"/>
              </w:rPr>
              <w:t>;</w:t>
            </w:r>
            <w:r w:rsidRPr="00054C2C">
              <w:rPr>
                <w:rFonts w:ascii="Calibri" w:hAnsi="Calibri" w:cs="Arial"/>
              </w:rPr>
              <w:t xml:space="preserve"> solve equations and examine features of graphs</w:t>
            </w:r>
            <w:r w:rsidR="009D444A">
              <w:rPr>
                <w:rFonts w:ascii="Calibri" w:hAnsi="Calibri" w:cs="Arial"/>
              </w:rPr>
              <w:t>;</w:t>
            </w:r>
            <w:r w:rsidRPr="00054C2C">
              <w:rPr>
                <w:rFonts w:ascii="Calibri" w:hAnsi="Calibri" w:cs="Arial"/>
              </w:rPr>
              <w:t xml:space="preserve"> interpret and use logarithmic scales and identify suitable contexts to</w:t>
            </w:r>
            <w:r>
              <w:rPr>
                <w:rFonts w:ascii="Calibri" w:hAnsi="Calibri" w:cs="Arial"/>
              </w:rPr>
              <w:t xml:space="preserve"> model by logarithmic functions</w:t>
            </w:r>
          </w:p>
        </w:tc>
        <w:tc>
          <w:tcPr>
            <w:tcW w:w="1018" w:type="pct"/>
            <w:vAlign w:val="center"/>
          </w:tcPr>
          <w:p w14:paraId="5086A79B"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b/>
                <w:lang w:val="en-GB" w:eastAsia="en-US"/>
              </w:rPr>
              <w:t xml:space="preserve">Task </w:t>
            </w:r>
            <w:r>
              <w:rPr>
                <w:rFonts w:ascii="Calibri" w:hAnsi="Calibri" w:cs="Arial"/>
                <w:b/>
                <w:lang w:val="en-GB" w:eastAsia="en-US"/>
              </w:rPr>
              <w:t>5</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 xml:space="preserve">eek </w:t>
            </w:r>
            <w:r>
              <w:rPr>
                <w:rFonts w:ascii="Calibri" w:hAnsi="Calibri" w:cs="Arial"/>
                <w:lang w:val="en-GB" w:eastAsia="en-US"/>
              </w:rPr>
              <w:t>2</w:t>
            </w:r>
            <w:r w:rsidRPr="00054C2C">
              <w:rPr>
                <w:rFonts w:ascii="Calibri" w:hAnsi="Calibri" w:cs="Arial"/>
                <w:lang w:val="en-GB" w:eastAsia="en-US"/>
              </w:rPr>
              <w:t>)</w:t>
            </w:r>
          </w:p>
        </w:tc>
      </w:tr>
      <w:tr w:rsidR="00BF5B98" w:rsidRPr="00E8555C" w14:paraId="386C5A04" w14:textId="77777777" w:rsidTr="007541CB">
        <w:tc>
          <w:tcPr>
            <w:cnfStyle w:val="001000000000" w:firstRow="0" w:lastRow="0" w:firstColumn="1" w:lastColumn="0" w:oddVBand="0" w:evenVBand="0" w:oddHBand="0" w:evenHBand="0" w:firstRowFirstColumn="0" w:firstRowLastColumn="0" w:lastRowFirstColumn="0" w:lastRowLastColumn="0"/>
            <w:tcW w:w="614" w:type="pct"/>
          </w:tcPr>
          <w:p w14:paraId="0F633862" w14:textId="77777777" w:rsidR="00BF5B98" w:rsidRPr="00054C2C" w:rsidRDefault="00BF5B98" w:rsidP="00A10D3B">
            <w:pPr>
              <w:rPr>
                <w:rFonts w:ascii="Calibri" w:hAnsi="Calibri" w:cs="Arial"/>
                <w:lang w:eastAsia="en-US"/>
              </w:rPr>
            </w:pPr>
            <w:r w:rsidRPr="00054C2C">
              <w:rPr>
                <w:rFonts w:ascii="Calibri" w:hAnsi="Calibri" w:cs="Arial"/>
                <w:lang w:eastAsia="en-US"/>
              </w:rPr>
              <w:t>3–5</w:t>
            </w:r>
          </w:p>
        </w:tc>
        <w:tc>
          <w:tcPr>
            <w:tcW w:w="3368" w:type="pct"/>
            <w:vAlign w:val="center"/>
          </w:tcPr>
          <w:p w14:paraId="6C76C5CA" w14:textId="5797595A" w:rsidR="00BF5B98" w:rsidRPr="00054C2C" w:rsidRDefault="00BF5B98" w:rsidP="005F76CF">
            <w:pPr>
              <w:spacing w:after="0"/>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54C2C">
              <w:rPr>
                <w:rFonts w:ascii="Calibri" w:hAnsi="Calibri" w:cs="Arial"/>
              </w:rPr>
              <w:t>Calculus of</w:t>
            </w:r>
            <w:r>
              <w:rPr>
                <w:rFonts w:ascii="Calibri" w:hAnsi="Calibri" w:cs="Arial"/>
              </w:rPr>
              <w:t xml:space="preserve"> the</w:t>
            </w:r>
            <w:r w:rsidRPr="00054C2C">
              <w:rPr>
                <w:rFonts w:ascii="Calibri" w:hAnsi="Calibri" w:cs="Arial"/>
              </w:rPr>
              <w:t xml:space="preserve"> natural logarithmic function</w:t>
            </w:r>
            <w:r>
              <w:rPr>
                <w:rFonts w:ascii="Calibri" w:hAnsi="Calibri"/>
              </w:rPr>
              <w:t xml:space="preserve"> – </w:t>
            </w:r>
            <w:r w:rsidRPr="00054C2C">
              <w:rPr>
                <w:rFonts w:ascii="Calibri" w:hAnsi="Calibri" w:cs="Arial"/>
              </w:rPr>
              <w:t xml:space="preserve">define the natural logarithm and its inverse relationship to </w:t>
            </w:r>
            <w:r w:rsidRPr="00054C2C">
              <w:rPr>
                <w:rFonts w:ascii="Calibri" w:hAnsi="Calibri" w:cs="Arial"/>
                <w:i/>
              </w:rPr>
              <w:t>e</w:t>
            </w:r>
            <w:r w:rsidR="009D444A">
              <w:rPr>
                <w:rFonts w:ascii="Calibri" w:hAnsi="Calibri" w:cs="Arial"/>
              </w:rPr>
              <w:t>;</w:t>
            </w:r>
            <w:r w:rsidRPr="00054C2C">
              <w:rPr>
                <w:rFonts w:ascii="Calibri" w:hAnsi="Calibri" w:cs="Arial"/>
              </w:rPr>
              <w:t xml:space="preserve"> establish and use integrals and derivatives related to the natural logarithm and use t</w:t>
            </w:r>
            <w:r>
              <w:rPr>
                <w:rFonts w:ascii="Calibri" w:hAnsi="Calibri" w:cs="Arial"/>
              </w:rPr>
              <w:t>hem to solve practical problems</w:t>
            </w:r>
          </w:p>
        </w:tc>
        <w:tc>
          <w:tcPr>
            <w:tcW w:w="1018" w:type="pct"/>
            <w:vAlign w:val="center"/>
          </w:tcPr>
          <w:p w14:paraId="238ECD72"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6AD59FB7" w14:textId="77777777" w:rsidTr="007541CB">
        <w:tc>
          <w:tcPr>
            <w:cnfStyle w:val="001000000000" w:firstRow="0" w:lastRow="0" w:firstColumn="1" w:lastColumn="0" w:oddVBand="0" w:evenVBand="0" w:oddHBand="0" w:evenHBand="0" w:firstRowFirstColumn="0" w:firstRowLastColumn="0" w:lastRowFirstColumn="0" w:lastRowLastColumn="0"/>
            <w:tcW w:w="614" w:type="pct"/>
            <w:hideMark/>
          </w:tcPr>
          <w:p w14:paraId="2FC62FDC" w14:textId="77777777" w:rsidR="00BF5B98" w:rsidRPr="00054C2C" w:rsidRDefault="00BF5B98" w:rsidP="00A10D3B">
            <w:pPr>
              <w:rPr>
                <w:rFonts w:ascii="Calibri" w:hAnsi="Calibri" w:cs="Arial"/>
                <w:lang w:eastAsia="en-US"/>
              </w:rPr>
            </w:pPr>
            <w:r w:rsidRPr="00054C2C">
              <w:rPr>
                <w:rFonts w:ascii="Calibri" w:hAnsi="Calibri" w:cs="Arial"/>
                <w:lang w:eastAsia="en-US"/>
              </w:rPr>
              <w:t>6–7</w:t>
            </w:r>
          </w:p>
        </w:tc>
        <w:tc>
          <w:tcPr>
            <w:tcW w:w="3368" w:type="pct"/>
            <w:vAlign w:val="center"/>
          </w:tcPr>
          <w:p w14:paraId="6126CDAE" w14:textId="2FB7D146" w:rsidR="00BF5B98" w:rsidRPr="006A633A" w:rsidRDefault="00BF5B98" w:rsidP="00F27B93">
            <w:pPr>
              <w:tabs>
                <w:tab w:val="left" w:pos="4536"/>
              </w:tabs>
              <w:spacing w:after="0"/>
              <w:cnfStyle w:val="000000000000" w:firstRow="0" w:lastRow="0" w:firstColumn="0" w:lastColumn="0" w:oddVBand="0" w:evenVBand="0" w:oddHBand="0" w:evenHBand="0" w:firstRowFirstColumn="0" w:firstRowLastColumn="0" w:lastRowFirstColumn="0" w:lastRowLastColumn="0"/>
              <w:rPr>
                <w:b/>
              </w:rPr>
            </w:pPr>
            <w:r w:rsidRPr="006A633A">
              <w:rPr>
                <w:b/>
              </w:rPr>
              <w:t>Continuous random variables and normal distribution</w:t>
            </w:r>
            <w:r>
              <w:rPr>
                <w:b/>
              </w:rPr>
              <w:t xml:space="preserve"> (4.2.1–4.2.7)</w:t>
            </w:r>
          </w:p>
          <w:p w14:paraId="28AD8659" w14:textId="77777777" w:rsidR="00BF5B98" w:rsidRPr="00054C2C" w:rsidRDefault="00BF5B98" w:rsidP="00F27B93">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rPr>
              <w:t>General continuous random variables</w:t>
            </w:r>
            <w:r>
              <w:rPr>
                <w:rFonts w:ascii="Calibri" w:hAnsi="Calibri"/>
              </w:rPr>
              <w:t xml:space="preserve"> – </w:t>
            </w:r>
            <w:r w:rsidRPr="00054C2C">
              <w:rPr>
                <w:rFonts w:ascii="Calibri" w:hAnsi="Calibri" w:cs="Arial"/>
              </w:rPr>
              <w:t>examine and use the concepts of a continuous random variable and associated parameters and probab</w:t>
            </w:r>
            <w:r>
              <w:rPr>
                <w:rFonts w:ascii="Calibri" w:hAnsi="Calibri" w:cs="Arial"/>
              </w:rPr>
              <w:t>ilities in appropriate contexts</w:t>
            </w:r>
          </w:p>
        </w:tc>
        <w:tc>
          <w:tcPr>
            <w:tcW w:w="1018" w:type="pct"/>
            <w:vAlign w:val="center"/>
          </w:tcPr>
          <w:p w14:paraId="42DE7259"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val="en-GB" w:eastAsia="en-US"/>
              </w:rPr>
            </w:pPr>
            <w:r w:rsidRPr="00054C2C">
              <w:rPr>
                <w:rFonts w:ascii="Calibri" w:hAnsi="Calibri" w:cs="Arial"/>
                <w:b/>
                <w:lang w:val="en-GB" w:eastAsia="en-US"/>
              </w:rPr>
              <w:t>Task 6</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 xml:space="preserve">eek </w:t>
            </w:r>
            <w:r>
              <w:rPr>
                <w:rFonts w:ascii="Calibri" w:hAnsi="Calibri" w:cs="Arial"/>
                <w:lang w:val="en-GB" w:eastAsia="en-US"/>
              </w:rPr>
              <w:t>7</w:t>
            </w:r>
            <w:r w:rsidRPr="00054C2C">
              <w:rPr>
                <w:rFonts w:ascii="Calibri" w:hAnsi="Calibri" w:cs="Arial"/>
                <w:lang w:val="en-GB" w:eastAsia="en-US"/>
              </w:rPr>
              <w:t>)</w:t>
            </w:r>
          </w:p>
        </w:tc>
      </w:tr>
      <w:tr w:rsidR="00BF5B98" w:rsidRPr="00E8555C" w14:paraId="2FBD21ED" w14:textId="77777777" w:rsidTr="007541CB">
        <w:tc>
          <w:tcPr>
            <w:cnfStyle w:val="001000000000" w:firstRow="0" w:lastRow="0" w:firstColumn="1" w:lastColumn="0" w:oddVBand="0" w:evenVBand="0" w:oddHBand="0" w:evenHBand="0" w:firstRowFirstColumn="0" w:firstRowLastColumn="0" w:lastRowFirstColumn="0" w:lastRowLastColumn="0"/>
            <w:tcW w:w="614" w:type="pct"/>
            <w:hideMark/>
          </w:tcPr>
          <w:p w14:paraId="205D1217" w14:textId="77777777" w:rsidR="00BF5B98" w:rsidRPr="00054C2C" w:rsidRDefault="00BF5B98" w:rsidP="00A10D3B">
            <w:pPr>
              <w:rPr>
                <w:rFonts w:ascii="Calibri" w:hAnsi="Calibri" w:cs="Arial"/>
                <w:lang w:eastAsia="en-US"/>
              </w:rPr>
            </w:pPr>
            <w:r w:rsidRPr="00054C2C">
              <w:rPr>
                <w:rFonts w:ascii="Calibri" w:hAnsi="Calibri" w:cs="Arial"/>
                <w:lang w:eastAsia="en-US"/>
              </w:rPr>
              <w:t>8–9</w:t>
            </w:r>
          </w:p>
        </w:tc>
        <w:tc>
          <w:tcPr>
            <w:tcW w:w="3368" w:type="pct"/>
          </w:tcPr>
          <w:p w14:paraId="2D8BB155" w14:textId="644BAA7C" w:rsidR="00BF5B98" w:rsidRPr="00054C2C" w:rsidRDefault="00BF5B98" w:rsidP="003B0266">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rPr>
              <w:t>Normal distributions</w:t>
            </w:r>
            <w:r>
              <w:rPr>
                <w:rFonts w:ascii="Calibri" w:hAnsi="Calibri"/>
              </w:rPr>
              <w:t xml:space="preserve"> – </w:t>
            </w:r>
            <w:r w:rsidRPr="00054C2C">
              <w:rPr>
                <w:rFonts w:ascii="Calibri" w:hAnsi="Calibri" w:cs="Arial"/>
              </w:rPr>
              <w:t>identify the features of the graph of a normal distribution</w:t>
            </w:r>
            <w:r w:rsidR="00182904">
              <w:rPr>
                <w:rFonts w:ascii="Calibri" w:hAnsi="Calibri" w:cs="Arial"/>
              </w:rPr>
              <w:t>;</w:t>
            </w:r>
            <w:r w:rsidRPr="00054C2C">
              <w:rPr>
                <w:rFonts w:ascii="Calibri" w:hAnsi="Calibri" w:cs="Arial"/>
              </w:rPr>
              <w:t xml:space="preserve"> calculate probabilities and use these to solve practical problems that are suitable for model</w:t>
            </w:r>
            <w:r>
              <w:rPr>
                <w:rFonts w:ascii="Calibri" w:hAnsi="Calibri" w:cs="Arial"/>
              </w:rPr>
              <w:t>ling by normal random variables</w:t>
            </w:r>
          </w:p>
        </w:tc>
        <w:tc>
          <w:tcPr>
            <w:tcW w:w="1018" w:type="pct"/>
            <w:vAlign w:val="center"/>
          </w:tcPr>
          <w:p w14:paraId="631ECD76"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1661D758" w14:textId="77777777" w:rsidTr="007541CB">
        <w:tc>
          <w:tcPr>
            <w:cnfStyle w:val="001000000000" w:firstRow="0" w:lastRow="0" w:firstColumn="1" w:lastColumn="0" w:oddVBand="0" w:evenVBand="0" w:oddHBand="0" w:evenHBand="0" w:firstRowFirstColumn="0" w:firstRowLastColumn="0" w:lastRowFirstColumn="0" w:lastRowLastColumn="0"/>
            <w:tcW w:w="614" w:type="pct"/>
            <w:hideMark/>
          </w:tcPr>
          <w:p w14:paraId="05CB56D2" w14:textId="77777777" w:rsidR="00BF5B98" w:rsidRPr="00054C2C" w:rsidRDefault="00BF5B98" w:rsidP="00A10D3B">
            <w:pPr>
              <w:rPr>
                <w:rFonts w:ascii="Calibri" w:hAnsi="Calibri" w:cs="Arial"/>
                <w:lang w:eastAsia="en-US"/>
              </w:rPr>
            </w:pPr>
            <w:r w:rsidRPr="00054C2C">
              <w:rPr>
                <w:rFonts w:ascii="Calibri" w:hAnsi="Calibri" w:cs="Arial"/>
                <w:lang w:eastAsia="en-US"/>
              </w:rPr>
              <w:t>10</w:t>
            </w:r>
          </w:p>
        </w:tc>
        <w:tc>
          <w:tcPr>
            <w:tcW w:w="3368" w:type="pct"/>
          </w:tcPr>
          <w:p w14:paraId="64CE61F8" w14:textId="77777777" w:rsidR="00BF5B98" w:rsidRPr="006A633A" w:rsidRDefault="00BF5B98" w:rsidP="003B0266">
            <w:pPr>
              <w:tabs>
                <w:tab w:val="left" w:pos="4536"/>
              </w:tabs>
              <w:spacing w:after="0"/>
              <w:cnfStyle w:val="000000000000" w:firstRow="0" w:lastRow="0" w:firstColumn="0" w:lastColumn="0" w:oddVBand="0" w:evenVBand="0" w:oddHBand="0" w:evenHBand="0" w:firstRowFirstColumn="0" w:firstRowLastColumn="0" w:lastRowFirstColumn="0" w:lastRowLastColumn="0"/>
              <w:rPr>
                <w:b/>
              </w:rPr>
            </w:pPr>
            <w:r w:rsidRPr="006A633A">
              <w:rPr>
                <w:b/>
              </w:rPr>
              <w:t>Interval estimates for proportions</w:t>
            </w:r>
            <w:r>
              <w:rPr>
                <w:b/>
              </w:rPr>
              <w:t xml:space="preserve"> (4.3.1–4.3.10)</w:t>
            </w:r>
          </w:p>
          <w:p w14:paraId="5C916353" w14:textId="77777777" w:rsidR="00BF5B98" w:rsidRPr="00054C2C" w:rsidRDefault="00BF5B98" w:rsidP="003B0266">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rPr>
              <w:t>Random sampling</w:t>
            </w:r>
            <w:r>
              <w:rPr>
                <w:rFonts w:ascii="Calibri" w:hAnsi="Calibri"/>
              </w:rPr>
              <w:t xml:space="preserve"> – </w:t>
            </w:r>
            <w:r w:rsidRPr="00054C2C">
              <w:rPr>
                <w:rFonts w:ascii="Calibri" w:hAnsi="Calibri" w:cs="Arial"/>
              </w:rPr>
              <w:t xml:space="preserve">examine the </w:t>
            </w:r>
            <w:r>
              <w:rPr>
                <w:rFonts w:ascii="Calibri" w:hAnsi="Calibri" w:cs="Arial"/>
              </w:rPr>
              <w:t xml:space="preserve">concept of randomness and bias and </w:t>
            </w:r>
            <w:r w:rsidRPr="00054C2C">
              <w:rPr>
                <w:rFonts w:ascii="Calibri" w:hAnsi="Calibri" w:cs="Arial"/>
              </w:rPr>
              <w:t>investigate variability of random sam</w:t>
            </w:r>
            <w:r>
              <w:rPr>
                <w:rFonts w:ascii="Calibri" w:hAnsi="Calibri" w:cs="Arial"/>
              </w:rPr>
              <w:t>ples from various distributions</w:t>
            </w:r>
          </w:p>
        </w:tc>
        <w:tc>
          <w:tcPr>
            <w:tcW w:w="1018" w:type="pct"/>
            <w:vAlign w:val="center"/>
          </w:tcPr>
          <w:p w14:paraId="509C4723"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1924167C" w14:textId="77777777" w:rsidTr="007541CB">
        <w:tc>
          <w:tcPr>
            <w:cnfStyle w:val="001000000000" w:firstRow="0" w:lastRow="0" w:firstColumn="1" w:lastColumn="0" w:oddVBand="0" w:evenVBand="0" w:oddHBand="0" w:evenHBand="0" w:firstRowFirstColumn="0" w:firstRowLastColumn="0" w:lastRowFirstColumn="0" w:lastRowLastColumn="0"/>
            <w:tcW w:w="614" w:type="pct"/>
            <w:hideMark/>
          </w:tcPr>
          <w:p w14:paraId="428F0557" w14:textId="77777777" w:rsidR="00BF5B98" w:rsidRPr="00054C2C" w:rsidRDefault="00BF5B98" w:rsidP="00A10D3B">
            <w:pPr>
              <w:rPr>
                <w:rFonts w:ascii="Calibri" w:hAnsi="Calibri" w:cs="Arial"/>
                <w:lang w:eastAsia="en-US"/>
              </w:rPr>
            </w:pPr>
            <w:r w:rsidRPr="00054C2C">
              <w:rPr>
                <w:rFonts w:ascii="Calibri" w:hAnsi="Calibri" w:cs="Arial"/>
                <w:lang w:eastAsia="en-US"/>
              </w:rPr>
              <w:t>11–12</w:t>
            </w:r>
          </w:p>
        </w:tc>
        <w:tc>
          <w:tcPr>
            <w:tcW w:w="3368" w:type="pct"/>
          </w:tcPr>
          <w:p w14:paraId="03CCA131" w14:textId="77777777" w:rsidR="00BF5B98" w:rsidRPr="00054C2C" w:rsidRDefault="00BF5B98" w:rsidP="003B0266">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rPr>
              <w:t>Sample proportions</w:t>
            </w:r>
            <w:r>
              <w:rPr>
                <w:rFonts w:ascii="Calibri" w:hAnsi="Calibri"/>
              </w:rPr>
              <w:t xml:space="preserve"> – </w:t>
            </w:r>
            <w:r w:rsidRPr="00054C2C">
              <w:rPr>
                <w:rFonts w:ascii="Calibri" w:hAnsi="Calibri" w:cs="Arial"/>
              </w:rPr>
              <w:t xml:space="preserve">examine the concept of the sample proportion and simulate repeated random sampling to illustrate </w:t>
            </w:r>
            <w:r>
              <w:rPr>
                <w:rFonts w:ascii="Calibri" w:hAnsi="Calibri" w:cs="Arial"/>
              </w:rPr>
              <w:t>the</w:t>
            </w:r>
            <w:r w:rsidRPr="00054C2C">
              <w:rPr>
                <w:rFonts w:ascii="Calibri" w:hAnsi="Calibri" w:cs="Arial"/>
              </w:rPr>
              <w:t xml:space="preserve"> approxim</w:t>
            </w:r>
            <w:r>
              <w:rPr>
                <w:rFonts w:ascii="Calibri" w:hAnsi="Calibri" w:cs="Arial"/>
              </w:rPr>
              <w:t>ate normality of the distribution of sample proportions for large numbers of samples</w:t>
            </w:r>
          </w:p>
        </w:tc>
        <w:tc>
          <w:tcPr>
            <w:tcW w:w="1018" w:type="pct"/>
            <w:vAlign w:val="center"/>
          </w:tcPr>
          <w:p w14:paraId="5C508C52"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p>
        </w:tc>
      </w:tr>
      <w:tr w:rsidR="00BF5B98" w:rsidRPr="00E8555C" w14:paraId="0CF3DA50" w14:textId="77777777" w:rsidTr="007541CB">
        <w:tc>
          <w:tcPr>
            <w:cnfStyle w:val="001000000000" w:firstRow="0" w:lastRow="0" w:firstColumn="1" w:lastColumn="0" w:oddVBand="0" w:evenVBand="0" w:oddHBand="0" w:evenHBand="0" w:firstRowFirstColumn="0" w:firstRowLastColumn="0" w:lastRowFirstColumn="0" w:lastRowLastColumn="0"/>
            <w:tcW w:w="614" w:type="pct"/>
          </w:tcPr>
          <w:p w14:paraId="187F4DB8" w14:textId="77777777" w:rsidR="00BF5B98" w:rsidRPr="00054C2C" w:rsidRDefault="00BF5B98" w:rsidP="00A10D3B">
            <w:pPr>
              <w:rPr>
                <w:rFonts w:ascii="Calibri" w:hAnsi="Calibri" w:cs="Arial"/>
                <w:lang w:eastAsia="en-US"/>
              </w:rPr>
            </w:pPr>
            <w:r w:rsidRPr="00054C2C">
              <w:rPr>
                <w:rFonts w:ascii="Calibri" w:hAnsi="Calibri" w:cs="Arial"/>
                <w:lang w:eastAsia="en-US"/>
              </w:rPr>
              <w:t>13–14</w:t>
            </w:r>
          </w:p>
        </w:tc>
        <w:tc>
          <w:tcPr>
            <w:tcW w:w="3368" w:type="pct"/>
          </w:tcPr>
          <w:p w14:paraId="66D547EF" w14:textId="45D83A40" w:rsidR="00BF5B98" w:rsidRPr="00054C2C" w:rsidRDefault="00BF5B98" w:rsidP="003B0266">
            <w:pPr>
              <w:spacing w:after="0"/>
              <w:cnfStyle w:val="000000000000" w:firstRow="0" w:lastRow="0" w:firstColumn="0" w:lastColumn="0" w:oddVBand="0" w:evenVBand="0" w:oddHBand="0" w:evenHBand="0" w:firstRowFirstColumn="0" w:firstRowLastColumn="0" w:lastRowFirstColumn="0" w:lastRowLastColumn="0"/>
              <w:rPr>
                <w:rFonts w:ascii="Calibri" w:hAnsi="Calibri" w:cs="Arial"/>
                <w:lang w:val="en-GB" w:eastAsia="en-US"/>
              </w:rPr>
            </w:pPr>
            <w:r w:rsidRPr="00054C2C">
              <w:rPr>
                <w:rFonts w:ascii="Calibri" w:hAnsi="Calibri" w:cs="Arial"/>
              </w:rPr>
              <w:t>Confidence intervals for proportions</w:t>
            </w:r>
            <w:r>
              <w:rPr>
                <w:rFonts w:ascii="Calibri" w:hAnsi="Calibri"/>
              </w:rPr>
              <w:t xml:space="preserve"> – </w:t>
            </w:r>
            <w:r w:rsidRPr="00054C2C">
              <w:rPr>
                <w:rFonts w:ascii="Calibri" w:hAnsi="Calibri" w:cs="Arial"/>
              </w:rPr>
              <w:t>examine and use the concept of an interval estimate</w:t>
            </w:r>
            <w:r w:rsidR="00182904">
              <w:rPr>
                <w:rFonts w:ascii="Calibri" w:hAnsi="Calibri" w:cs="Arial"/>
              </w:rPr>
              <w:t>;</w:t>
            </w:r>
            <w:r w:rsidRPr="00054C2C">
              <w:rPr>
                <w:rFonts w:ascii="Calibri" w:hAnsi="Calibri" w:cs="Arial"/>
              </w:rPr>
              <w:t xml:space="preserve"> define confidence intervals and margins o</w:t>
            </w:r>
            <w:r>
              <w:rPr>
                <w:rFonts w:ascii="Calibri" w:hAnsi="Calibri" w:cs="Arial"/>
              </w:rPr>
              <w:t>f error and their relationship and use simulation</w:t>
            </w:r>
            <w:r w:rsidRPr="00054C2C">
              <w:rPr>
                <w:rFonts w:ascii="Calibri" w:hAnsi="Calibri" w:cs="Arial"/>
              </w:rPr>
              <w:t xml:space="preserve"> to illustrate variations between samples</w:t>
            </w:r>
          </w:p>
        </w:tc>
        <w:tc>
          <w:tcPr>
            <w:tcW w:w="1018" w:type="pct"/>
            <w:vAlign w:val="center"/>
          </w:tcPr>
          <w:p w14:paraId="1E67BE14"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b/>
                <w:lang w:val="en-GB" w:eastAsia="en-US"/>
              </w:rPr>
            </w:pPr>
            <w:r w:rsidRPr="00054C2C">
              <w:rPr>
                <w:rFonts w:ascii="Calibri" w:hAnsi="Calibri" w:cs="Arial"/>
                <w:b/>
                <w:lang w:val="en-GB" w:eastAsia="en-US"/>
              </w:rPr>
              <w:t>Task 7</w:t>
            </w:r>
            <w:r w:rsidRPr="00054C2C">
              <w:rPr>
                <w:rFonts w:ascii="Calibri" w:hAnsi="Calibri" w:cs="Arial"/>
                <w:lang w:val="en-GB" w:eastAsia="en-US"/>
              </w:rPr>
              <w:t xml:space="preserve"> (</w:t>
            </w:r>
            <w:r>
              <w:rPr>
                <w:rFonts w:ascii="Calibri" w:hAnsi="Calibri" w:cs="Arial"/>
                <w:lang w:val="en-GB" w:eastAsia="en-US"/>
              </w:rPr>
              <w:t>W</w:t>
            </w:r>
            <w:r w:rsidRPr="00054C2C">
              <w:rPr>
                <w:rFonts w:ascii="Calibri" w:hAnsi="Calibri" w:cs="Arial"/>
                <w:lang w:val="en-GB" w:eastAsia="en-US"/>
              </w:rPr>
              <w:t xml:space="preserve">eek </w:t>
            </w:r>
            <w:r>
              <w:rPr>
                <w:rFonts w:ascii="Calibri" w:hAnsi="Calibri" w:cs="Arial"/>
                <w:lang w:val="en-GB" w:eastAsia="en-US"/>
              </w:rPr>
              <w:t>14</w:t>
            </w:r>
            <w:r w:rsidRPr="00054C2C">
              <w:rPr>
                <w:rFonts w:ascii="Calibri" w:hAnsi="Calibri" w:cs="Arial"/>
                <w:lang w:val="en-GB" w:eastAsia="en-US"/>
              </w:rPr>
              <w:t>)</w:t>
            </w:r>
          </w:p>
        </w:tc>
      </w:tr>
      <w:tr w:rsidR="00BF5B98" w:rsidRPr="00E8555C" w14:paraId="5C37F33B" w14:textId="77777777" w:rsidTr="00E8653B">
        <w:tc>
          <w:tcPr>
            <w:cnfStyle w:val="001000000000" w:firstRow="0" w:lastRow="0" w:firstColumn="1" w:lastColumn="0" w:oddVBand="0" w:evenVBand="0" w:oddHBand="0" w:evenHBand="0" w:firstRowFirstColumn="0" w:firstRowLastColumn="0" w:lastRowFirstColumn="0" w:lastRowLastColumn="0"/>
            <w:tcW w:w="614" w:type="pct"/>
          </w:tcPr>
          <w:p w14:paraId="020AE8C3" w14:textId="77777777" w:rsidR="00BF5B98" w:rsidRPr="00054C2C" w:rsidRDefault="00BF5B98" w:rsidP="00A10D3B">
            <w:pPr>
              <w:rPr>
                <w:rFonts w:ascii="Calibri" w:hAnsi="Calibri" w:cs="Arial"/>
                <w:lang w:eastAsia="en-US"/>
              </w:rPr>
            </w:pPr>
            <w:r w:rsidRPr="00054C2C">
              <w:rPr>
                <w:rFonts w:ascii="Calibri" w:hAnsi="Calibri" w:cs="Arial"/>
                <w:lang w:eastAsia="en-US"/>
              </w:rPr>
              <w:t>15</w:t>
            </w:r>
          </w:p>
        </w:tc>
        <w:tc>
          <w:tcPr>
            <w:tcW w:w="3368" w:type="pct"/>
          </w:tcPr>
          <w:p w14:paraId="77902F11" w14:textId="3C6A6C71" w:rsidR="00BF5B98" w:rsidRPr="002E5C3F" w:rsidRDefault="00BF5B98" w:rsidP="00E8653B">
            <w:pPr>
              <w:spacing w:after="0"/>
              <w:cnfStyle w:val="000000000000" w:firstRow="0" w:lastRow="0" w:firstColumn="0" w:lastColumn="0" w:oddVBand="0" w:evenVBand="0" w:oddHBand="0" w:evenHBand="0" w:firstRowFirstColumn="0" w:firstRowLastColumn="0" w:lastRowFirstColumn="0" w:lastRowLastColumn="0"/>
              <w:rPr>
                <w:rFonts w:ascii="Calibri" w:hAnsi="Calibri" w:cs="Arial"/>
                <w:b/>
                <w:lang w:eastAsia="en-US"/>
              </w:rPr>
            </w:pPr>
            <w:r w:rsidRPr="002E5C3F">
              <w:rPr>
                <w:rFonts w:ascii="Calibri" w:hAnsi="Calibri" w:cs="Arial"/>
                <w:b/>
                <w:lang w:val="en-GB" w:eastAsia="en-US"/>
              </w:rPr>
              <w:t>Semester 2 examination</w:t>
            </w:r>
          </w:p>
        </w:tc>
        <w:tc>
          <w:tcPr>
            <w:tcW w:w="1018" w:type="pct"/>
            <w:vAlign w:val="center"/>
          </w:tcPr>
          <w:p w14:paraId="716AA226"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b/>
                <w:lang w:val="en-GB" w:eastAsia="en-US"/>
              </w:rPr>
            </w:pPr>
            <w:r w:rsidRPr="00054C2C">
              <w:rPr>
                <w:rFonts w:ascii="Calibri" w:hAnsi="Calibri" w:cs="Arial"/>
                <w:b/>
                <w:lang w:val="en-GB" w:eastAsia="en-US"/>
              </w:rPr>
              <w:t xml:space="preserve">Task </w:t>
            </w:r>
            <w:r>
              <w:rPr>
                <w:rFonts w:ascii="Calibri" w:hAnsi="Calibri" w:cs="Arial"/>
                <w:b/>
                <w:lang w:val="en-GB" w:eastAsia="en-US"/>
              </w:rPr>
              <w:t>8</w:t>
            </w:r>
          </w:p>
          <w:p w14:paraId="22DB9035" w14:textId="77777777" w:rsidR="00BF5B98" w:rsidRPr="00054C2C" w:rsidRDefault="00BF5B98" w:rsidP="003B02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Arial"/>
                <w:lang w:eastAsia="en-US"/>
              </w:rPr>
            </w:pPr>
            <w:r w:rsidRPr="00054C2C">
              <w:rPr>
                <w:rFonts w:ascii="Calibri" w:hAnsi="Calibri" w:cs="Arial"/>
                <w:lang w:eastAsia="en-US"/>
              </w:rPr>
              <w:t>(</w:t>
            </w:r>
            <w:r>
              <w:rPr>
                <w:rFonts w:ascii="Calibri" w:hAnsi="Calibri" w:cs="Arial"/>
                <w:lang w:eastAsia="en-US"/>
              </w:rPr>
              <w:t>E</w:t>
            </w:r>
            <w:r w:rsidRPr="00054C2C">
              <w:rPr>
                <w:rFonts w:ascii="Calibri" w:hAnsi="Calibri" w:cs="Arial"/>
                <w:lang w:eastAsia="en-US"/>
              </w:rPr>
              <w:t xml:space="preserve">xamination </w:t>
            </w:r>
            <w:r>
              <w:rPr>
                <w:rFonts w:ascii="Calibri" w:hAnsi="Calibri" w:cs="Arial"/>
                <w:lang w:eastAsia="en-US"/>
              </w:rPr>
              <w:t>w</w:t>
            </w:r>
            <w:r w:rsidRPr="00054C2C">
              <w:rPr>
                <w:rFonts w:ascii="Calibri" w:hAnsi="Calibri" w:cs="Arial"/>
                <w:lang w:eastAsia="en-US"/>
              </w:rPr>
              <w:t>eek)</w:t>
            </w:r>
          </w:p>
        </w:tc>
      </w:tr>
    </w:tbl>
    <w:p w14:paraId="697AFE31" w14:textId="77777777" w:rsidR="00BF5B98" w:rsidRDefault="00BF5B98" w:rsidP="00BF5B98"/>
    <w:sectPr w:rsidR="00BF5B98" w:rsidSect="000358EE">
      <w:headerReference w:type="even" r:id="rId14"/>
      <w:headerReference w:type="default" r:id="rId15"/>
      <w:footerReference w:type="even" r:id="rId16"/>
      <w:pgSz w:w="11906" w:h="16838"/>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563F" w14:textId="77777777" w:rsidR="00814B0F" w:rsidRDefault="00814B0F" w:rsidP="00C41FA8">
      <w:r>
        <w:separator/>
      </w:r>
    </w:p>
  </w:endnote>
  <w:endnote w:type="continuationSeparator" w:id="0">
    <w:p w14:paraId="7BF58B54" w14:textId="77777777" w:rsidR="00814B0F" w:rsidRDefault="00814B0F" w:rsidP="00C4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7B63" w14:textId="133F95F9" w:rsidR="00C41FA8" w:rsidRPr="00E8555C" w:rsidRDefault="00C41FA8" w:rsidP="000358EE">
    <w:pPr>
      <w:pStyle w:val="Footereven"/>
    </w:pPr>
    <w:r>
      <w:t>2015/1886</w:t>
    </w:r>
    <w:r w:rsidR="000358EE">
      <w:t>[v</w:t>
    </w:r>
    <w:r w:rsidR="008A2A2E">
      <w:t>9</w:t>
    </w:r>
    <w:r w:rsidR="000358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16F4" w14:textId="44ACF016" w:rsidR="00C41FA8" w:rsidRPr="00E95217" w:rsidRDefault="00C41FA8" w:rsidP="000358EE">
    <w:pPr>
      <w:pStyle w:val="Footerodd"/>
    </w:pPr>
    <w:r>
      <w:t xml:space="preserve">Sample course outline </w:t>
    </w:r>
    <w:r w:rsidRPr="00D41604">
      <w:t xml:space="preserve">| </w:t>
    </w:r>
    <w:r>
      <w:t>Mathematics Methods</w:t>
    </w:r>
    <w:r w:rsidRPr="00D41604">
      <w:t xml:space="preserve"> | </w:t>
    </w:r>
    <w: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DA0D" w14:textId="2689F7B7" w:rsidR="00C41FA8" w:rsidRPr="00E95217" w:rsidRDefault="00C41FA8" w:rsidP="000358EE">
    <w:pPr>
      <w:pStyle w:val="Footereven"/>
    </w:pPr>
    <w:r>
      <w:t xml:space="preserve">Sample course outline </w:t>
    </w:r>
    <w:r w:rsidRPr="00D41604">
      <w:t xml:space="preserve">| </w:t>
    </w:r>
    <w:r>
      <w:t>Mathematics Methods</w:t>
    </w:r>
    <w:r w:rsidRPr="00D41604">
      <w:t xml:space="preserve"> | </w:t>
    </w:r>
    <w: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3D6D" w14:textId="77777777" w:rsidR="00814B0F" w:rsidRDefault="00814B0F" w:rsidP="00C41FA8">
      <w:r>
        <w:separator/>
      </w:r>
    </w:p>
  </w:footnote>
  <w:footnote w:type="continuationSeparator" w:id="0">
    <w:p w14:paraId="05299374" w14:textId="77777777" w:rsidR="00814B0F" w:rsidRDefault="00814B0F" w:rsidP="00C4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5156" w14:textId="77777777" w:rsidR="00C41FA8" w:rsidRPr="00C176F9" w:rsidRDefault="00C41FA8" w:rsidP="00C41FA8">
    <w:pPr>
      <w:pStyle w:val="Header"/>
      <w:pBdr>
        <w:bottom w:val="single" w:sz="8" w:space="1" w:color="7B7B7B"/>
      </w:pBdr>
      <w:ind w:left="9356" w:right="-1274"/>
      <w:rPr>
        <w:rFonts w:ascii="Franklin Gothic Book" w:hAnsi="Franklin Gothic Book"/>
        <w:b/>
        <w:color w:val="46328C"/>
        <w:sz w:val="32"/>
      </w:rPr>
    </w:pPr>
    <w:r>
      <w:rPr>
        <w:rFonts w:ascii="Franklin Gothic Book" w:hAnsi="Franklin Gothic Book"/>
        <w:b/>
        <w:color w:val="46328C"/>
        <w:sz w:val="32"/>
      </w:rPr>
      <w:t>1</w:t>
    </w:r>
  </w:p>
  <w:p w14:paraId="57E505BD" w14:textId="77777777" w:rsidR="00C41FA8" w:rsidRDefault="00C41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AA47" w14:textId="77777777" w:rsidR="00BF5B98" w:rsidRDefault="00557B51" w:rsidP="00E750D6">
    <w:pPr>
      <w:pStyle w:val="Header"/>
      <w:ind w:left="-709"/>
    </w:pPr>
    <w:r w:rsidRPr="003D2BA2">
      <w:rPr>
        <w:noProof/>
      </w:rPr>
      <w:drawing>
        <wp:inline distT="0" distB="0" distL="0" distR="0" wp14:anchorId="5F80DCB4" wp14:editId="6D9FD555">
          <wp:extent cx="4528820" cy="70739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8820" cy="7073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6B7C" w14:textId="77777777" w:rsidR="00C41FA8" w:rsidRPr="00C176F9" w:rsidRDefault="00C41FA8" w:rsidP="000358EE">
    <w:pPr>
      <w:pStyle w:val="Headereven"/>
    </w:pP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8DED" w14:textId="77777777" w:rsidR="00C41FA8" w:rsidRPr="00C176F9" w:rsidRDefault="00C41FA8" w:rsidP="000358EE">
    <w:pPr>
      <w:pStyle w:val="Headerodd"/>
    </w:pP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69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A8"/>
    <w:rsid w:val="0000256A"/>
    <w:rsid w:val="000025AD"/>
    <w:rsid w:val="000358EE"/>
    <w:rsid w:val="0006029D"/>
    <w:rsid w:val="0008290B"/>
    <w:rsid w:val="0008671A"/>
    <w:rsid w:val="000904D4"/>
    <w:rsid w:val="000B0B83"/>
    <w:rsid w:val="00131D0E"/>
    <w:rsid w:val="00140830"/>
    <w:rsid w:val="00177D52"/>
    <w:rsid w:val="00182904"/>
    <w:rsid w:val="001D0ACF"/>
    <w:rsid w:val="001F15FC"/>
    <w:rsid w:val="001F5859"/>
    <w:rsid w:val="001F724C"/>
    <w:rsid w:val="00282751"/>
    <w:rsid w:val="002C5FE6"/>
    <w:rsid w:val="002E5C3F"/>
    <w:rsid w:val="00321ACB"/>
    <w:rsid w:val="0033067F"/>
    <w:rsid w:val="0034697A"/>
    <w:rsid w:val="003B0266"/>
    <w:rsid w:val="003E4FB4"/>
    <w:rsid w:val="00436F58"/>
    <w:rsid w:val="00473F92"/>
    <w:rsid w:val="004B6106"/>
    <w:rsid w:val="004C2920"/>
    <w:rsid w:val="004D134C"/>
    <w:rsid w:val="00506673"/>
    <w:rsid w:val="00512D30"/>
    <w:rsid w:val="00557B51"/>
    <w:rsid w:val="005C63D7"/>
    <w:rsid w:val="005E1EAE"/>
    <w:rsid w:val="005F76CF"/>
    <w:rsid w:val="00606750"/>
    <w:rsid w:val="006A041B"/>
    <w:rsid w:val="006A633A"/>
    <w:rsid w:val="007541CB"/>
    <w:rsid w:val="007B3BDB"/>
    <w:rsid w:val="00805C8B"/>
    <w:rsid w:val="00814B0F"/>
    <w:rsid w:val="0085109C"/>
    <w:rsid w:val="00852FF7"/>
    <w:rsid w:val="008A2A2E"/>
    <w:rsid w:val="008D3220"/>
    <w:rsid w:val="008E1229"/>
    <w:rsid w:val="00911985"/>
    <w:rsid w:val="00970CF3"/>
    <w:rsid w:val="009B7C63"/>
    <w:rsid w:val="009D444A"/>
    <w:rsid w:val="009E16DC"/>
    <w:rsid w:val="00A04443"/>
    <w:rsid w:val="00A124C6"/>
    <w:rsid w:val="00A30C11"/>
    <w:rsid w:val="00A74677"/>
    <w:rsid w:val="00A916C5"/>
    <w:rsid w:val="00AD1E82"/>
    <w:rsid w:val="00AD5A57"/>
    <w:rsid w:val="00B14265"/>
    <w:rsid w:val="00B40B88"/>
    <w:rsid w:val="00B75416"/>
    <w:rsid w:val="00B871F6"/>
    <w:rsid w:val="00BC1C7C"/>
    <w:rsid w:val="00BC1D23"/>
    <w:rsid w:val="00BC65A1"/>
    <w:rsid w:val="00BF3348"/>
    <w:rsid w:val="00BF5B98"/>
    <w:rsid w:val="00BF75F5"/>
    <w:rsid w:val="00C35D5C"/>
    <w:rsid w:val="00C35E85"/>
    <w:rsid w:val="00C41FA8"/>
    <w:rsid w:val="00C77979"/>
    <w:rsid w:val="00C83FDA"/>
    <w:rsid w:val="00C931E2"/>
    <w:rsid w:val="00D12BD5"/>
    <w:rsid w:val="00D35435"/>
    <w:rsid w:val="00D35BAF"/>
    <w:rsid w:val="00DA62E5"/>
    <w:rsid w:val="00DB3BF5"/>
    <w:rsid w:val="00E03389"/>
    <w:rsid w:val="00E466AC"/>
    <w:rsid w:val="00E8555C"/>
    <w:rsid w:val="00E8653B"/>
    <w:rsid w:val="00E95217"/>
    <w:rsid w:val="00F06DBA"/>
    <w:rsid w:val="00F27B93"/>
    <w:rsid w:val="00F34B2A"/>
    <w:rsid w:val="00F34D43"/>
    <w:rsid w:val="00FC67F0"/>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4705"/>
  <w15:chartTrackingRefBased/>
  <w15:docId w15:val="{F405BBFD-91CF-49A0-A8DC-E3AAAC0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CB"/>
    <w:pPr>
      <w:spacing w:after="120" w:line="276" w:lineRule="auto"/>
    </w:pPr>
    <w:rPr>
      <w:rFonts w:eastAsiaTheme="minorEastAsia" w:cs="Times New Roman"/>
      <w:lang w:eastAsia="en-AU"/>
    </w:rPr>
  </w:style>
  <w:style w:type="paragraph" w:styleId="Heading1">
    <w:name w:val="heading 1"/>
    <w:basedOn w:val="Normal"/>
    <w:next w:val="Normal"/>
    <w:link w:val="Heading1Char"/>
    <w:uiPriority w:val="9"/>
    <w:qFormat/>
    <w:rsid w:val="003B0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0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C41FA8"/>
    <w:rPr>
      <w:szCs w:val="20"/>
      <w:lang w:eastAsia="en-US"/>
    </w:rPr>
  </w:style>
  <w:style w:type="paragraph" w:styleId="Footer">
    <w:name w:val="footer"/>
    <w:aliases w:val="Footer1"/>
    <w:basedOn w:val="Normal"/>
    <w:link w:val="FooterChar"/>
    <w:uiPriority w:val="99"/>
    <w:rsid w:val="00C41FA8"/>
    <w:pPr>
      <w:tabs>
        <w:tab w:val="center" w:pos="4153"/>
        <w:tab w:val="right" w:pos="8306"/>
      </w:tabs>
    </w:pPr>
    <w:rPr>
      <w:rFonts w:cs="Arial"/>
      <w:color w:val="FF0000"/>
      <w:sz w:val="16"/>
      <w:szCs w:val="20"/>
      <w:lang w:eastAsia="en-US"/>
    </w:rPr>
  </w:style>
  <w:style w:type="character" w:customStyle="1" w:styleId="FooterChar">
    <w:name w:val="Footer Char"/>
    <w:aliases w:val="Footer1 Char"/>
    <w:basedOn w:val="DefaultParagraphFont"/>
    <w:link w:val="Footer"/>
    <w:uiPriority w:val="99"/>
    <w:rsid w:val="00C41FA8"/>
    <w:rPr>
      <w:rFonts w:ascii="Arial" w:eastAsia="Times New Roman" w:hAnsi="Arial" w:cs="Arial"/>
      <w:color w:val="FF0000"/>
      <w:sz w:val="16"/>
      <w:szCs w:val="20"/>
    </w:rPr>
  </w:style>
  <w:style w:type="paragraph" w:styleId="Header">
    <w:name w:val="header"/>
    <w:basedOn w:val="Normal"/>
    <w:link w:val="HeaderChar"/>
    <w:uiPriority w:val="99"/>
    <w:rsid w:val="00C41FA8"/>
    <w:pPr>
      <w:tabs>
        <w:tab w:val="center" w:pos="4320"/>
        <w:tab w:val="right" w:pos="8640"/>
      </w:tabs>
    </w:pPr>
  </w:style>
  <w:style w:type="character" w:customStyle="1" w:styleId="HeaderChar">
    <w:name w:val="Header Char"/>
    <w:basedOn w:val="DefaultParagraphFont"/>
    <w:link w:val="Header"/>
    <w:uiPriority w:val="99"/>
    <w:rsid w:val="00C41FA8"/>
    <w:rPr>
      <w:rFonts w:ascii="Arial" w:eastAsia="Times New Roman" w:hAnsi="Arial" w:cs="Times New Roman"/>
      <w:lang w:eastAsia="en-AU"/>
    </w:rPr>
  </w:style>
  <w:style w:type="paragraph" w:styleId="BalloonText">
    <w:name w:val="Balloon Text"/>
    <w:basedOn w:val="Normal"/>
    <w:link w:val="BalloonTextChar"/>
    <w:uiPriority w:val="99"/>
    <w:semiHidden/>
    <w:unhideWhenUsed/>
    <w:rsid w:val="00C41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FA8"/>
    <w:rPr>
      <w:rFonts w:ascii="Segoe UI" w:eastAsia="Times New Roman" w:hAnsi="Segoe UI" w:cs="Segoe UI"/>
      <w:sz w:val="18"/>
      <w:szCs w:val="18"/>
      <w:lang w:eastAsia="en-AU"/>
    </w:rPr>
  </w:style>
  <w:style w:type="paragraph" w:customStyle="1" w:styleId="Footereven">
    <w:name w:val="Footer even"/>
    <w:basedOn w:val="Normal"/>
    <w:qFormat/>
    <w:rsid w:val="003B0266"/>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3B0266"/>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3B0266"/>
    <w:pPr>
      <w:pBdr>
        <w:bottom w:val="single" w:sz="8" w:space="1" w:color="580F8B"/>
      </w:pBdr>
      <w:spacing w:after="0" w:line="240" w:lineRule="auto"/>
      <w:ind w:left="-1134" w:right="9356"/>
      <w:jc w:val="right"/>
    </w:pPr>
    <w:rPr>
      <w:b/>
      <w:color w:val="580F8B"/>
      <w:sz w:val="36"/>
    </w:rPr>
  </w:style>
  <w:style w:type="paragraph" w:customStyle="1" w:styleId="Headerodd">
    <w:name w:val="Header odd"/>
    <w:basedOn w:val="Normal"/>
    <w:qFormat/>
    <w:rsid w:val="003B0266"/>
    <w:pPr>
      <w:pBdr>
        <w:bottom w:val="single" w:sz="8" w:space="1" w:color="580F8B"/>
      </w:pBdr>
      <w:spacing w:after="0" w:line="240" w:lineRule="auto"/>
      <w:ind w:left="9356" w:right="-1134"/>
    </w:pPr>
    <w:rPr>
      <w:b/>
      <w:noProof/>
      <w:color w:val="580F8B"/>
      <w:sz w:val="36"/>
      <w:szCs w:val="24"/>
    </w:rPr>
  </w:style>
  <w:style w:type="numbering" w:customStyle="1" w:styleId="SCSABulletList">
    <w:name w:val="SCSA Bullet List"/>
    <w:uiPriority w:val="99"/>
    <w:rsid w:val="003B0266"/>
    <w:pPr>
      <w:numPr>
        <w:numId w:val="1"/>
      </w:numPr>
    </w:pPr>
  </w:style>
  <w:style w:type="paragraph" w:customStyle="1" w:styleId="SCSAHeading1">
    <w:name w:val="SCSA Heading 1"/>
    <w:basedOn w:val="Heading1"/>
    <w:qFormat/>
    <w:rsid w:val="003B0266"/>
    <w:pPr>
      <w:keepNext w:val="0"/>
      <w:keepLines w:val="0"/>
      <w:spacing w:before="0"/>
    </w:pPr>
    <w:rPr>
      <w:rFonts w:asciiTheme="minorHAnsi" w:hAnsiTheme="minorHAnsi"/>
      <w:color w:val="580F8B"/>
    </w:rPr>
  </w:style>
  <w:style w:type="character" w:customStyle="1" w:styleId="Heading1Char">
    <w:name w:val="Heading 1 Char"/>
    <w:basedOn w:val="DefaultParagraphFont"/>
    <w:link w:val="Heading1"/>
    <w:uiPriority w:val="9"/>
    <w:rsid w:val="003B0266"/>
    <w:rPr>
      <w:rFonts w:asciiTheme="majorHAnsi" w:eastAsiaTheme="majorEastAsia" w:hAnsiTheme="majorHAnsi" w:cstheme="majorBidi"/>
      <w:color w:val="2E74B5" w:themeColor="accent1" w:themeShade="BF"/>
      <w:sz w:val="32"/>
      <w:szCs w:val="32"/>
      <w:lang w:eastAsia="en-AU"/>
    </w:rPr>
  </w:style>
  <w:style w:type="paragraph" w:customStyle="1" w:styleId="SCSAHeading2">
    <w:name w:val="SCSA Heading 2"/>
    <w:basedOn w:val="Heading2"/>
    <w:qFormat/>
    <w:rsid w:val="003B0266"/>
    <w:pPr>
      <w:keepNext w:val="0"/>
      <w:keepLines w:val="0"/>
      <w:spacing w:before="0" w:after="120"/>
    </w:pPr>
    <w:rPr>
      <w:rFonts w:asciiTheme="minorHAnsi" w:hAnsiTheme="minorHAnsi"/>
      <w:color w:val="580F8B"/>
      <w:sz w:val="28"/>
    </w:rPr>
  </w:style>
  <w:style w:type="character" w:customStyle="1" w:styleId="Heading2Char">
    <w:name w:val="Heading 2 Char"/>
    <w:basedOn w:val="DefaultParagraphFont"/>
    <w:link w:val="Heading2"/>
    <w:uiPriority w:val="9"/>
    <w:semiHidden/>
    <w:rsid w:val="003B0266"/>
    <w:rPr>
      <w:rFonts w:asciiTheme="majorHAnsi" w:eastAsiaTheme="majorEastAsia" w:hAnsiTheme="majorHAnsi" w:cstheme="majorBidi"/>
      <w:color w:val="2E74B5" w:themeColor="accent1" w:themeShade="BF"/>
      <w:sz w:val="26"/>
      <w:szCs w:val="26"/>
      <w:lang w:eastAsia="en-AU"/>
    </w:rPr>
  </w:style>
  <w:style w:type="table" w:customStyle="1" w:styleId="SCSATable">
    <w:name w:val="SCSA Table"/>
    <w:basedOn w:val="TableNormal"/>
    <w:uiPriority w:val="99"/>
    <w:rsid w:val="003B0266"/>
    <w:pPr>
      <w:spacing w:after="0" w:line="240" w:lineRule="auto"/>
    </w:pPr>
    <w:rPr>
      <w:rFonts w:eastAsiaTheme="minorEastAsia"/>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3B0266"/>
    <w:pPr>
      <w:keepNext/>
      <w:spacing w:before="3500" w:after="0"/>
      <w:jc w:val="center"/>
    </w:pPr>
    <w:rPr>
      <w:b/>
      <w:smallCaps/>
      <w:color w:val="580F8B"/>
      <w:sz w:val="40"/>
      <w:szCs w:val="52"/>
    </w:rPr>
  </w:style>
  <w:style w:type="paragraph" w:customStyle="1" w:styleId="SCSATitle2">
    <w:name w:val="SCSA Title 2"/>
    <w:basedOn w:val="Normal"/>
    <w:qFormat/>
    <w:rsid w:val="003B0266"/>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3B0266"/>
    <w:pPr>
      <w:keepNext/>
      <w:pBdr>
        <w:bottom w:val="single" w:sz="8" w:space="3" w:color="580F8B"/>
      </w:pBdr>
      <w:spacing w:after="0"/>
      <w:ind w:left="1701" w:right="1701"/>
      <w:jc w:val="center"/>
    </w:pPr>
    <w:rPr>
      <w:b/>
      <w:smallCaps/>
      <w:color w:val="580F8B"/>
      <w:sz w:val="32"/>
      <w:szCs w:val="28"/>
      <w:lang w:eastAsia="x-none"/>
    </w:rPr>
  </w:style>
  <w:style w:type="paragraph" w:styleId="Revision">
    <w:name w:val="Revision"/>
    <w:hidden/>
    <w:uiPriority w:val="99"/>
    <w:semiHidden/>
    <w:rsid w:val="00F34D43"/>
    <w:pPr>
      <w:spacing w:after="0" w:line="240" w:lineRule="auto"/>
    </w:pPr>
    <w:rPr>
      <w:rFonts w:eastAsiaTheme="minorEastAsia" w:cs="Times New Roman"/>
      <w:lang w:eastAsia="en-AU"/>
    </w:rPr>
  </w:style>
  <w:style w:type="character" w:styleId="CommentReference">
    <w:name w:val="annotation reference"/>
    <w:basedOn w:val="DefaultParagraphFont"/>
    <w:uiPriority w:val="99"/>
    <w:semiHidden/>
    <w:unhideWhenUsed/>
    <w:rsid w:val="00AD1E82"/>
    <w:rPr>
      <w:sz w:val="16"/>
      <w:szCs w:val="16"/>
    </w:rPr>
  </w:style>
  <w:style w:type="paragraph" w:styleId="CommentText">
    <w:name w:val="annotation text"/>
    <w:basedOn w:val="Normal"/>
    <w:link w:val="CommentTextChar"/>
    <w:uiPriority w:val="99"/>
    <w:unhideWhenUsed/>
    <w:rsid w:val="00AD1E82"/>
    <w:pPr>
      <w:spacing w:line="240" w:lineRule="auto"/>
    </w:pPr>
    <w:rPr>
      <w:sz w:val="20"/>
      <w:szCs w:val="20"/>
    </w:rPr>
  </w:style>
  <w:style w:type="character" w:customStyle="1" w:styleId="CommentTextChar">
    <w:name w:val="Comment Text Char"/>
    <w:basedOn w:val="DefaultParagraphFont"/>
    <w:link w:val="CommentText"/>
    <w:uiPriority w:val="99"/>
    <w:rsid w:val="00AD1E82"/>
    <w:rPr>
      <w:rFonts w:eastAsiaTheme="minorEastAsi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D1E82"/>
    <w:rPr>
      <w:b/>
      <w:bCs/>
    </w:rPr>
  </w:style>
  <w:style w:type="character" w:customStyle="1" w:styleId="CommentSubjectChar">
    <w:name w:val="Comment Subject Char"/>
    <w:basedOn w:val="CommentTextChar"/>
    <w:link w:val="CommentSubject"/>
    <w:uiPriority w:val="99"/>
    <w:semiHidden/>
    <w:rsid w:val="00AD1E82"/>
    <w:rPr>
      <w:rFonts w:eastAsiaTheme="minorEastAsia" w:cs="Times New Roman"/>
      <w:b/>
      <w:bCs/>
      <w:sz w:val="20"/>
      <w:szCs w:val="20"/>
      <w:lang w:eastAsia="en-AU"/>
    </w:rPr>
  </w:style>
  <w:style w:type="paragraph" w:styleId="BodyText">
    <w:name w:val="Body Text"/>
    <w:basedOn w:val="Normal"/>
    <w:link w:val="BodyTextChar"/>
    <w:uiPriority w:val="1"/>
    <w:rsid w:val="00805C8B"/>
    <w:rPr>
      <w:rFonts w:cstheme="minorBidi"/>
      <w:szCs w:val="20"/>
      <w:lang w:eastAsia="en-US"/>
    </w:rPr>
  </w:style>
  <w:style w:type="character" w:customStyle="1" w:styleId="BodyTextChar">
    <w:name w:val="Body Text Char"/>
    <w:basedOn w:val="DefaultParagraphFont"/>
    <w:link w:val="BodyText"/>
    <w:uiPriority w:val="1"/>
    <w:rsid w:val="00805C8B"/>
    <w:rPr>
      <w:rFonts w:eastAsiaTheme="minorEastAsia"/>
      <w:szCs w:val="20"/>
    </w:rPr>
  </w:style>
  <w:style w:type="character" w:styleId="Hyperlink">
    <w:name w:val="Hyperlink"/>
    <w:basedOn w:val="DefaultParagraphFont"/>
    <w:uiPriority w:val="99"/>
    <w:unhideWhenUsed/>
    <w:rsid w:val="00805C8B"/>
    <w:rPr>
      <w:rFonts w:ascii="Calibri" w:hAnsi="Calibri"/>
      <w:color w:val="580F8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5927-984E-4901-B464-B0365AB8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Harman</dc:creator>
  <cp:keywords/>
  <dc:description/>
  <cp:lastModifiedBy>Jessica Needle</cp:lastModifiedBy>
  <cp:revision>54</cp:revision>
  <cp:lastPrinted>2017-10-13T05:29:00Z</cp:lastPrinted>
  <dcterms:created xsi:type="dcterms:W3CDTF">2017-10-24T01:46:00Z</dcterms:created>
  <dcterms:modified xsi:type="dcterms:W3CDTF">2025-02-20T03:22:00Z</dcterms:modified>
</cp:coreProperties>
</file>