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6187" w14:textId="77777777" w:rsidR="00654DB4" w:rsidRDefault="00654DB4" w:rsidP="00456F14">
      <w:pPr>
        <w:spacing w:line="256" w:lineRule="auto"/>
        <w:rPr>
          <w:rFonts w:eastAsia="Calibri" w:cs="Times New Roman"/>
          <w:b/>
          <w:bCs/>
          <w:kern w:val="0"/>
          <w14:ligatures w14:val="none"/>
        </w:rPr>
      </w:pPr>
    </w:p>
    <w:p w14:paraId="57D01E64" w14:textId="375CBF0C" w:rsidR="00456F14" w:rsidRPr="00456F14" w:rsidRDefault="00D46DCA" w:rsidP="00456F14">
      <w:pPr>
        <w:spacing w:line="256" w:lineRule="auto"/>
        <w:rPr>
          <w:rFonts w:eastAsia="Calibri" w:cs="Times New Roman"/>
          <w:b/>
          <w:bCs/>
          <w:kern w:val="0"/>
          <w14:ligatures w14:val="none"/>
        </w:rPr>
      </w:pPr>
      <w:r>
        <w:rPr>
          <w:rFonts w:eastAsia="Calibri" w:cs="Times New Roman"/>
          <w:b/>
          <w:bCs/>
          <w:kern w:val="0"/>
          <w14:ligatures w14:val="none"/>
        </w:rPr>
        <w:t>Modern History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 xml:space="preserve"> | </w:t>
      </w:r>
      <w:r>
        <w:rPr>
          <w:rFonts w:eastAsia="Calibri" w:cs="Times New Roman"/>
          <w:b/>
          <w:bCs/>
          <w:kern w:val="0"/>
          <w14:ligatures w14:val="none"/>
        </w:rPr>
        <w:t>ATAR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 xml:space="preserve"> Year </w:t>
      </w:r>
      <w:r>
        <w:rPr>
          <w:rFonts w:eastAsia="Calibri" w:cs="Times New Roman"/>
          <w:b/>
          <w:bCs/>
          <w:kern w:val="0"/>
          <w14:ligatures w14:val="none"/>
        </w:rPr>
        <w:t>1</w:t>
      </w:r>
      <w:r w:rsidR="00F34F6F">
        <w:rPr>
          <w:rFonts w:eastAsia="Calibri" w:cs="Times New Roman"/>
          <w:b/>
          <w:bCs/>
          <w:kern w:val="0"/>
          <w14:ligatures w14:val="none"/>
        </w:rPr>
        <w:t>2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 xml:space="preserve"> | Summary of minor syllabus changes for 2025</w:t>
      </w:r>
    </w:p>
    <w:p w14:paraId="3C5388D0" w14:textId="4FAE1539" w:rsidR="00456F14" w:rsidRPr="001F5239" w:rsidRDefault="00456F14" w:rsidP="00456F14">
      <w:pPr>
        <w:spacing w:line="256" w:lineRule="auto"/>
        <w:rPr>
          <w:rFonts w:eastAsia="Calibri" w:cs="Times New Roman"/>
          <w:kern w:val="0"/>
          <w14:ligatures w14:val="none"/>
        </w:rPr>
      </w:pPr>
      <w:r w:rsidRPr="001F5239">
        <w:rPr>
          <w:rFonts w:eastAsia="Calibri" w:cs="Times New Roman"/>
          <w:kern w:val="0"/>
          <w14:ligatures w14:val="none"/>
        </w:rPr>
        <w:t xml:space="preserve">The content identified by </w:t>
      </w:r>
      <w:r w:rsidRPr="001F5239">
        <w:rPr>
          <w:rFonts w:eastAsia="Calibri" w:cs="Times New Roman"/>
          <w:strike/>
          <w:kern w:val="0"/>
          <w14:ligatures w14:val="none"/>
        </w:rPr>
        <w:t>strikethrough</w:t>
      </w:r>
      <w:r w:rsidRPr="001F5239">
        <w:rPr>
          <w:rFonts w:eastAsia="Calibri" w:cs="Times New Roman"/>
          <w:kern w:val="0"/>
          <w14:ligatures w14:val="none"/>
        </w:rPr>
        <w:t xml:space="preserve"> has been deleted from the syllabus and the content identified in </w:t>
      </w:r>
      <w:r w:rsidR="00432653" w:rsidRPr="00432653">
        <w:rPr>
          <w:rFonts w:eastAsia="Calibri" w:cs="Times New Roman"/>
          <w:iCs/>
          <w:kern w:val="0"/>
          <w:u w:val="single"/>
          <w14:ligatures w14:val="none"/>
        </w:rPr>
        <w:t>underline</w:t>
      </w:r>
      <w:r w:rsidRPr="001F5239">
        <w:rPr>
          <w:rFonts w:eastAsia="Calibri" w:cs="Times New Roman"/>
          <w:kern w:val="0"/>
          <w14:ligatures w14:val="none"/>
        </w:rPr>
        <w:t xml:space="preserve"> has been revised in the syllabus for teaching from 202</w:t>
      </w:r>
      <w:r>
        <w:rPr>
          <w:rFonts w:eastAsia="Calibri" w:cs="Times New Roman"/>
          <w:kern w:val="0"/>
          <w14:ligatures w14:val="none"/>
        </w:rPr>
        <w:t>5</w:t>
      </w:r>
      <w:r w:rsidRPr="001F5239">
        <w:rPr>
          <w:rFonts w:eastAsia="Calibri" w:cs="Times New Roman"/>
          <w:kern w:val="0"/>
          <w14:ligatures w14:val="none"/>
        </w:rPr>
        <w:t>.</w:t>
      </w:r>
    </w:p>
    <w:p w14:paraId="1E7BF3D8" w14:textId="77777777" w:rsidR="00C45CD3" w:rsidRDefault="00C45CD3">
      <w:pPr>
        <w:rPr>
          <w:b/>
          <w:bCs/>
        </w:rPr>
      </w:pPr>
    </w:p>
    <w:p w14:paraId="45C777DB" w14:textId="6802C389" w:rsidR="00D072DB" w:rsidRDefault="00C45CD3">
      <w:pPr>
        <w:rPr>
          <w:b/>
          <w:bCs/>
        </w:rPr>
      </w:pPr>
      <w:r>
        <w:rPr>
          <w:b/>
          <w:bCs/>
        </w:rPr>
        <w:t xml:space="preserve">Organisation </w:t>
      </w:r>
      <w:r w:rsidR="00510196">
        <w:rPr>
          <w:b/>
          <w:bCs/>
        </w:rPr>
        <w:t>of content</w:t>
      </w:r>
    </w:p>
    <w:p w14:paraId="6F0C70B4" w14:textId="3E3E953F" w:rsidR="00C45CD3" w:rsidRPr="004E2D4D" w:rsidRDefault="00C45CD3" w:rsidP="00C45CD3">
      <w:pPr>
        <w:pStyle w:val="Paragraph"/>
        <w:rPr>
          <w:rFonts w:ascii="Calibri" w:hAnsi="Calibri"/>
          <w:color w:val="FF0000"/>
        </w:rPr>
      </w:pPr>
      <w:r w:rsidRPr="00FF0D8A">
        <w:rPr>
          <w:rFonts w:ascii="Calibri" w:hAnsi="Calibri"/>
          <w:color w:val="auto"/>
        </w:rPr>
        <w:t xml:space="preserve">The unit content that is listed after </w:t>
      </w:r>
      <w:r w:rsidRPr="00C45CD3">
        <w:rPr>
          <w:rFonts w:ascii="Calibri" w:hAnsi="Calibri"/>
          <w:strike/>
          <w:color w:val="auto"/>
        </w:rPr>
        <w:t>‘e.g.</w:t>
      </w:r>
      <w:r w:rsidRPr="00C45CD3">
        <w:rPr>
          <w:rFonts w:ascii="Calibri" w:hAnsi="Calibri"/>
          <w:color w:val="auto"/>
        </w:rPr>
        <w:t>’</w:t>
      </w:r>
      <w:r>
        <w:rPr>
          <w:rFonts w:ascii="Calibri" w:hAnsi="Calibri"/>
          <w:color w:val="auto"/>
        </w:rPr>
        <w:t xml:space="preserve"> </w:t>
      </w:r>
      <w:r w:rsidR="00510196">
        <w:rPr>
          <w:rFonts w:ascii="Calibri" w:hAnsi="Calibri"/>
          <w:color w:val="auto"/>
        </w:rPr>
        <w:t>‘</w:t>
      </w:r>
      <w:r w:rsidRPr="00432653">
        <w:rPr>
          <w:rFonts w:ascii="Calibri" w:hAnsi="Calibri"/>
          <w:color w:val="auto"/>
          <w:u w:val="single"/>
        </w:rPr>
        <w:t>for example</w:t>
      </w:r>
      <w:r w:rsidR="00510196">
        <w:rPr>
          <w:rFonts w:ascii="Calibri" w:hAnsi="Calibri"/>
          <w:color w:val="auto"/>
          <w:u w:val="single"/>
        </w:rPr>
        <w:t>’</w:t>
      </w:r>
      <w:r w:rsidRPr="00C45CD3">
        <w:rPr>
          <w:rFonts w:ascii="Calibri" w:hAnsi="Calibri"/>
          <w:color w:val="auto"/>
        </w:rPr>
        <w:t xml:space="preserve"> </w:t>
      </w:r>
      <w:r w:rsidRPr="00FF0D8A">
        <w:rPr>
          <w:rFonts w:ascii="Calibri" w:hAnsi="Calibri"/>
          <w:color w:val="auto"/>
        </w:rPr>
        <w:t xml:space="preserve">is provided as suggested examples to guide teachers on relevant topics, which could be used to teach the content descriptions; teachers are not restricted to just the listed examples. </w:t>
      </w:r>
      <w:r w:rsidRPr="00432653">
        <w:rPr>
          <w:rFonts w:ascii="Calibri" w:hAnsi="Calibri"/>
          <w:color w:val="auto"/>
          <w:u w:val="single"/>
        </w:rPr>
        <w:t>All</w:t>
      </w:r>
      <w:r w:rsidRPr="00C45CD3">
        <w:rPr>
          <w:rFonts w:ascii="Calibri" w:hAnsi="Calibri"/>
          <w:i/>
          <w:iCs/>
          <w:color w:val="auto"/>
        </w:rPr>
        <w:t xml:space="preserve"> </w:t>
      </w:r>
      <w:r w:rsidRPr="00F34F6F">
        <w:rPr>
          <w:rFonts w:ascii="Calibri" w:hAnsi="Calibri"/>
          <w:color w:val="auto"/>
        </w:rPr>
        <w:t>unit content that is referred to in a content description after ‘including’ is examinable content.</w:t>
      </w:r>
      <w:r w:rsidRPr="00C45CD3">
        <w:rPr>
          <w:rFonts w:ascii="Calibri" w:hAnsi="Calibri"/>
          <w:color w:val="auto"/>
        </w:rPr>
        <w:t xml:space="preserve">  </w:t>
      </w:r>
    </w:p>
    <w:p w14:paraId="00962441" w14:textId="77777777" w:rsidR="00C45CD3" w:rsidRPr="0060688D" w:rsidRDefault="00C45CD3">
      <w:pPr>
        <w:rPr>
          <w:b/>
          <w:bCs/>
        </w:rPr>
      </w:pPr>
    </w:p>
    <w:p w14:paraId="14796A44" w14:textId="2D1F1F81" w:rsidR="00C45CD3" w:rsidRDefault="00C45CD3">
      <w:pPr>
        <w:rPr>
          <w:b/>
          <w:bCs/>
        </w:rPr>
      </w:pPr>
      <w:r>
        <w:rPr>
          <w:b/>
          <w:bCs/>
        </w:rPr>
        <w:t xml:space="preserve">Unit </w:t>
      </w:r>
      <w:r w:rsidR="00F34F6F">
        <w:rPr>
          <w:b/>
          <w:bCs/>
        </w:rPr>
        <w:t>3</w:t>
      </w:r>
      <w:r>
        <w:rPr>
          <w:b/>
          <w:bCs/>
        </w:rPr>
        <w:t xml:space="preserve"> – </w:t>
      </w:r>
      <w:r w:rsidR="00F34F6F">
        <w:rPr>
          <w:b/>
          <w:bCs/>
        </w:rPr>
        <w:t>Modern nations in the 20</w:t>
      </w:r>
      <w:r w:rsidR="00F34F6F">
        <w:rPr>
          <w:b/>
          <w:bCs/>
          <w:vertAlign w:val="superscript"/>
        </w:rPr>
        <w:t xml:space="preserve">th </w:t>
      </w:r>
      <w:r w:rsidR="00F34F6F">
        <w:rPr>
          <w:b/>
          <w:bCs/>
        </w:rPr>
        <w:t>century</w:t>
      </w:r>
      <w:r>
        <w:rPr>
          <w:b/>
          <w:bCs/>
        </w:rPr>
        <w:t xml:space="preserve"> </w:t>
      </w:r>
    </w:p>
    <w:p w14:paraId="6448FA94" w14:textId="2D6B9D2C" w:rsidR="0060688D" w:rsidRDefault="0060688D">
      <w:pPr>
        <w:rPr>
          <w:b/>
          <w:bCs/>
        </w:rPr>
      </w:pPr>
      <w:r w:rsidRPr="0060688D">
        <w:rPr>
          <w:b/>
          <w:bCs/>
        </w:rPr>
        <w:t>Historical Skills</w:t>
      </w:r>
    </w:p>
    <w:p w14:paraId="63123567" w14:textId="5C9D40C9" w:rsidR="0060688D" w:rsidRDefault="0060688D">
      <w:pPr>
        <w:rPr>
          <w:b/>
          <w:bCs/>
        </w:rPr>
      </w:pPr>
      <w:r>
        <w:rPr>
          <w:b/>
          <w:bCs/>
        </w:rPr>
        <w:t>Analysis and us</w:t>
      </w:r>
      <w:r w:rsidR="00C45CD3">
        <w:rPr>
          <w:b/>
          <w:bCs/>
        </w:rPr>
        <w:t>e</w:t>
      </w:r>
      <w:r>
        <w:rPr>
          <w:b/>
          <w:bCs/>
        </w:rPr>
        <w:t xml:space="preserve"> of historical sources</w:t>
      </w:r>
    </w:p>
    <w:p w14:paraId="17ACE8C8" w14:textId="77777777" w:rsidR="0060688D" w:rsidRPr="00D3004B" w:rsidRDefault="0060688D" w:rsidP="0060688D">
      <w:pPr>
        <w:pStyle w:val="SyllabusListParagraph"/>
        <w:numPr>
          <w:ilvl w:val="0"/>
          <w:numId w:val="1"/>
        </w:numPr>
      </w:pPr>
      <w:r w:rsidRPr="00D3004B">
        <w:t>identify the</w:t>
      </w:r>
      <w:r>
        <w:rPr>
          <w:color w:val="FF0000"/>
        </w:rPr>
        <w:t xml:space="preserve"> </w:t>
      </w:r>
      <w:r w:rsidRPr="00432653">
        <w:rPr>
          <w:u w:val="single"/>
        </w:rPr>
        <w:t>message</w:t>
      </w:r>
      <w:r w:rsidRPr="0060688D">
        <w:t xml:space="preserve">, </w:t>
      </w:r>
      <w:r w:rsidRPr="00D3004B">
        <w:t>origin, purpose and context of historical sources</w:t>
      </w:r>
    </w:p>
    <w:p w14:paraId="044DEA4A" w14:textId="77777777" w:rsidR="00654DB4" w:rsidRDefault="00654DB4">
      <w:pPr>
        <w:rPr>
          <w:b/>
          <w:bCs/>
        </w:rPr>
      </w:pPr>
    </w:p>
    <w:p w14:paraId="7986DF01" w14:textId="2E8B2AEB" w:rsidR="00886032" w:rsidRDefault="00886032" w:rsidP="00886032">
      <w:pPr>
        <w:rPr>
          <w:b/>
          <w:bCs/>
        </w:rPr>
      </w:pPr>
      <w:r>
        <w:rPr>
          <w:b/>
          <w:bCs/>
        </w:rPr>
        <w:t xml:space="preserve">Unit </w:t>
      </w:r>
      <w:r w:rsidR="00F34F6F">
        <w:rPr>
          <w:b/>
          <w:bCs/>
        </w:rPr>
        <w:t>4</w:t>
      </w:r>
      <w:r>
        <w:rPr>
          <w:b/>
          <w:bCs/>
        </w:rPr>
        <w:t xml:space="preserve"> – </w:t>
      </w:r>
      <w:r w:rsidR="00F34F6F">
        <w:rPr>
          <w:b/>
          <w:bCs/>
        </w:rPr>
        <w:t>The modern world since 1945</w:t>
      </w:r>
    </w:p>
    <w:p w14:paraId="46262F1C" w14:textId="77777777" w:rsidR="00886032" w:rsidRDefault="00886032" w:rsidP="00886032">
      <w:pPr>
        <w:rPr>
          <w:b/>
          <w:bCs/>
        </w:rPr>
      </w:pPr>
      <w:r w:rsidRPr="0060688D">
        <w:rPr>
          <w:b/>
          <w:bCs/>
        </w:rPr>
        <w:t>Historical Skills</w:t>
      </w:r>
    </w:p>
    <w:p w14:paraId="41EA27DA" w14:textId="77777777" w:rsidR="00886032" w:rsidRDefault="00886032" w:rsidP="00886032">
      <w:pPr>
        <w:rPr>
          <w:b/>
          <w:bCs/>
        </w:rPr>
      </w:pPr>
      <w:r>
        <w:rPr>
          <w:b/>
          <w:bCs/>
        </w:rPr>
        <w:t>Analysis and use of historical sources</w:t>
      </w:r>
    </w:p>
    <w:p w14:paraId="4F07B880" w14:textId="77777777" w:rsidR="00886032" w:rsidRPr="00D3004B" w:rsidRDefault="00886032" w:rsidP="00886032">
      <w:pPr>
        <w:pStyle w:val="SyllabusListParagraph"/>
        <w:numPr>
          <w:ilvl w:val="0"/>
          <w:numId w:val="1"/>
        </w:numPr>
      </w:pPr>
      <w:r w:rsidRPr="00D3004B">
        <w:t>identify the</w:t>
      </w:r>
      <w:r>
        <w:rPr>
          <w:color w:val="FF0000"/>
        </w:rPr>
        <w:t xml:space="preserve"> </w:t>
      </w:r>
      <w:r w:rsidRPr="00432653">
        <w:rPr>
          <w:u w:val="single"/>
        </w:rPr>
        <w:t>message</w:t>
      </w:r>
      <w:r w:rsidRPr="0060688D">
        <w:t xml:space="preserve">, </w:t>
      </w:r>
      <w:r w:rsidRPr="00D3004B">
        <w:t>origin, purpose and context of historical sources</w:t>
      </w:r>
    </w:p>
    <w:p w14:paraId="79FDACD4" w14:textId="77777777" w:rsidR="00F34F6F" w:rsidRDefault="00F34F6F">
      <w:pPr>
        <w:rPr>
          <w:b/>
          <w:bCs/>
        </w:rPr>
      </w:pPr>
    </w:p>
    <w:p w14:paraId="3D986469" w14:textId="64A31656" w:rsidR="00886032" w:rsidRDefault="00886032" w:rsidP="00886032">
      <w:pPr>
        <w:rPr>
          <w:b/>
          <w:bCs/>
        </w:rPr>
      </w:pPr>
      <w:bookmarkStart w:id="0" w:name="_Hlk170992092"/>
      <w:r w:rsidRPr="00654DB4">
        <w:rPr>
          <w:b/>
          <w:bCs/>
        </w:rPr>
        <w:t xml:space="preserve">Elective </w:t>
      </w:r>
      <w:r>
        <w:rPr>
          <w:b/>
          <w:bCs/>
        </w:rPr>
        <w:t>3</w:t>
      </w:r>
      <w:r w:rsidRPr="00654DB4">
        <w:rPr>
          <w:b/>
          <w:bCs/>
        </w:rPr>
        <w:t xml:space="preserve">: </w:t>
      </w:r>
      <w:r w:rsidR="00F34F6F">
        <w:rPr>
          <w:b/>
          <w:bCs/>
        </w:rPr>
        <w:t>The struggle for peace in the Middle East since 1945</w:t>
      </w:r>
    </w:p>
    <w:bookmarkEnd w:id="0"/>
    <w:p w14:paraId="6C7D5B95" w14:textId="77777777" w:rsidR="00F34F6F" w:rsidRPr="004A08AB" w:rsidRDefault="00F34F6F" w:rsidP="00F34F6F">
      <w:pPr>
        <w:pStyle w:val="ListBullet"/>
        <w:ind w:left="357" w:hanging="357"/>
        <w:contextualSpacing w:val="0"/>
      </w:pPr>
      <w:r w:rsidRPr="004A08AB">
        <w:t xml:space="preserve">reasons for, and consequences of key conflicts between Arabs and Israelis, including </w:t>
      </w:r>
    </w:p>
    <w:p w14:paraId="202F49DC" w14:textId="77777777" w:rsidR="00F34F6F" w:rsidRDefault="00F34F6F" w:rsidP="00F34F6F">
      <w:pPr>
        <w:pStyle w:val="ListBullet2"/>
        <w:ind w:left="714" w:hanging="357"/>
      </w:pPr>
      <w:r w:rsidRPr="00B80E41">
        <w:t xml:space="preserve">the Arab-Israeli War </w:t>
      </w:r>
      <w:r>
        <w:t>(</w:t>
      </w:r>
      <w:r w:rsidRPr="00B80E41">
        <w:t>1948</w:t>
      </w:r>
      <w:r>
        <w:t>–49)</w:t>
      </w:r>
    </w:p>
    <w:p w14:paraId="51313199" w14:textId="77777777" w:rsidR="00F34F6F" w:rsidRDefault="00F34F6F" w:rsidP="00F34F6F">
      <w:pPr>
        <w:pStyle w:val="ListBullet2"/>
        <w:ind w:left="714" w:hanging="357"/>
      </w:pPr>
      <w:r>
        <w:t>the Suez War (1956)</w:t>
      </w:r>
    </w:p>
    <w:p w14:paraId="674888A8" w14:textId="77777777" w:rsidR="00F34F6F" w:rsidRDefault="00F34F6F" w:rsidP="00F34F6F">
      <w:pPr>
        <w:pStyle w:val="ListBullet2"/>
        <w:ind w:left="714" w:hanging="357"/>
      </w:pPr>
      <w:r>
        <w:t>the Six-Day War (1967)</w:t>
      </w:r>
    </w:p>
    <w:p w14:paraId="64AF7935" w14:textId="77777777" w:rsidR="00F34F6F" w:rsidRDefault="00F34F6F" w:rsidP="00F34F6F">
      <w:pPr>
        <w:pStyle w:val="ListBullet2"/>
        <w:ind w:left="714" w:hanging="357"/>
      </w:pPr>
      <w:r>
        <w:t xml:space="preserve">the Yom Kippur </w:t>
      </w:r>
      <w:r w:rsidRPr="00F34F6F">
        <w:rPr>
          <w:i/>
          <w:iCs/>
        </w:rPr>
        <w:t xml:space="preserve">/ </w:t>
      </w:r>
      <w:r w:rsidRPr="00432653">
        <w:rPr>
          <w:u w:val="single"/>
        </w:rPr>
        <w:t>Ramadan</w:t>
      </w:r>
      <w:r w:rsidRPr="00F34F6F">
        <w:t xml:space="preserve"> </w:t>
      </w:r>
      <w:r w:rsidRPr="00815CB2">
        <w:t xml:space="preserve">War </w:t>
      </w:r>
      <w:r>
        <w:t>(1973)</w:t>
      </w:r>
    </w:p>
    <w:p w14:paraId="3AC9E0D6" w14:textId="77777777" w:rsidR="00F34F6F" w:rsidRPr="00510196" w:rsidRDefault="00F34F6F" w:rsidP="00F34F6F">
      <w:pPr>
        <w:pStyle w:val="ListBullet2"/>
        <w:ind w:left="714" w:hanging="357"/>
      </w:pPr>
      <w:r w:rsidRPr="00510196">
        <w:t>Israeli military intervention in Lebanon (1978, 1982)</w:t>
      </w:r>
    </w:p>
    <w:p w14:paraId="2200ACC8" w14:textId="38AB98CB" w:rsidR="00886032" w:rsidRPr="00886032" w:rsidRDefault="00F34F6F" w:rsidP="00F34F6F">
      <w:pPr>
        <w:pStyle w:val="ListBullet2"/>
        <w:ind w:left="714" w:hanging="357"/>
      </w:pPr>
      <w:r>
        <w:t>t</w:t>
      </w:r>
      <w:r w:rsidRPr="00B80E41">
        <w:t>he nature and consequences of Palestinian reactions to Israel, including the Intifada (1987–</w:t>
      </w:r>
      <w:r>
        <w:t>19</w:t>
      </w:r>
      <w:r w:rsidRPr="00B80E41">
        <w:t>9</w:t>
      </w:r>
      <w:r>
        <w:t>3</w:t>
      </w:r>
      <w:r w:rsidRPr="00B80E41">
        <w:t>) and the beginning of the 2nd Intifada (2000)</w:t>
      </w:r>
    </w:p>
    <w:sectPr w:rsidR="00886032" w:rsidRPr="008860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387D" w14:textId="77777777" w:rsidR="0000773D" w:rsidRDefault="0000773D" w:rsidP="00456F14">
      <w:pPr>
        <w:spacing w:after="0" w:line="240" w:lineRule="auto"/>
      </w:pPr>
      <w:r>
        <w:separator/>
      </w:r>
    </w:p>
  </w:endnote>
  <w:endnote w:type="continuationSeparator" w:id="0">
    <w:p w14:paraId="28BC6E44" w14:textId="77777777" w:rsidR="0000773D" w:rsidRDefault="0000773D" w:rsidP="0045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7336" w14:textId="143C9AB0" w:rsidR="00456F14" w:rsidRDefault="00F34F6F">
    <w:pPr>
      <w:pStyle w:val="Footer"/>
    </w:pPr>
    <w:r>
      <w:rPr>
        <w:rFonts w:ascii="Arial" w:hAnsi="Arial" w:cs="Arial"/>
        <w:sz w:val="18"/>
      </w:rPr>
      <w:t>CM: 2024/495</w:t>
    </w:r>
    <w:r w:rsidRPr="00432653">
      <w:rPr>
        <w:rFonts w:ascii="Arial" w:hAnsi="Arial" w:cs="Arial"/>
        <w:sz w:val="18"/>
        <w:szCs w:val="18"/>
      </w:rPr>
      <w:t>86</w:t>
    </w:r>
    <w:r w:rsidR="00432653" w:rsidRPr="00432653">
      <w:rPr>
        <w:rFonts w:ascii="Arial" w:hAnsi="Arial" w:cs="Arial"/>
        <w:sz w:val="18"/>
        <w:szCs w:val="18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589B" w14:textId="77777777" w:rsidR="0000773D" w:rsidRDefault="0000773D" w:rsidP="00456F14">
      <w:pPr>
        <w:spacing w:after="0" w:line="240" w:lineRule="auto"/>
      </w:pPr>
      <w:r>
        <w:separator/>
      </w:r>
    </w:p>
  </w:footnote>
  <w:footnote w:type="continuationSeparator" w:id="0">
    <w:p w14:paraId="27237E00" w14:textId="77777777" w:rsidR="0000773D" w:rsidRDefault="0000773D" w:rsidP="0045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9B8C" w14:textId="5725ECEF" w:rsidR="00456F14" w:rsidRPr="00456F14" w:rsidRDefault="00456F14" w:rsidP="00456F14">
    <w:pPr>
      <w:rPr>
        <w:b/>
        <w:bCs/>
      </w:rPr>
    </w:pPr>
    <w:r w:rsidRPr="00456F14">
      <w:rPr>
        <w:b/>
        <w:bCs/>
      </w:rPr>
      <w:t xml:space="preserve">School administrators and Heads of Learning Area – </w:t>
    </w:r>
    <w:r w:rsidR="00D46DCA">
      <w:rPr>
        <w:b/>
        <w:bCs/>
      </w:rPr>
      <w:t>Modern History</w:t>
    </w:r>
    <w:r w:rsidRPr="00456F14">
      <w:rPr>
        <w:b/>
        <w:bCs/>
      </w:rPr>
      <w:t xml:space="preserve"> and teachers of </w:t>
    </w:r>
    <w:r w:rsidR="00D46DCA">
      <w:rPr>
        <w:b/>
        <w:bCs/>
      </w:rPr>
      <w:t>Modern History ATAR</w:t>
    </w:r>
    <w:r w:rsidRPr="00456F14">
      <w:rPr>
        <w:b/>
        <w:bCs/>
      </w:rPr>
      <w:t xml:space="preserve"> Year </w:t>
    </w:r>
    <w:r w:rsidR="00D46DCA">
      <w:rPr>
        <w:b/>
        <w:bCs/>
      </w:rPr>
      <w:t>1</w:t>
    </w:r>
    <w:r w:rsidR="00F34F6F">
      <w:rPr>
        <w:b/>
        <w:bCs/>
      </w:rPr>
      <w:t>2</w:t>
    </w:r>
    <w:r w:rsidR="00D46DCA">
      <w:rPr>
        <w:b/>
        <w:bCs/>
      </w:rPr>
      <w:t xml:space="preserve"> </w:t>
    </w:r>
    <w:r w:rsidRPr="00456F14">
      <w:rPr>
        <w:b/>
        <w:bCs/>
      </w:rPr>
      <w:t>are requested to note for 2025 the following minor syllabus changes. The syllabus is labelled ‘For teaching from 2025’.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3553"/>
    <w:multiLevelType w:val="hybridMultilevel"/>
    <w:tmpl w:val="F9EC5C32"/>
    <w:lvl w:ilvl="0" w:tplc="57C0F912">
      <w:start w:val="1"/>
      <w:numFmt w:val="bullet"/>
      <w:pStyle w:val="ListBullet2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34416FEF"/>
    <w:multiLevelType w:val="multilevel"/>
    <w:tmpl w:val="53FC7F5E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pStyle w:val="List4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2" w15:restartNumberingAfterBreak="0">
    <w:nsid w:val="349E61C7"/>
    <w:multiLevelType w:val="hybridMultilevel"/>
    <w:tmpl w:val="9A787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4377A"/>
    <w:multiLevelType w:val="hybridMultilevel"/>
    <w:tmpl w:val="0BBED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75932"/>
    <w:multiLevelType w:val="hybridMultilevel"/>
    <w:tmpl w:val="1870DA30"/>
    <w:lvl w:ilvl="0" w:tplc="FB74216A">
      <w:start w:val="1"/>
      <w:numFmt w:val="bullet"/>
      <w:pStyle w:val="ContentDescription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FB4C8B"/>
    <w:multiLevelType w:val="hybridMultilevel"/>
    <w:tmpl w:val="57E08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881336"/>
    <w:multiLevelType w:val="hybridMultilevel"/>
    <w:tmpl w:val="9B8AA7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7159307">
    <w:abstractNumId w:val="4"/>
  </w:num>
  <w:num w:numId="2" w16cid:durableId="1650357413">
    <w:abstractNumId w:val="0"/>
  </w:num>
  <w:num w:numId="3" w16cid:durableId="148518677">
    <w:abstractNumId w:val="3"/>
  </w:num>
  <w:num w:numId="4" w16cid:durableId="1124541764">
    <w:abstractNumId w:val="2"/>
  </w:num>
  <w:num w:numId="5" w16cid:durableId="856699338">
    <w:abstractNumId w:val="1"/>
  </w:num>
  <w:num w:numId="6" w16cid:durableId="100421226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sz w:val="22"/>
          <w:szCs w:val="22"/>
        </w:rPr>
      </w:lvl>
    </w:lvlOverride>
  </w:num>
  <w:num w:numId="7" w16cid:durableId="1386295303">
    <w:abstractNumId w:val="6"/>
  </w:num>
  <w:num w:numId="8" w16cid:durableId="1128206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4"/>
    <w:rsid w:val="0000773D"/>
    <w:rsid w:val="000B0295"/>
    <w:rsid w:val="000B52B5"/>
    <w:rsid w:val="000F2C2D"/>
    <w:rsid w:val="00102CF2"/>
    <w:rsid w:val="00121ACA"/>
    <w:rsid w:val="004162BE"/>
    <w:rsid w:val="00432653"/>
    <w:rsid w:val="00456F14"/>
    <w:rsid w:val="00493E0B"/>
    <w:rsid w:val="00510196"/>
    <w:rsid w:val="0060688D"/>
    <w:rsid w:val="00654DB4"/>
    <w:rsid w:val="007C6CCC"/>
    <w:rsid w:val="007E6036"/>
    <w:rsid w:val="00886032"/>
    <w:rsid w:val="00B970A6"/>
    <w:rsid w:val="00C45CD3"/>
    <w:rsid w:val="00D072DB"/>
    <w:rsid w:val="00D46DCA"/>
    <w:rsid w:val="00D945E5"/>
    <w:rsid w:val="00ED53A9"/>
    <w:rsid w:val="00EF6D78"/>
    <w:rsid w:val="00F34F6F"/>
    <w:rsid w:val="00F646C7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24C96"/>
  <w15:chartTrackingRefBased/>
  <w15:docId w15:val="{EE63713A-AA3E-4DC9-A696-BF932C33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14"/>
    <w:pPr>
      <w:spacing w:after="12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F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F1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F1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5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F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56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F14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6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F14"/>
    <w:pPr>
      <w:spacing w:after="160" w:line="278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456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F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56F14"/>
  </w:style>
  <w:style w:type="paragraph" w:styleId="Footer">
    <w:name w:val="footer"/>
    <w:basedOn w:val="Normal"/>
    <w:link w:val="Foot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56F14"/>
  </w:style>
  <w:style w:type="paragraph" w:customStyle="1" w:styleId="ContentDescription">
    <w:name w:val="Content Description"/>
    <w:basedOn w:val="Normal"/>
    <w:rsid w:val="0060688D"/>
    <w:pPr>
      <w:numPr>
        <w:numId w:val="1"/>
      </w:numPr>
      <w:spacing w:before="120"/>
    </w:pPr>
    <w:rPr>
      <w:rFonts w:ascii="Arial" w:hAnsi="Arial" w:cs="Arial"/>
      <w:color w:val="0E2841" w:themeColor="text2"/>
      <w:kern w:val="0"/>
      <w:lang w:eastAsia="en-AU"/>
      <w14:ligatures w14:val="none"/>
    </w:rPr>
  </w:style>
  <w:style w:type="paragraph" w:customStyle="1" w:styleId="SyllabusListParagraph">
    <w:name w:val="Syllabus List Paragraph"/>
    <w:basedOn w:val="Normal"/>
    <w:link w:val="SyllabusListParagraphChar"/>
    <w:rsid w:val="0060688D"/>
    <w:rPr>
      <w:rFonts w:eastAsiaTheme="minorEastAsia"/>
      <w:kern w:val="0"/>
      <w:lang w:eastAsia="ja-JP"/>
      <w14:ligatures w14:val="none"/>
    </w:rPr>
  </w:style>
  <w:style w:type="character" w:customStyle="1" w:styleId="SyllabusListParagraphChar">
    <w:name w:val="Syllabus List Paragraph Char"/>
    <w:basedOn w:val="DefaultParagraphFont"/>
    <w:link w:val="SyllabusListParagraph"/>
    <w:rsid w:val="0060688D"/>
    <w:rPr>
      <w:rFonts w:ascii="Calibri" w:hAnsi="Calibri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link w:val="ParagraphChar"/>
    <w:rsid w:val="00C45CD3"/>
    <w:pPr>
      <w:spacing w:before="120"/>
    </w:pPr>
    <w:rPr>
      <w:rFonts w:ascii="Arial" w:hAnsi="Arial" w:cs="Arial"/>
      <w:color w:val="595959" w:themeColor="text1" w:themeTint="A6"/>
      <w:kern w:val="0"/>
      <w:lang w:eastAsia="en-AU"/>
      <w14:ligatures w14:val="none"/>
    </w:rPr>
  </w:style>
  <w:style w:type="character" w:customStyle="1" w:styleId="ParagraphChar">
    <w:name w:val="Paragraph Char"/>
    <w:basedOn w:val="DefaultParagraphFont"/>
    <w:link w:val="Paragraph"/>
    <w:locked/>
    <w:rsid w:val="00C45CD3"/>
    <w:rPr>
      <w:rFonts w:ascii="Arial" w:eastAsiaTheme="minorHAnsi" w:hAnsi="Arial" w:cs="Arial"/>
      <w:color w:val="595959" w:themeColor="text1" w:themeTint="A6"/>
      <w:kern w:val="0"/>
      <w:sz w:val="22"/>
      <w:szCs w:val="22"/>
      <w:lang w:eastAsia="en-AU"/>
      <w14:ligatures w14:val="none"/>
    </w:rPr>
  </w:style>
  <w:style w:type="paragraph" w:styleId="ListBullet2">
    <w:name w:val="List Bullet 2"/>
    <w:basedOn w:val="Normal"/>
    <w:uiPriority w:val="99"/>
    <w:unhideWhenUsed/>
    <w:rsid w:val="00654DB4"/>
    <w:pPr>
      <w:numPr>
        <w:numId w:val="2"/>
      </w:numPr>
    </w:pPr>
    <w:rPr>
      <w:rFonts w:eastAsiaTheme="minorEastAsia"/>
      <w:kern w:val="0"/>
      <w14:ligatures w14:val="none"/>
    </w:rPr>
  </w:style>
  <w:style w:type="paragraph" w:styleId="ListBullet">
    <w:name w:val="List Bullet"/>
    <w:basedOn w:val="Normal"/>
    <w:uiPriority w:val="99"/>
    <w:unhideWhenUsed/>
    <w:qFormat/>
    <w:rsid w:val="00886032"/>
    <w:pPr>
      <w:numPr>
        <w:numId w:val="5"/>
      </w:numPr>
      <w:contextualSpacing/>
    </w:pPr>
    <w:rPr>
      <w:rFonts w:eastAsiaTheme="minorEastAsia"/>
      <w:kern w:val="0"/>
      <w14:ligatures w14:val="none"/>
    </w:rPr>
  </w:style>
  <w:style w:type="numbering" w:customStyle="1" w:styleId="ListBullets">
    <w:name w:val="ListBullets"/>
    <w:uiPriority w:val="99"/>
    <w:rsid w:val="00886032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unhideWhenUsed/>
    <w:rsid w:val="00886032"/>
    <w:pPr>
      <w:numPr>
        <w:ilvl w:val="2"/>
        <w:numId w:val="5"/>
      </w:numPr>
      <w:contextualSpacing/>
    </w:pPr>
    <w:rPr>
      <w:rFonts w:eastAsiaTheme="minorEastAsia"/>
      <w:kern w:val="0"/>
      <w14:ligatures w14:val="none"/>
    </w:rPr>
  </w:style>
  <w:style w:type="paragraph" w:styleId="List4">
    <w:name w:val="List 4"/>
    <w:basedOn w:val="Normal"/>
    <w:uiPriority w:val="99"/>
    <w:semiHidden/>
    <w:unhideWhenUsed/>
    <w:rsid w:val="00886032"/>
    <w:pPr>
      <w:numPr>
        <w:ilvl w:val="3"/>
        <w:numId w:val="5"/>
      </w:numPr>
      <w:contextualSpacing/>
    </w:pPr>
    <w:rPr>
      <w:rFonts w:eastAsiaTheme="minorEastAsia"/>
      <w:kern w:val="0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886032"/>
    <w:pPr>
      <w:numPr>
        <w:ilvl w:val="4"/>
        <w:numId w:val="5"/>
      </w:numPr>
      <w:contextualSpacing/>
    </w:pPr>
    <w:rPr>
      <w:rFonts w:eastAsiaTheme="minorEastAsia"/>
      <w:kern w:val="0"/>
      <w14:ligatures w14:val="none"/>
    </w:rPr>
  </w:style>
  <w:style w:type="paragraph" w:styleId="Revision">
    <w:name w:val="Revision"/>
    <w:hidden/>
    <w:uiPriority w:val="99"/>
    <w:semiHidden/>
    <w:rsid w:val="00510196"/>
    <w:pPr>
      <w:spacing w:after="0" w:line="240" w:lineRule="auto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1200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Khor</dc:creator>
  <cp:keywords/>
  <dc:description/>
  <cp:lastModifiedBy>Sarah Morris-Batt</cp:lastModifiedBy>
  <cp:revision>6</cp:revision>
  <cp:lastPrinted>2024-08-06T05:40:00Z</cp:lastPrinted>
  <dcterms:created xsi:type="dcterms:W3CDTF">2024-07-04T05:50:00Z</dcterms:created>
  <dcterms:modified xsi:type="dcterms:W3CDTF">2024-08-06T05:40:00Z</dcterms:modified>
</cp:coreProperties>
</file>