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3F6" w:rsidRPr="003E43F6" w:rsidRDefault="003E43F6" w:rsidP="003E43F6">
      <w:pPr>
        <w:rPr>
          <w:rFonts w:ascii="Calibri" w:eastAsia="Calibri" w:hAnsi="Calibri" w:cs="Times New Roman"/>
        </w:rPr>
      </w:pPr>
    </w:p>
    <w:p w:rsidR="003E43F6" w:rsidRPr="003E43F6" w:rsidRDefault="003E43F6" w:rsidP="003E43F6">
      <w:pPr>
        <w:pBdr>
          <w:bottom w:val="single" w:sz="8" w:space="4" w:color="46328C"/>
        </w:pBdr>
        <w:spacing w:before="10680" w:after="0" w:line="240" w:lineRule="auto"/>
        <w:rPr>
          <w:rFonts w:ascii="Franklin Gothic Medium" w:eastAsia="Times New Roman" w:hAnsi="Franklin Gothic Medium" w:cs="Times New Roman"/>
          <w:smallCaps/>
          <w:color w:val="3C3B42"/>
          <w:spacing w:val="5"/>
          <w:kern w:val="28"/>
          <w:sz w:val="40"/>
          <w:szCs w:val="52"/>
        </w:rPr>
      </w:pPr>
      <w:r w:rsidRPr="003E43F6">
        <w:rPr>
          <w:rFonts w:ascii="Franklin Gothic Medium" w:eastAsia="Times New Roman" w:hAnsi="Franklin Gothic Medium" w:cs="Times New Roman"/>
          <w:smallCaps/>
          <w:noProof/>
          <w:color w:val="3C3B42"/>
          <w:spacing w:val="5"/>
          <w:kern w:val="28"/>
          <w:sz w:val="60"/>
          <w:szCs w:val="52"/>
          <w:lang w:eastAsia="en-AU"/>
        </w:rPr>
        <w:drawing>
          <wp:anchor distT="0" distB="0" distL="114300" distR="114300" simplePos="0" relativeHeight="251659264" behindDoc="1" locked="0" layoutInCell="1" allowOverlap="1" wp14:anchorId="2B59B2C0" wp14:editId="2B2B322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Medium" w:eastAsia="Times New Roman" w:hAnsi="Franklin Gothic Medium" w:cs="Times New Roman"/>
          <w:smallCaps/>
          <w:color w:val="3C3B42"/>
          <w:spacing w:val="5"/>
          <w:kern w:val="28"/>
          <w:sz w:val="60"/>
          <w:szCs w:val="52"/>
        </w:rPr>
        <w:t>Science</w:t>
      </w:r>
    </w:p>
    <w:p w:rsidR="003E43F6" w:rsidRPr="003E43F6" w:rsidRDefault="003E43F6" w:rsidP="009F3A43">
      <w:pPr>
        <w:keepNext/>
        <w:spacing w:before="240" w:after="0" w:line="264" w:lineRule="auto"/>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pPr>
      <w:r>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Types of science inquiry investigations</w:t>
      </w:r>
    </w:p>
    <w:p w:rsidR="003E43F6" w:rsidRPr="003E43F6" w:rsidRDefault="003E43F6" w:rsidP="003E43F6">
      <w:pPr>
        <w:spacing w:before="240"/>
        <w:rPr>
          <w:rFonts w:ascii="Calibri" w:eastAsia="Calibri" w:hAnsi="Calibri" w:cs="Times New Roman"/>
          <w:sz w:val="24"/>
        </w:rPr>
      </w:pPr>
      <w:r w:rsidRPr="003E43F6">
        <w:rPr>
          <w:rFonts w:ascii="Calibri" w:eastAsia="Calibri" w:hAnsi="Calibri" w:cs="Times New Roman"/>
          <w:sz w:val="24"/>
        </w:rPr>
        <w:br w:type="page"/>
      </w:r>
      <w:bookmarkStart w:id="0" w:name="_GoBack"/>
      <w:bookmarkEnd w:id="0"/>
    </w:p>
    <w:p w:rsidR="003E43F6" w:rsidRDefault="003E43F6" w:rsidP="003E43F6">
      <w:pPr>
        <w:spacing w:before="7000" w:after="80" w:line="264" w:lineRule="auto"/>
        <w:ind w:right="68"/>
        <w:jc w:val="both"/>
        <w:rPr>
          <w:rFonts w:ascii="Calibri" w:eastAsia="Times New Roman" w:hAnsi="Calibri" w:cs="Times New Roman"/>
          <w:b/>
          <w:bCs/>
          <w:sz w:val="20"/>
          <w:szCs w:val="20"/>
        </w:rPr>
      </w:pPr>
    </w:p>
    <w:p w:rsidR="00836446" w:rsidRPr="00836446" w:rsidRDefault="00836446" w:rsidP="00836446">
      <w:pPr>
        <w:spacing w:before="10000" w:after="80" w:line="264" w:lineRule="auto"/>
        <w:ind w:right="68"/>
        <w:jc w:val="both"/>
        <w:rPr>
          <w:rFonts w:ascii="Calibri" w:eastAsia="Times New Roman" w:hAnsi="Calibri" w:cs="Times New Roman"/>
          <w:b/>
          <w:sz w:val="16"/>
          <w:lang w:val="it-IT" w:eastAsia="en-AU"/>
        </w:rPr>
      </w:pPr>
      <w:r w:rsidRPr="00836446">
        <w:rPr>
          <w:rFonts w:ascii="Calibri" w:eastAsia="Times New Roman" w:hAnsi="Calibri" w:cs="Times New Roman"/>
          <w:b/>
          <w:sz w:val="16"/>
          <w:lang w:val="it-IT" w:eastAsia="en-AU"/>
        </w:rPr>
        <w:t>Copyright</w:t>
      </w:r>
    </w:p>
    <w:p w:rsidR="00836446" w:rsidRPr="00836446" w:rsidRDefault="00836446" w:rsidP="00836446">
      <w:pPr>
        <w:spacing w:after="80" w:line="264" w:lineRule="auto"/>
        <w:ind w:right="68"/>
        <w:jc w:val="both"/>
        <w:rPr>
          <w:rFonts w:ascii="Calibri" w:eastAsia="Times New Roman" w:hAnsi="Calibri" w:cs="Times New Roman"/>
          <w:sz w:val="16"/>
          <w:lang w:val="it-IT" w:eastAsia="en-AU"/>
        </w:rPr>
      </w:pPr>
      <w:r w:rsidRPr="00836446">
        <w:rPr>
          <w:rFonts w:ascii="Calibri" w:eastAsia="Times New Roman" w:hAnsi="Calibri" w:cs="Times New Roman"/>
          <w:sz w:val="16"/>
          <w:lang w:val="it-IT" w:eastAsia="en-AU"/>
        </w:rPr>
        <w:t>© School Curricul</w:t>
      </w:r>
      <w:r>
        <w:rPr>
          <w:rFonts w:ascii="Calibri" w:eastAsia="Times New Roman" w:hAnsi="Calibri" w:cs="Times New Roman"/>
          <w:sz w:val="16"/>
          <w:lang w:val="it-IT" w:eastAsia="en-AU"/>
        </w:rPr>
        <w:t>um and Standards Authority, 2020</w:t>
      </w:r>
    </w:p>
    <w:p w:rsidR="00836446" w:rsidRPr="00836446" w:rsidRDefault="00836446" w:rsidP="00836446">
      <w:pPr>
        <w:spacing w:after="80" w:line="264" w:lineRule="auto"/>
        <w:ind w:right="68"/>
        <w:jc w:val="both"/>
        <w:rPr>
          <w:rFonts w:ascii="Calibri" w:eastAsia="Times New Roman" w:hAnsi="Calibri" w:cs="Times New Roman"/>
          <w:sz w:val="16"/>
          <w:lang w:val="it-IT" w:eastAsia="en-AU"/>
        </w:rPr>
      </w:pPr>
      <w:r w:rsidRPr="00836446">
        <w:rPr>
          <w:rFonts w:ascii="Calibri" w:eastAsia="Times New Roman" w:hAnsi="Calibri" w:cs="Times New Roman"/>
          <w:sz w:val="16"/>
          <w:lang w:val="it-IT"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36446" w:rsidRPr="00836446" w:rsidRDefault="00836446" w:rsidP="00836446">
      <w:pPr>
        <w:spacing w:after="80" w:line="264" w:lineRule="auto"/>
        <w:ind w:right="68"/>
        <w:jc w:val="both"/>
        <w:rPr>
          <w:rFonts w:ascii="Calibri" w:eastAsia="Times New Roman" w:hAnsi="Calibri" w:cs="Times New Roman"/>
          <w:sz w:val="16"/>
          <w:lang w:val="it-IT" w:eastAsia="en-AU"/>
        </w:rPr>
      </w:pPr>
      <w:r w:rsidRPr="00836446">
        <w:rPr>
          <w:rFonts w:ascii="Calibri" w:eastAsia="Times New Roman" w:hAnsi="Calibri" w:cs="Times New Roman"/>
          <w:sz w:val="16"/>
          <w:lang w:val="it-IT" w:eastAsia="en-AU"/>
        </w:rPr>
        <w:t xml:space="preserve">Copying or communication for any other purpose can be done only within the terms of the </w:t>
      </w:r>
      <w:r w:rsidRPr="00836446">
        <w:rPr>
          <w:rFonts w:ascii="Calibri" w:eastAsia="Times New Roman" w:hAnsi="Calibri" w:cs="Times New Roman"/>
          <w:i/>
          <w:iCs/>
          <w:sz w:val="16"/>
          <w:lang w:val="it-IT" w:eastAsia="en-AU"/>
        </w:rPr>
        <w:t>Copyright Act 1968</w:t>
      </w:r>
      <w:r w:rsidRPr="00836446">
        <w:rPr>
          <w:rFonts w:ascii="Calibri" w:eastAsia="Times New Roman" w:hAnsi="Calibri" w:cs="Times New Roman"/>
          <w:sz w:val="16"/>
          <w:lang w:val="it-IT" w:eastAsia="en-AU"/>
        </w:rPr>
        <w:t xml:space="preserve"> or with prior written permission of the School Curriculum and Standards Authority. Copying or communication of any third party copyright material can be done only within the terms of the </w:t>
      </w:r>
      <w:r w:rsidRPr="00836446">
        <w:rPr>
          <w:rFonts w:ascii="Calibri" w:eastAsia="Times New Roman" w:hAnsi="Calibri" w:cs="Times New Roman"/>
          <w:i/>
          <w:iCs/>
          <w:sz w:val="16"/>
          <w:lang w:val="it-IT" w:eastAsia="en-AU"/>
        </w:rPr>
        <w:t>Copyright Act 1968</w:t>
      </w:r>
      <w:r w:rsidRPr="00836446">
        <w:rPr>
          <w:rFonts w:ascii="Calibri" w:eastAsia="Times New Roman" w:hAnsi="Calibri" w:cs="Times New Roman"/>
          <w:sz w:val="16"/>
          <w:lang w:val="it-IT" w:eastAsia="en-AU"/>
        </w:rPr>
        <w:t xml:space="preserve"> or with permission of the copyright owners.</w:t>
      </w:r>
    </w:p>
    <w:p w:rsidR="00836446" w:rsidRPr="00836446" w:rsidRDefault="00836446" w:rsidP="00836446">
      <w:pPr>
        <w:spacing w:after="80" w:line="264" w:lineRule="auto"/>
        <w:ind w:right="68"/>
        <w:jc w:val="both"/>
        <w:rPr>
          <w:rFonts w:ascii="Calibri" w:eastAsia="Times New Roman" w:hAnsi="Calibri" w:cs="Calibri"/>
          <w:sz w:val="16"/>
          <w:szCs w:val="16"/>
          <w:lang w:val="it-IT" w:eastAsia="en-AU"/>
        </w:rPr>
      </w:pPr>
      <w:r w:rsidRPr="00836446">
        <w:rPr>
          <w:rFonts w:ascii="Calibri" w:eastAsia="Times New Roman" w:hAnsi="Calibri" w:cs="Times New Roman"/>
          <w:sz w:val="16"/>
          <w:szCs w:val="16"/>
          <w:lang w:val="it-IT" w:eastAsia="en-AU"/>
        </w:rPr>
        <w:t xml:space="preserve">Any content in this document that has been derived from the Australian Curriculum may be used under the terms of the </w:t>
      </w:r>
      <w:hyperlink r:id="rId8" w:tgtFrame="_blank" w:history="1">
        <w:r w:rsidRPr="00836446">
          <w:rPr>
            <w:rFonts w:ascii="Calibri" w:eastAsia="Times New Roman" w:hAnsi="Calibri" w:cs="Calibri"/>
            <w:color w:val="580F8B"/>
            <w:sz w:val="16"/>
            <w:u w:val="single"/>
            <w:lang w:val="it-IT" w:eastAsia="en-AU"/>
          </w:rPr>
          <w:t>Creative Commons Attribution 4.0 International licence</w:t>
        </w:r>
      </w:hyperlink>
      <w:r w:rsidRPr="00836446">
        <w:rPr>
          <w:rFonts w:ascii="Calibri" w:eastAsia="Times New Roman" w:hAnsi="Calibri" w:cs="Calibri"/>
          <w:sz w:val="16"/>
          <w:szCs w:val="16"/>
          <w:lang w:val="it-IT" w:eastAsia="en-AU"/>
        </w:rPr>
        <w:t>.</w:t>
      </w:r>
    </w:p>
    <w:p w:rsidR="00836446" w:rsidRPr="00836446" w:rsidRDefault="00836446" w:rsidP="00836446">
      <w:pPr>
        <w:spacing w:after="80" w:line="264" w:lineRule="auto"/>
        <w:ind w:right="68"/>
        <w:jc w:val="both"/>
        <w:rPr>
          <w:rFonts w:ascii="Calibri" w:eastAsia="Times New Roman" w:hAnsi="Calibri" w:cs="Times New Roman"/>
          <w:b/>
          <w:sz w:val="16"/>
          <w:lang w:val="it-IT" w:eastAsia="en-AU"/>
        </w:rPr>
      </w:pPr>
      <w:r w:rsidRPr="00836446">
        <w:rPr>
          <w:rFonts w:ascii="Calibri" w:eastAsia="Times New Roman" w:hAnsi="Calibri" w:cs="Times New Roman"/>
          <w:b/>
          <w:sz w:val="16"/>
          <w:lang w:val="it-IT" w:eastAsia="en-AU"/>
        </w:rPr>
        <w:t>Disclaimer</w:t>
      </w:r>
    </w:p>
    <w:p w:rsidR="003E43F6" w:rsidRPr="003E43F6" w:rsidRDefault="00836446" w:rsidP="00836446">
      <w:pPr>
        <w:rPr>
          <w:rFonts w:ascii="Calibri" w:eastAsia="Calibri" w:hAnsi="Calibri" w:cs="Times New Roman"/>
          <w:color w:val="3333CC"/>
          <w:sz w:val="12"/>
          <w:szCs w:val="16"/>
        </w:rPr>
      </w:pPr>
      <w:r w:rsidRPr="00836446">
        <w:rPr>
          <w:rFonts w:ascii="Calibri" w:eastAsia="Times New Roman" w:hAnsi="Calibri" w:cs="Times New Roman"/>
          <w:sz w:val="16"/>
          <w:lang w:val="it-IT"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3E43F6" w:rsidRPr="003E43F6" w:rsidRDefault="003E43F6" w:rsidP="003E43F6">
      <w:pPr>
        <w:rPr>
          <w:rFonts w:ascii="Calibri" w:eastAsia="Times New Roman" w:hAnsi="Calibri" w:cs="Arial"/>
          <w:color w:val="3333CC"/>
          <w:sz w:val="12"/>
          <w:szCs w:val="12"/>
          <w:u w:val="single"/>
          <w:lang w:eastAsia="en-AU"/>
        </w:rPr>
        <w:sectPr w:rsidR="003E43F6" w:rsidRPr="003E43F6" w:rsidSect="00E97698">
          <w:footerReference w:type="even" r:id="rId9"/>
          <w:footerReference w:type="default" r:id="rId10"/>
          <w:headerReference w:type="first" r:id="rId11"/>
          <w:pgSz w:w="11906" w:h="16838"/>
          <w:pgMar w:top="1440" w:right="1440" w:bottom="1440" w:left="1440" w:header="708" w:footer="708" w:gutter="0"/>
          <w:cols w:space="708"/>
          <w:titlePg/>
          <w:docGrid w:linePitch="360"/>
        </w:sectPr>
      </w:pPr>
    </w:p>
    <w:p w:rsidR="00FF5966" w:rsidRPr="0099721E" w:rsidRDefault="00A507D0" w:rsidP="0099721E">
      <w:pPr>
        <w:pStyle w:val="Heading1"/>
      </w:pPr>
      <w:r w:rsidRPr="0099721E">
        <w:t xml:space="preserve">Types of </w:t>
      </w:r>
      <w:r w:rsidR="003D3C2F" w:rsidRPr="0099721E">
        <w:t>science inquiry</w:t>
      </w:r>
      <w:r w:rsidR="006A173A" w:rsidRPr="0099721E">
        <w:t xml:space="preserve"> </w:t>
      </w:r>
      <w:r w:rsidR="00C45CB0" w:rsidRPr="0099721E">
        <w:t>investigations</w:t>
      </w:r>
    </w:p>
    <w:p w:rsidR="0026539B" w:rsidRPr="0099721E" w:rsidRDefault="0026539B" w:rsidP="00546A25">
      <w:pPr>
        <w:pStyle w:val="Heading2"/>
      </w:pPr>
      <w:r w:rsidRPr="00546A25">
        <w:t>Introductory</w:t>
      </w:r>
      <w:r w:rsidRPr="0099721E">
        <w:t xml:space="preserve"> </w:t>
      </w:r>
      <w:r w:rsidR="00A507D0" w:rsidRPr="0099721E">
        <w:t>comments</w:t>
      </w:r>
    </w:p>
    <w:p w:rsidR="00130DC1" w:rsidRDefault="00130DC1" w:rsidP="0099721E">
      <w:pPr>
        <w:pStyle w:val="BodyText"/>
      </w:pPr>
      <w:r>
        <w:t xml:space="preserve">It </w:t>
      </w:r>
      <w:r w:rsidR="00F3699E">
        <w:t>can</w:t>
      </w:r>
      <w:r>
        <w:t xml:space="preserve"> be useful </w:t>
      </w:r>
      <w:r w:rsidR="00A507D0">
        <w:t xml:space="preserve">to have a framework through which science </w:t>
      </w:r>
      <w:r w:rsidR="003D3C2F" w:rsidRPr="003D3C2F">
        <w:t xml:space="preserve">inquiry </w:t>
      </w:r>
      <w:r w:rsidR="00C45CB0" w:rsidRPr="00C45CB0">
        <w:t xml:space="preserve">investigations </w:t>
      </w:r>
      <w:r w:rsidR="00A507D0">
        <w:t>can be designed for both teaching and assessment. While there are many possible frameworks and it is not intended that the one provided here be seen as superior to other</w:t>
      </w:r>
      <w:r w:rsidR="00682D5B">
        <w:t>s</w:t>
      </w:r>
      <w:r w:rsidR="00E40A09">
        <w:t>,</w:t>
      </w:r>
      <w:r w:rsidR="00A507D0">
        <w:t xml:space="preserve"> it is offered as a way to support </w:t>
      </w:r>
      <w:r w:rsidR="00F3699E">
        <w:t xml:space="preserve">the </w:t>
      </w:r>
      <w:r w:rsidR="00A507D0">
        <w:t xml:space="preserve">designing </w:t>
      </w:r>
      <w:r w:rsidR="00F3699E">
        <w:t xml:space="preserve">of </w:t>
      </w:r>
      <w:r w:rsidR="003D3C2F">
        <w:t xml:space="preserve">science </w:t>
      </w:r>
      <w:r w:rsidR="003D3C2F" w:rsidRPr="003D3C2F">
        <w:t xml:space="preserve">inquiry </w:t>
      </w:r>
      <w:r w:rsidR="00C45CB0" w:rsidRPr="00C45CB0">
        <w:t xml:space="preserve">investigations </w:t>
      </w:r>
      <w:r w:rsidR="00A507D0">
        <w:t>and science inquiry assessment</w:t>
      </w:r>
      <w:r w:rsidR="00AB2AF0">
        <w:t xml:space="preserve"> task</w:t>
      </w:r>
      <w:r w:rsidR="00A507D0">
        <w:t>s.</w:t>
      </w:r>
      <w:r w:rsidR="00C40565">
        <w:t xml:space="preserve"> </w:t>
      </w:r>
    </w:p>
    <w:p w:rsidR="00F3699E" w:rsidRPr="0099721E" w:rsidRDefault="00F3699E" w:rsidP="00546A25">
      <w:pPr>
        <w:pStyle w:val="Heading2"/>
      </w:pPr>
      <w:r w:rsidRPr="0099721E">
        <w:t xml:space="preserve">A framework for classifying types of </w:t>
      </w:r>
      <w:r w:rsidR="003D3C2F" w:rsidRPr="0099721E">
        <w:t xml:space="preserve">science inquiry </w:t>
      </w:r>
      <w:r w:rsidR="00C45CB0" w:rsidRPr="0099721E">
        <w:t>investigations</w:t>
      </w:r>
    </w:p>
    <w:tbl>
      <w:tblPr>
        <w:tblStyle w:val="ListTable3-Accent5"/>
        <w:tblW w:w="5000" w:type="pct"/>
        <w:tblCellMar>
          <w:top w:w="57" w:type="dxa"/>
          <w:bottom w:w="57" w:type="dxa"/>
        </w:tblCellMar>
        <w:tblLook w:val="0020" w:firstRow="1" w:lastRow="0" w:firstColumn="0" w:lastColumn="0" w:noHBand="0" w:noVBand="0"/>
      </w:tblPr>
      <w:tblGrid>
        <w:gridCol w:w="4508"/>
        <w:gridCol w:w="4508"/>
      </w:tblGrid>
      <w:tr w:rsidR="0099721E" w:rsidRPr="00546A25" w:rsidTr="00546A25">
        <w:trPr>
          <w:cnfStyle w:val="100000000000" w:firstRow="1" w:lastRow="0" w:firstColumn="0" w:lastColumn="0" w:oddVBand="0" w:evenVBand="0" w:oddHBand="0" w:evenHBand="0" w:firstRowFirstColumn="0" w:firstRowLastColumn="0" w:lastRowFirstColumn="0" w:lastRowLastColumn="0"/>
          <w:trHeight w:val="47"/>
          <w:tblHeader/>
        </w:trPr>
        <w:tc>
          <w:tcPr>
            <w:cnfStyle w:val="000010000000" w:firstRow="0" w:lastRow="0" w:firstColumn="0" w:lastColumn="0" w:oddVBand="1" w:evenVBand="0" w:oddHBand="0" w:evenHBand="0" w:firstRowFirstColumn="0" w:firstRowLastColumn="0" w:lastRowFirstColumn="0" w:lastRowLastColumn="0"/>
            <w:tcW w:w="2500" w:type="pct"/>
          </w:tcPr>
          <w:p w:rsidR="00F70359" w:rsidRPr="00546A25" w:rsidRDefault="00F70359" w:rsidP="00634B08">
            <w:pPr>
              <w:rPr>
                <w:color w:val="auto"/>
                <w:sz w:val="20"/>
              </w:rPr>
            </w:pPr>
            <w:r w:rsidRPr="00546A25">
              <w:rPr>
                <w:color w:val="auto"/>
                <w:sz w:val="20"/>
              </w:rPr>
              <w:t>Types of science inquiry investigations</w:t>
            </w:r>
          </w:p>
        </w:tc>
        <w:tc>
          <w:tcPr>
            <w:tcW w:w="2500" w:type="pct"/>
          </w:tcPr>
          <w:p w:rsidR="00F70359" w:rsidRPr="00546A25" w:rsidRDefault="00F70359" w:rsidP="00634B08">
            <w:pPr>
              <w:cnfStyle w:val="100000000000" w:firstRow="1" w:lastRow="0" w:firstColumn="0" w:lastColumn="0" w:oddVBand="0" w:evenVBand="0" w:oddHBand="0" w:evenHBand="0" w:firstRowFirstColumn="0" w:firstRowLastColumn="0" w:lastRowFirstColumn="0" w:lastRowLastColumn="0"/>
              <w:rPr>
                <w:b w:val="0"/>
                <w:color w:val="auto"/>
                <w:sz w:val="20"/>
              </w:rPr>
            </w:pPr>
            <w:r w:rsidRPr="00546A25">
              <w:rPr>
                <w:color w:val="auto"/>
                <w:sz w:val="20"/>
              </w:rPr>
              <w:t>Examples</w:t>
            </w:r>
          </w:p>
        </w:tc>
      </w:tr>
      <w:tr w:rsidR="00F70359" w:rsidRPr="00546A25" w:rsidTr="00546A25">
        <w:trPr>
          <w:cnfStyle w:val="000000100000" w:firstRow="0" w:lastRow="0" w:firstColumn="0" w:lastColumn="0" w:oddVBand="0" w:evenVBand="0" w:oddHBand="1" w:evenHBand="0" w:firstRowFirstColumn="0" w:firstRowLastColumn="0" w:lastRowFirstColumn="0" w:lastRowLastColumn="0"/>
          <w:trHeight w:val="3065"/>
        </w:trPr>
        <w:tc>
          <w:tcPr>
            <w:cnfStyle w:val="000010000000" w:firstRow="0" w:lastRow="0" w:firstColumn="0" w:lastColumn="0" w:oddVBand="1" w:evenVBand="0" w:oddHBand="0" w:evenHBand="0" w:firstRowFirstColumn="0" w:firstRowLastColumn="0" w:lastRowFirstColumn="0" w:lastRowLastColumn="0"/>
            <w:tcW w:w="2500" w:type="pct"/>
          </w:tcPr>
          <w:p w:rsidR="00F70359" w:rsidRPr="00546A25" w:rsidRDefault="00F70359" w:rsidP="00634B08">
            <w:pPr>
              <w:pStyle w:val="BodyText"/>
              <w:spacing w:after="0"/>
              <w:rPr>
                <w:b/>
                <w:sz w:val="20"/>
              </w:rPr>
            </w:pPr>
            <w:r w:rsidRPr="00546A25">
              <w:rPr>
                <w:b/>
                <w:sz w:val="20"/>
              </w:rPr>
              <w:t xml:space="preserve">Descriptive Investigations </w:t>
            </w:r>
          </w:p>
          <w:p w:rsidR="00F70359" w:rsidRPr="00546A25" w:rsidRDefault="00F70359" w:rsidP="00634B08">
            <w:pPr>
              <w:pStyle w:val="BodyText"/>
              <w:spacing w:after="60"/>
              <w:rPr>
                <w:sz w:val="20"/>
              </w:rPr>
            </w:pPr>
            <w:r w:rsidRPr="00546A25">
              <w:rPr>
                <w:sz w:val="20"/>
              </w:rPr>
              <w:t>A range of data is collected to develop a description of a phenomenon or location.</w:t>
            </w:r>
          </w:p>
          <w:p w:rsidR="00F70359" w:rsidRPr="00546A25" w:rsidRDefault="00F70359" w:rsidP="00634B08">
            <w:pPr>
              <w:pStyle w:val="BodyText"/>
              <w:spacing w:after="0"/>
              <w:rPr>
                <w:sz w:val="20"/>
              </w:rPr>
            </w:pPr>
            <w:r w:rsidRPr="00546A25">
              <w:rPr>
                <w:sz w:val="20"/>
              </w:rPr>
              <w:t>This type of science inquiry investigation would not involve a hypothesis, independent, dependent or controlled variables.</w:t>
            </w:r>
          </w:p>
        </w:tc>
        <w:tc>
          <w:tcPr>
            <w:tcW w:w="2500" w:type="pct"/>
          </w:tcPr>
          <w:p w:rsidR="00F70359" w:rsidRPr="00546A25" w:rsidRDefault="00F70359" w:rsidP="00634B08">
            <w:pPr>
              <w:pStyle w:val="ListBullet"/>
              <w:spacing w:after="0"/>
              <w:cnfStyle w:val="000000100000" w:firstRow="0" w:lastRow="0" w:firstColumn="0" w:lastColumn="0" w:oddVBand="0" w:evenVBand="0" w:oddHBand="1" w:evenHBand="0" w:firstRowFirstColumn="0" w:firstRowLastColumn="0" w:lastRowFirstColumn="0" w:lastRowLastColumn="0"/>
              <w:rPr>
                <w:sz w:val="20"/>
              </w:rPr>
            </w:pPr>
            <w:r w:rsidRPr="00546A25">
              <w:rPr>
                <w:sz w:val="20"/>
              </w:rPr>
              <w:t>observations of classes of reactions</w:t>
            </w:r>
            <w:r w:rsidR="00634B08">
              <w:rPr>
                <w:sz w:val="20"/>
              </w:rPr>
              <w:t>,</w:t>
            </w:r>
            <w:r w:rsidR="005D393C">
              <w:rPr>
                <w:sz w:val="20"/>
              </w:rPr>
              <w:t xml:space="preserve"> </w:t>
            </w:r>
            <w:r w:rsidRPr="00546A25">
              <w:rPr>
                <w:sz w:val="20"/>
              </w:rPr>
              <w:t xml:space="preserve"> such as the reactions of acids with bases, of acids with metals, of acids with carbonates etc.</w:t>
            </w:r>
          </w:p>
          <w:p w:rsidR="00F70359" w:rsidRPr="00546A25" w:rsidRDefault="00F70359" w:rsidP="00634B08">
            <w:pPr>
              <w:pStyle w:val="ListBullet"/>
              <w:spacing w:after="0"/>
              <w:cnfStyle w:val="000000100000" w:firstRow="0" w:lastRow="0" w:firstColumn="0" w:lastColumn="0" w:oddVBand="0" w:evenVBand="0" w:oddHBand="1" w:evenHBand="0" w:firstRowFirstColumn="0" w:firstRowLastColumn="0" w:lastRowFirstColumn="0" w:lastRowLastColumn="0"/>
              <w:rPr>
                <w:sz w:val="20"/>
              </w:rPr>
            </w:pPr>
            <w:r w:rsidRPr="00546A25">
              <w:rPr>
                <w:sz w:val="20"/>
              </w:rPr>
              <w:t>observations to identify patterns or trends</w:t>
            </w:r>
            <w:r w:rsidR="005D393C">
              <w:rPr>
                <w:sz w:val="20"/>
              </w:rPr>
              <w:t>,</w:t>
            </w:r>
            <w:r w:rsidRPr="00546A25">
              <w:rPr>
                <w:sz w:val="20"/>
              </w:rPr>
              <w:t xml:space="preserve"> such as solubility rules</w:t>
            </w:r>
          </w:p>
          <w:p w:rsidR="00F70359" w:rsidRPr="00546A25" w:rsidRDefault="00F70359" w:rsidP="00634B08">
            <w:pPr>
              <w:pStyle w:val="ListBullet"/>
              <w:spacing w:after="0"/>
              <w:cnfStyle w:val="000000100000" w:firstRow="0" w:lastRow="0" w:firstColumn="0" w:lastColumn="0" w:oddVBand="0" w:evenVBand="0" w:oddHBand="1" w:evenHBand="0" w:firstRowFirstColumn="0" w:firstRowLastColumn="0" w:lastRowFirstColumn="0" w:lastRowLastColumn="0"/>
              <w:rPr>
                <w:sz w:val="20"/>
              </w:rPr>
            </w:pPr>
            <w:r w:rsidRPr="00546A25">
              <w:rPr>
                <w:sz w:val="20"/>
              </w:rPr>
              <w:t>collection of quantitative data to identify patterns; for example, the heating of solids to observe the pattern of temperature changes from melting through to boiling</w:t>
            </w:r>
          </w:p>
          <w:p w:rsidR="00F70359" w:rsidRPr="00546A25" w:rsidRDefault="00F70359" w:rsidP="00634B08">
            <w:pPr>
              <w:pStyle w:val="ListBullet"/>
              <w:spacing w:after="0"/>
              <w:cnfStyle w:val="000000100000" w:firstRow="0" w:lastRow="0" w:firstColumn="0" w:lastColumn="0" w:oddVBand="0" w:evenVBand="0" w:oddHBand="1" w:evenHBand="0" w:firstRowFirstColumn="0" w:firstRowLastColumn="0" w:lastRowFirstColumn="0" w:lastRowLastColumn="0"/>
              <w:rPr>
                <w:sz w:val="20"/>
              </w:rPr>
            </w:pPr>
            <w:r w:rsidRPr="00546A25">
              <w:rPr>
                <w:sz w:val="20"/>
              </w:rPr>
              <w:t>field work to observe behaviour of organisms, e.g. nesting behaviour of cockatoos</w:t>
            </w:r>
            <w:r w:rsidR="005D393C">
              <w:rPr>
                <w:sz w:val="20"/>
              </w:rPr>
              <w:t>,</w:t>
            </w:r>
            <w:r w:rsidR="00CA25C3" w:rsidRPr="00546A25">
              <w:rPr>
                <w:sz w:val="20"/>
              </w:rPr>
              <w:t xml:space="preserve"> the colour flowers an insect most </w:t>
            </w:r>
            <w:r w:rsidR="00390DB9" w:rsidRPr="00546A25">
              <w:rPr>
                <w:sz w:val="20"/>
              </w:rPr>
              <w:t>often visits</w:t>
            </w:r>
          </w:p>
          <w:p w:rsidR="00F70359" w:rsidRPr="00546A25" w:rsidRDefault="00F70359" w:rsidP="00634B08">
            <w:pPr>
              <w:pStyle w:val="ListBullet"/>
              <w:spacing w:after="0"/>
              <w:cnfStyle w:val="000000100000" w:firstRow="0" w:lastRow="0" w:firstColumn="0" w:lastColumn="0" w:oddVBand="0" w:evenVBand="0" w:oddHBand="1" w:evenHBand="0" w:firstRowFirstColumn="0" w:firstRowLastColumn="0" w:lastRowFirstColumn="0" w:lastRowLastColumn="0"/>
              <w:rPr>
                <w:sz w:val="20"/>
              </w:rPr>
            </w:pPr>
            <w:r w:rsidRPr="00546A25">
              <w:rPr>
                <w:sz w:val="20"/>
              </w:rPr>
              <w:t xml:space="preserve">observing organisms to </w:t>
            </w:r>
            <w:r w:rsidR="004C5CDF" w:rsidRPr="00546A25">
              <w:rPr>
                <w:sz w:val="20"/>
              </w:rPr>
              <w:t>learn about structural features</w:t>
            </w:r>
            <w:r w:rsidR="009147E1" w:rsidRPr="00546A25">
              <w:rPr>
                <w:sz w:val="20"/>
              </w:rPr>
              <w:t xml:space="preserve"> (that may </w:t>
            </w:r>
            <w:r w:rsidR="00390DB9" w:rsidRPr="00546A25">
              <w:rPr>
                <w:sz w:val="20"/>
              </w:rPr>
              <w:t>lead to</w:t>
            </w:r>
            <w:r w:rsidR="009147E1" w:rsidRPr="00546A25">
              <w:rPr>
                <w:sz w:val="20"/>
              </w:rPr>
              <w:t xml:space="preserve"> classification)</w:t>
            </w:r>
          </w:p>
          <w:p w:rsidR="00390DB9" w:rsidRPr="00546A25" w:rsidRDefault="00390DB9" w:rsidP="00634B08">
            <w:pPr>
              <w:pStyle w:val="ListBullet"/>
              <w:spacing w:after="0"/>
              <w:cnfStyle w:val="000000100000" w:firstRow="0" w:lastRow="0" w:firstColumn="0" w:lastColumn="0" w:oddVBand="0" w:evenVBand="0" w:oddHBand="1" w:evenHBand="0" w:firstRowFirstColumn="0" w:firstRowLastColumn="0" w:lastRowFirstColumn="0" w:lastRowLastColumn="0"/>
              <w:rPr>
                <w:sz w:val="20"/>
              </w:rPr>
            </w:pPr>
            <w:r w:rsidRPr="00546A25">
              <w:rPr>
                <w:sz w:val="20"/>
              </w:rPr>
              <w:t>observing organisms to observe developmental stages over time</w:t>
            </w:r>
          </w:p>
        </w:tc>
      </w:tr>
      <w:tr w:rsidR="004B29CE" w:rsidRPr="00546A25" w:rsidTr="00546A25">
        <w:trPr>
          <w:trHeight w:val="620"/>
        </w:trPr>
        <w:tc>
          <w:tcPr>
            <w:cnfStyle w:val="000010000000" w:firstRow="0" w:lastRow="0" w:firstColumn="0" w:lastColumn="0" w:oddVBand="1" w:evenVBand="0" w:oddHBand="0" w:evenHBand="0" w:firstRowFirstColumn="0" w:firstRowLastColumn="0" w:lastRowFirstColumn="0" w:lastRowLastColumn="0"/>
            <w:tcW w:w="2500" w:type="pct"/>
          </w:tcPr>
          <w:p w:rsidR="00F70359" w:rsidRPr="00546A25" w:rsidRDefault="00F70359" w:rsidP="00634B08">
            <w:pPr>
              <w:pStyle w:val="BodyText"/>
              <w:spacing w:after="0"/>
              <w:rPr>
                <w:b/>
                <w:sz w:val="20"/>
              </w:rPr>
            </w:pPr>
            <w:r w:rsidRPr="00546A25">
              <w:rPr>
                <w:b/>
                <w:sz w:val="20"/>
              </w:rPr>
              <w:t xml:space="preserve">Comparative Investigations </w:t>
            </w:r>
          </w:p>
          <w:p w:rsidR="004B29CE" w:rsidRPr="00546A25" w:rsidRDefault="004B29CE" w:rsidP="00634B08">
            <w:pPr>
              <w:pStyle w:val="BodyText"/>
              <w:spacing w:after="60"/>
              <w:rPr>
                <w:sz w:val="20"/>
              </w:rPr>
            </w:pPr>
            <w:r w:rsidRPr="00546A25">
              <w:rPr>
                <w:sz w:val="20"/>
              </w:rPr>
              <w:t xml:space="preserve">This type of investigation can involve comparing two (or more) substances </w:t>
            </w:r>
            <w:r w:rsidR="0065514D" w:rsidRPr="00546A25">
              <w:rPr>
                <w:sz w:val="20"/>
              </w:rPr>
              <w:t xml:space="preserve">(or locations) </w:t>
            </w:r>
            <w:r w:rsidRPr="00546A25">
              <w:rPr>
                <w:sz w:val="20"/>
              </w:rPr>
              <w:t>to identify similarities and differences</w:t>
            </w:r>
            <w:r w:rsidR="0065514D" w:rsidRPr="00546A25">
              <w:rPr>
                <w:sz w:val="20"/>
              </w:rPr>
              <w:t>.</w:t>
            </w:r>
          </w:p>
          <w:p w:rsidR="004B29CE" w:rsidRPr="00546A25" w:rsidRDefault="004B29CE" w:rsidP="00634B08">
            <w:pPr>
              <w:pStyle w:val="BodyText"/>
              <w:spacing w:after="0"/>
              <w:rPr>
                <w:sz w:val="20"/>
              </w:rPr>
            </w:pPr>
            <w:r w:rsidRPr="00546A25">
              <w:rPr>
                <w:sz w:val="20"/>
              </w:rPr>
              <w:t>Comparative investigations may involve a hypothesis and manipulation and control of variables.</w:t>
            </w:r>
          </w:p>
        </w:tc>
        <w:tc>
          <w:tcPr>
            <w:tcW w:w="2500" w:type="pct"/>
          </w:tcPr>
          <w:p w:rsidR="004B29CE" w:rsidRPr="00546A25" w:rsidRDefault="004B29CE" w:rsidP="00634B08">
            <w:pPr>
              <w:pStyle w:val="ListBullet"/>
              <w:spacing w:after="0"/>
              <w:cnfStyle w:val="000000000000" w:firstRow="0" w:lastRow="0" w:firstColumn="0" w:lastColumn="0" w:oddVBand="0" w:evenVBand="0" w:oddHBand="0" w:evenHBand="0" w:firstRowFirstColumn="0" w:firstRowLastColumn="0" w:lastRowFirstColumn="0" w:lastRowLastColumn="0"/>
              <w:rPr>
                <w:sz w:val="20"/>
              </w:rPr>
            </w:pPr>
            <w:r w:rsidRPr="00546A25">
              <w:rPr>
                <w:sz w:val="20"/>
              </w:rPr>
              <w:t>comparing melting points or boiling points of d</w:t>
            </w:r>
            <w:r w:rsidR="004C5CDF" w:rsidRPr="00546A25">
              <w:rPr>
                <w:sz w:val="20"/>
              </w:rPr>
              <w:t>ifferent classes of substances</w:t>
            </w:r>
          </w:p>
          <w:p w:rsidR="004B29CE" w:rsidRPr="00546A25" w:rsidRDefault="004B29CE" w:rsidP="00634B08">
            <w:pPr>
              <w:pStyle w:val="ListBullet"/>
              <w:spacing w:after="0"/>
              <w:cnfStyle w:val="000000000000" w:firstRow="0" w:lastRow="0" w:firstColumn="0" w:lastColumn="0" w:oddVBand="0" w:evenVBand="0" w:oddHBand="0" w:evenHBand="0" w:firstRowFirstColumn="0" w:firstRowLastColumn="0" w:lastRowFirstColumn="0" w:lastRowLastColumn="0"/>
              <w:rPr>
                <w:sz w:val="20"/>
              </w:rPr>
            </w:pPr>
            <w:r w:rsidRPr="00546A25">
              <w:rPr>
                <w:sz w:val="20"/>
              </w:rPr>
              <w:t>comparing emfs for different combinations of subst</w:t>
            </w:r>
            <w:r w:rsidR="004C5CDF" w:rsidRPr="00546A25">
              <w:rPr>
                <w:sz w:val="20"/>
              </w:rPr>
              <w:t>ances in electrochemical cells</w:t>
            </w:r>
          </w:p>
          <w:p w:rsidR="008279B2" w:rsidRPr="00546A25" w:rsidRDefault="004B29CE" w:rsidP="00634B08">
            <w:pPr>
              <w:pStyle w:val="ListBullet"/>
              <w:spacing w:after="0"/>
              <w:cnfStyle w:val="000000000000" w:firstRow="0" w:lastRow="0" w:firstColumn="0" w:lastColumn="0" w:oddVBand="0" w:evenVBand="0" w:oddHBand="0" w:evenHBand="0" w:firstRowFirstColumn="0" w:firstRowLastColumn="0" w:lastRowFirstColumn="0" w:lastRowLastColumn="0"/>
              <w:rPr>
                <w:sz w:val="20"/>
              </w:rPr>
            </w:pPr>
            <w:r w:rsidRPr="00546A25">
              <w:rPr>
                <w:sz w:val="20"/>
              </w:rPr>
              <w:t>comparing elastic strength of polymers under tension</w:t>
            </w:r>
          </w:p>
          <w:p w:rsidR="004B29CE" w:rsidRPr="00546A25" w:rsidRDefault="004B29CE" w:rsidP="00634B08">
            <w:pPr>
              <w:pStyle w:val="ListBullet"/>
              <w:spacing w:after="0"/>
              <w:cnfStyle w:val="000000000000" w:firstRow="0" w:lastRow="0" w:firstColumn="0" w:lastColumn="0" w:oddVBand="0" w:evenVBand="0" w:oddHBand="0" w:evenHBand="0" w:firstRowFirstColumn="0" w:firstRowLastColumn="0" w:lastRowFirstColumn="0" w:lastRowLastColumn="0"/>
              <w:rPr>
                <w:sz w:val="20"/>
              </w:rPr>
            </w:pPr>
            <w:r w:rsidRPr="00546A25">
              <w:rPr>
                <w:sz w:val="20"/>
              </w:rPr>
              <w:t>comparing different fert</w:t>
            </w:r>
            <w:r w:rsidR="004C5CDF" w:rsidRPr="00546A25">
              <w:rPr>
                <w:sz w:val="20"/>
              </w:rPr>
              <w:t>iliser regimes on plant growth</w:t>
            </w:r>
          </w:p>
          <w:p w:rsidR="004B29CE" w:rsidRPr="00546A25" w:rsidRDefault="004B29CE" w:rsidP="00634B08">
            <w:pPr>
              <w:pStyle w:val="ListBullet"/>
              <w:spacing w:after="0"/>
              <w:cnfStyle w:val="000000000000" w:firstRow="0" w:lastRow="0" w:firstColumn="0" w:lastColumn="0" w:oddVBand="0" w:evenVBand="0" w:oddHBand="0" w:evenHBand="0" w:firstRowFirstColumn="0" w:firstRowLastColumn="0" w:lastRowFirstColumn="0" w:lastRowLastColumn="0"/>
              <w:rPr>
                <w:sz w:val="20"/>
              </w:rPr>
            </w:pPr>
            <w:r w:rsidRPr="00546A25">
              <w:rPr>
                <w:sz w:val="20"/>
              </w:rPr>
              <w:t>collecting data from field work under different conditions (e.g. times of year, temperatures, locations) to make comparisons of specie</w:t>
            </w:r>
            <w:r w:rsidR="004C5CDF" w:rsidRPr="00546A25">
              <w:rPr>
                <w:sz w:val="20"/>
              </w:rPr>
              <w:t>s present and their populations</w:t>
            </w:r>
          </w:p>
        </w:tc>
      </w:tr>
      <w:tr w:rsidR="004B29CE" w:rsidRPr="00546A25" w:rsidTr="00546A25">
        <w:trPr>
          <w:cnfStyle w:val="000000100000" w:firstRow="0" w:lastRow="0" w:firstColumn="0" w:lastColumn="0" w:oddVBand="0" w:evenVBand="0" w:oddHBand="1" w:evenHBand="0" w:firstRowFirstColumn="0" w:firstRowLastColumn="0" w:lastRowFirstColumn="0" w:lastRowLastColumn="0"/>
          <w:trHeight w:val="709"/>
        </w:trPr>
        <w:tc>
          <w:tcPr>
            <w:cnfStyle w:val="000010000000" w:firstRow="0" w:lastRow="0" w:firstColumn="0" w:lastColumn="0" w:oddVBand="1" w:evenVBand="0" w:oddHBand="0" w:evenHBand="0" w:firstRowFirstColumn="0" w:firstRowLastColumn="0" w:lastRowFirstColumn="0" w:lastRowLastColumn="0"/>
            <w:tcW w:w="2500" w:type="pct"/>
          </w:tcPr>
          <w:p w:rsidR="00F70359" w:rsidRPr="00546A25" w:rsidRDefault="00F70359" w:rsidP="00634B08">
            <w:pPr>
              <w:pStyle w:val="BodyText"/>
              <w:spacing w:after="0"/>
              <w:rPr>
                <w:b/>
                <w:sz w:val="20"/>
              </w:rPr>
            </w:pPr>
            <w:r w:rsidRPr="00546A25">
              <w:rPr>
                <w:b/>
                <w:sz w:val="20"/>
              </w:rPr>
              <w:t xml:space="preserve">Analytical Investigations </w:t>
            </w:r>
          </w:p>
          <w:p w:rsidR="00911597" w:rsidRPr="00546A25" w:rsidRDefault="00911597" w:rsidP="00634B08">
            <w:pPr>
              <w:pStyle w:val="BodyText"/>
              <w:spacing w:after="0"/>
              <w:rPr>
                <w:sz w:val="20"/>
              </w:rPr>
            </w:pPr>
            <w:r w:rsidRPr="00546A25">
              <w:rPr>
                <w:sz w:val="20"/>
              </w:rPr>
              <w:t xml:space="preserve">Analytical investigations may be </w:t>
            </w:r>
          </w:p>
          <w:p w:rsidR="00911597" w:rsidRPr="00546A25" w:rsidRDefault="00911597" w:rsidP="00634B08">
            <w:pPr>
              <w:pStyle w:val="ListBullet"/>
              <w:spacing w:after="0"/>
              <w:rPr>
                <w:sz w:val="20"/>
              </w:rPr>
            </w:pPr>
            <w:r w:rsidRPr="00546A25">
              <w:rPr>
                <w:sz w:val="20"/>
              </w:rPr>
              <w:t>qualitative – identifying whether a substance is present in a sample, identifying whether a class of c</w:t>
            </w:r>
            <w:r w:rsidR="0065514D" w:rsidRPr="00546A25">
              <w:rPr>
                <w:sz w:val="20"/>
              </w:rPr>
              <w:t>ompound is present in a sample</w:t>
            </w:r>
          </w:p>
          <w:p w:rsidR="00911597" w:rsidRPr="00546A25" w:rsidRDefault="00911597" w:rsidP="00634B08">
            <w:pPr>
              <w:pStyle w:val="ListBullet"/>
              <w:spacing w:after="0"/>
              <w:rPr>
                <w:sz w:val="20"/>
              </w:rPr>
            </w:pPr>
            <w:r w:rsidRPr="00546A25">
              <w:rPr>
                <w:sz w:val="20"/>
              </w:rPr>
              <w:t>quantitative – determining the amount of a sub</w:t>
            </w:r>
            <w:r w:rsidR="006D1297" w:rsidRPr="00546A25">
              <w:rPr>
                <w:sz w:val="20"/>
              </w:rPr>
              <w:t>stance present in a sample</w:t>
            </w:r>
          </w:p>
          <w:p w:rsidR="00911597" w:rsidRPr="00546A25" w:rsidRDefault="00911597" w:rsidP="00634B08">
            <w:pPr>
              <w:pStyle w:val="ListBullet"/>
              <w:spacing w:after="60"/>
              <w:rPr>
                <w:sz w:val="20"/>
              </w:rPr>
            </w:pPr>
            <w:r w:rsidRPr="00546A25">
              <w:rPr>
                <w:sz w:val="20"/>
              </w:rPr>
              <w:t>qualitative and quantitative – identifying whether a substance is present in a sample and</w:t>
            </w:r>
            <w:r w:rsidR="005D393C">
              <w:rPr>
                <w:sz w:val="20"/>
              </w:rPr>
              <w:t>,</w:t>
            </w:r>
            <w:r w:rsidRPr="00546A25">
              <w:rPr>
                <w:sz w:val="20"/>
              </w:rPr>
              <w:t xml:space="preserve"> if present, how much is in the sample.</w:t>
            </w:r>
          </w:p>
          <w:p w:rsidR="004B29CE" w:rsidRPr="00546A25" w:rsidRDefault="00911597" w:rsidP="00634B08">
            <w:pPr>
              <w:pStyle w:val="BodyText"/>
              <w:spacing w:after="0"/>
              <w:rPr>
                <w:sz w:val="20"/>
              </w:rPr>
            </w:pPr>
            <w:r w:rsidRPr="00546A25">
              <w:rPr>
                <w:sz w:val="20"/>
              </w:rPr>
              <w:t xml:space="preserve">This type of science inquiry investigation may not involve a hypothesis. </w:t>
            </w:r>
          </w:p>
        </w:tc>
        <w:tc>
          <w:tcPr>
            <w:tcW w:w="2500" w:type="pct"/>
          </w:tcPr>
          <w:p w:rsidR="004B29CE" w:rsidRPr="00546A25" w:rsidRDefault="004B29CE" w:rsidP="00634B08">
            <w:pPr>
              <w:pStyle w:val="ListBullet"/>
              <w:spacing w:after="0"/>
              <w:cnfStyle w:val="000000100000" w:firstRow="0" w:lastRow="0" w:firstColumn="0" w:lastColumn="0" w:oddVBand="0" w:evenVBand="0" w:oddHBand="1" w:evenHBand="0" w:firstRowFirstColumn="0" w:firstRowLastColumn="0" w:lastRowFirstColumn="0" w:lastRowLastColumn="0"/>
              <w:rPr>
                <w:sz w:val="20"/>
              </w:rPr>
            </w:pPr>
            <w:r w:rsidRPr="00546A25">
              <w:rPr>
                <w:sz w:val="20"/>
              </w:rPr>
              <w:t>qualitative – identifying ions present in solution</w:t>
            </w:r>
            <w:r w:rsidR="00911597" w:rsidRPr="00546A25">
              <w:rPr>
                <w:sz w:val="20"/>
              </w:rPr>
              <w:t xml:space="preserve">; </w:t>
            </w:r>
            <w:r w:rsidR="004C5CDF" w:rsidRPr="00546A25">
              <w:rPr>
                <w:sz w:val="20"/>
              </w:rPr>
              <w:t xml:space="preserve">identifying </w:t>
            </w:r>
            <w:r w:rsidR="00911597" w:rsidRPr="00546A25">
              <w:rPr>
                <w:sz w:val="20"/>
              </w:rPr>
              <w:t>the presence of functional groups in an organic compound</w:t>
            </w:r>
          </w:p>
          <w:p w:rsidR="004B29CE" w:rsidRPr="00546A25" w:rsidRDefault="004B29CE" w:rsidP="00634B08">
            <w:pPr>
              <w:pStyle w:val="ListBullet"/>
              <w:spacing w:after="0"/>
              <w:cnfStyle w:val="000000100000" w:firstRow="0" w:lastRow="0" w:firstColumn="0" w:lastColumn="0" w:oddVBand="0" w:evenVBand="0" w:oddHBand="1" w:evenHBand="0" w:firstRowFirstColumn="0" w:firstRowLastColumn="0" w:lastRowFirstColumn="0" w:lastRowLastColumn="0"/>
              <w:rPr>
                <w:sz w:val="20"/>
              </w:rPr>
            </w:pPr>
            <w:r w:rsidRPr="00546A25">
              <w:rPr>
                <w:sz w:val="20"/>
              </w:rPr>
              <w:t>quantitative –</w:t>
            </w:r>
            <w:r w:rsidR="00911597" w:rsidRPr="00546A25">
              <w:rPr>
                <w:sz w:val="20"/>
              </w:rPr>
              <w:t xml:space="preserve"> </w:t>
            </w:r>
            <w:r w:rsidRPr="00546A25">
              <w:rPr>
                <w:sz w:val="20"/>
              </w:rPr>
              <w:t xml:space="preserve">titrations </w:t>
            </w:r>
          </w:p>
        </w:tc>
      </w:tr>
      <w:tr w:rsidR="004B29CE" w:rsidRPr="00546A25" w:rsidTr="00546A25">
        <w:trPr>
          <w:trHeight w:val="440"/>
        </w:trPr>
        <w:tc>
          <w:tcPr>
            <w:cnfStyle w:val="000010000000" w:firstRow="0" w:lastRow="0" w:firstColumn="0" w:lastColumn="0" w:oddVBand="1" w:evenVBand="0" w:oddHBand="0" w:evenHBand="0" w:firstRowFirstColumn="0" w:firstRowLastColumn="0" w:lastRowFirstColumn="0" w:lastRowLastColumn="0"/>
            <w:tcW w:w="2500" w:type="pct"/>
          </w:tcPr>
          <w:p w:rsidR="00F70359" w:rsidRPr="00546A25" w:rsidRDefault="00F70359" w:rsidP="00634B08">
            <w:pPr>
              <w:pStyle w:val="BodyText"/>
              <w:spacing w:after="0"/>
              <w:rPr>
                <w:b/>
                <w:sz w:val="20"/>
              </w:rPr>
            </w:pPr>
            <w:r w:rsidRPr="00546A25">
              <w:rPr>
                <w:b/>
                <w:sz w:val="20"/>
              </w:rPr>
              <w:t xml:space="preserve">Fair test Investigations </w:t>
            </w:r>
          </w:p>
          <w:p w:rsidR="004B29CE" w:rsidRPr="00546A25" w:rsidRDefault="005D393C" w:rsidP="00634B08">
            <w:pPr>
              <w:pStyle w:val="BodyText"/>
              <w:spacing w:after="0"/>
              <w:rPr>
                <w:sz w:val="20"/>
              </w:rPr>
            </w:pPr>
            <w:r>
              <w:rPr>
                <w:sz w:val="20"/>
              </w:rPr>
              <w:t>Fair test</w:t>
            </w:r>
            <w:r w:rsidR="004B29CE" w:rsidRPr="00546A25">
              <w:rPr>
                <w:sz w:val="20"/>
              </w:rPr>
              <w:t xml:space="preserve"> investigations can involve hypothesis writing, independent and dependent variables and control of variables. Investigations can be structured in a way where the outcome is not predetermined (at least from a student perspective). Investigations of this nature could involve gathering data for the purposes of identifying a causal relationship between independent and dependent variables</w:t>
            </w:r>
            <w:r w:rsidR="00F70359" w:rsidRPr="00546A25">
              <w:rPr>
                <w:sz w:val="20"/>
              </w:rPr>
              <w:t>.</w:t>
            </w:r>
          </w:p>
        </w:tc>
        <w:tc>
          <w:tcPr>
            <w:tcW w:w="2500" w:type="pct"/>
          </w:tcPr>
          <w:p w:rsidR="004B29CE" w:rsidRPr="00546A25" w:rsidRDefault="004B29CE" w:rsidP="00634B08">
            <w:pPr>
              <w:pStyle w:val="ListBullet"/>
              <w:spacing w:after="0"/>
              <w:cnfStyle w:val="000000000000" w:firstRow="0" w:lastRow="0" w:firstColumn="0" w:lastColumn="0" w:oddVBand="0" w:evenVBand="0" w:oddHBand="0" w:evenHBand="0" w:firstRowFirstColumn="0" w:firstRowLastColumn="0" w:lastRowFirstColumn="0" w:lastRowLastColumn="0"/>
              <w:rPr>
                <w:sz w:val="20"/>
              </w:rPr>
            </w:pPr>
            <w:r w:rsidRPr="00546A25">
              <w:rPr>
                <w:sz w:val="20"/>
              </w:rPr>
              <w:t>the relationship between concentration and rates of reactions</w:t>
            </w:r>
          </w:p>
          <w:p w:rsidR="004C5CDF" w:rsidRPr="00546A25" w:rsidRDefault="004C5CDF" w:rsidP="00634B08">
            <w:pPr>
              <w:pStyle w:val="ListBullet"/>
              <w:spacing w:after="0"/>
              <w:cnfStyle w:val="000000000000" w:firstRow="0" w:lastRow="0" w:firstColumn="0" w:lastColumn="0" w:oddVBand="0" w:evenVBand="0" w:oddHBand="0" w:evenHBand="0" w:firstRowFirstColumn="0" w:firstRowLastColumn="0" w:lastRowFirstColumn="0" w:lastRowLastColumn="0"/>
              <w:rPr>
                <w:sz w:val="20"/>
              </w:rPr>
            </w:pPr>
            <w:r w:rsidRPr="00546A25">
              <w:rPr>
                <w:sz w:val="20"/>
              </w:rPr>
              <w:t xml:space="preserve">the relationship between </w:t>
            </w:r>
            <w:r w:rsidR="004B29CE" w:rsidRPr="00546A25">
              <w:rPr>
                <w:sz w:val="20"/>
              </w:rPr>
              <w:t xml:space="preserve">acceleration </w:t>
            </w:r>
            <w:r w:rsidRPr="00546A25">
              <w:rPr>
                <w:sz w:val="20"/>
              </w:rPr>
              <w:t>down a slope and angle of slope</w:t>
            </w:r>
          </w:p>
          <w:p w:rsidR="004B29CE" w:rsidRPr="00546A25" w:rsidRDefault="004C5CDF" w:rsidP="00634B08">
            <w:pPr>
              <w:pStyle w:val="ListBullet"/>
              <w:spacing w:after="0"/>
              <w:cnfStyle w:val="000000000000" w:firstRow="0" w:lastRow="0" w:firstColumn="0" w:lastColumn="0" w:oddVBand="0" w:evenVBand="0" w:oddHBand="0" w:evenHBand="0" w:firstRowFirstColumn="0" w:firstRowLastColumn="0" w:lastRowFirstColumn="0" w:lastRowLastColumn="0"/>
              <w:rPr>
                <w:sz w:val="20"/>
              </w:rPr>
            </w:pPr>
            <w:r w:rsidRPr="00546A25">
              <w:rPr>
                <w:sz w:val="20"/>
              </w:rPr>
              <w:t xml:space="preserve">the relationship between </w:t>
            </w:r>
            <w:r w:rsidR="004B29CE" w:rsidRPr="00546A25">
              <w:rPr>
                <w:sz w:val="20"/>
              </w:rPr>
              <w:t>plant height (in a given time frame)</w:t>
            </w:r>
            <w:r w:rsidRPr="00546A25">
              <w:rPr>
                <w:sz w:val="20"/>
              </w:rPr>
              <w:t xml:space="preserve"> and </w:t>
            </w:r>
            <w:r w:rsidR="004B29CE" w:rsidRPr="00546A25">
              <w:rPr>
                <w:sz w:val="20"/>
              </w:rPr>
              <w:t>concentration of nitrate in a fertiliser application regime</w:t>
            </w:r>
          </w:p>
          <w:p w:rsidR="004B29CE" w:rsidRPr="00546A25" w:rsidRDefault="004C5CDF" w:rsidP="00634B08">
            <w:pPr>
              <w:pStyle w:val="ListBullet"/>
              <w:spacing w:after="0"/>
              <w:cnfStyle w:val="000000000000" w:firstRow="0" w:lastRow="0" w:firstColumn="0" w:lastColumn="0" w:oddVBand="0" w:evenVBand="0" w:oddHBand="0" w:evenHBand="0" w:firstRowFirstColumn="0" w:firstRowLastColumn="0" w:lastRowFirstColumn="0" w:lastRowLastColumn="0"/>
              <w:rPr>
                <w:sz w:val="20"/>
              </w:rPr>
            </w:pPr>
            <w:r w:rsidRPr="00546A25">
              <w:rPr>
                <w:sz w:val="20"/>
              </w:rPr>
              <w:t xml:space="preserve">the relationship </w:t>
            </w:r>
            <w:r w:rsidR="004B29CE" w:rsidRPr="00546A25">
              <w:rPr>
                <w:sz w:val="20"/>
              </w:rPr>
              <w:t>between heart rate and age</w:t>
            </w:r>
          </w:p>
        </w:tc>
      </w:tr>
    </w:tbl>
    <w:p w:rsidR="0027569E" w:rsidRDefault="0027569E" w:rsidP="00546A25">
      <w:pPr>
        <w:pStyle w:val="BodyText"/>
        <w:spacing w:before="200"/>
      </w:pPr>
      <w:r>
        <w:t xml:space="preserve">Further, approaches to the science </w:t>
      </w:r>
      <w:r w:rsidRPr="003D3C2F">
        <w:t>inquiry</w:t>
      </w:r>
      <w:r>
        <w:t xml:space="preserve"> component may include:</w:t>
      </w:r>
    </w:p>
    <w:p w:rsidR="0027569E" w:rsidRDefault="0027569E" w:rsidP="00546A25">
      <w:pPr>
        <w:pStyle w:val="ListBullet"/>
      </w:pPr>
      <w:r>
        <w:t xml:space="preserve">science </w:t>
      </w:r>
      <w:r w:rsidRPr="003D3C2F">
        <w:t>inquiry</w:t>
      </w:r>
      <w:r>
        <w:t xml:space="preserve"> activities designed to confirm knowledge</w:t>
      </w:r>
      <w:r w:rsidR="005D393C">
        <w:t>,</w:t>
      </w:r>
      <w:r>
        <w:t xml:space="preserve"> i.e. science </w:t>
      </w:r>
      <w:r w:rsidRPr="003D3C2F">
        <w:t>inquiry</w:t>
      </w:r>
      <w:r>
        <w:t xml:space="preserve"> activities conducted after introduction to the theory or factual knowledge relevant to the activity </w:t>
      </w:r>
    </w:p>
    <w:p w:rsidR="0027569E" w:rsidRDefault="0027569E" w:rsidP="005D393C">
      <w:pPr>
        <w:pStyle w:val="ListBullet"/>
      </w:pPr>
      <w:r>
        <w:t xml:space="preserve">science </w:t>
      </w:r>
      <w:r w:rsidRPr="003D3C2F">
        <w:t>inquiry</w:t>
      </w:r>
      <w:r>
        <w:t xml:space="preserve"> activities designed to enable discovery of phenomena</w:t>
      </w:r>
      <w:r w:rsidR="005D393C">
        <w:t>,</w:t>
      </w:r>
      <w:r>
        <w:t xml:space="preserve"> i.e. science </w:t>
      </w:r>
      <w:r w:rsidRPr="003D3C2F">
        <w:t>inquiry</w:t>
      </w:r>
      <w:r>
        <w:t xml:space="preserve"> activities conducted prior to introduction to the theory or factual kno</w:t>
      </w:r>
      <w:r w:rsidR="009D13FF">
        <w:t>wledge relevant to the activity.</w:t>
      </w:r>
    </w:p>
    <w:sectPr w:rsidR="0027569E" w:rsidSect="00836446">
      <w:headerReference w:type="even" r:id="rId12"/>
      <w:headerReference w:type="default" r:id="rId13"/>
      <w:footerReference w:type="even" r:id="rId14"/>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BC7" w:rsidRDefault="004D0BC7" w:rsidP="004D0BC7">
      <w:pPr>
        <w:spacing w:after="0" w:line="240" w:lineRule="auto"/>
      </w:pPr>
      <w:r>
        <w:separator/>
      </w:r>
    </w:p>
  </w:endnote>
  <w:endnote w:type="continuationSeparator" w:id="0">
    <w:p w:rsidR="004D0BC7" w:rsidRDefault="004D0BC7" w:rsidP="004D0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F6" w:rsidRPr="00A9748D" w:rsidRDefault="001F2398" w:rsidP="00E97698">
    <w:pPr>
      <w:pBdr>
        <w:top w:val="single" w:sz="4" w:space="4" w:color="5C815C"/>
      </w:pBdr>
      <w:spacing w:after="0" w:line="240" w:lineRule="auto"/>
      <w:rPr>
        <w:rFonts w:ascii="Franklin Gothic Book" w:eastAsia="Times New Roman" w:hAnsi="Franklin Gothic Book" w:cs="Times New Roman"/>
        <w:color w:val="342568"/>
        <w:sz w:val="18"/>
        <w:szCs w:val="16"/>
      </w:rPr>
    </w:pPr>
    <w:r>
      <w:rPr>
        <w:rFonts w:ascii="Franklin Gothic Book" w:eastAsia="Times New Roman" w:hAnsi="Franklin Gothic Book" w:cs="Times New Roman"/>
        <w:noProof/>
        <w:color w:val="342568"/>
        <w:sz w:val="18"/>
        <w:szCs w:val="16"/>
      </w:rPr>
      <w:t>2020</w:t>
    </w:r>
    <w:r w:rsidR="003E43F6" w:rsidRPr="00C26893">
      <w:rPr>
        <w:rFonts w:ascii="Franklin Gothic Book" w:eastAsia="Times New Roman" w:hAnsi="Franklin Gothic Book" w:cs="Times New Roman"/>
        <w:noProof/>
        <w:color w:val="342568"/>
        <w:sz w:val="18"/>
        <w:szCs w:val="16"/>
      </w:rPr>
      <w:t>/</w:t>
    </w:r>
    <w:r>
      <w:rPr>
        <w:rFonts w:ascii="Franklin Gothic Book" w:eastAsia="Times New Roman" w:hAnsi="Franklin Gothic Book" w:cs="Times New Roman"/>
        <w:noProof/>
        <w:color w:val="342568"/>
        <w:sz w:val="18"/>
        <w:szCs w:val="16"/>
      </w:rPr>
      <w:t>46599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F6" w:rsidRPr="00C26893" w:rsidRDefault="00836446" w:rsidP="00E97698">
    <w:pPr>
      <w:pBdr>
        <w:top w:val="single" w:sz="4" w:space="4" w:color="5C815C"/>
      </w:pBdr>
      <w:spacing w:after="0" w:line="240" w:lineRule="auto"/>
      <w:rPr>
        <w:rFonts w:ascii="Franklin Gothic Book" w:eastAsia="Times New Roman" w:hAnsi="Franklin Gothic Book" w:cs="Times New Roman"/>
        <w:color w:val="342568"/>
        <w:sz w:val="18"/>
        <w:szCs w:val="16"/>
      </w:rPr>
    </w:pPr>
    <w:r>
      <w:rPr>
        <w:rFonts w:ascii="Franklin Gothic Book" w:eastAsia="Times New Roman" w:hAnsi="Franklin Gothic Book" w:cs="Times New Roman"/>
        <w:noProof/>
        <w:color w:val="342568"/>
        <w:sz w:val="18"/>
        <w:szCs w:val="16"/>
      </w:rPr>
      <w:t>2020</w:t>
    </w:r>
    <w:r w:rsidR="003E43F6" w:rsidRPr="00C26893">
      <w:rPr>
        <w:rFonts w:ascii="Franklin Gothic Book" w:eastAsia="Times New Roman" w:hAnsi="Franklin Gothic Book" w:cs="Times New Roman"/>
        <w:noProof/>
        <w:color w:val="342568"/>
        <w:sz w:val="18"/>
        <w:szCs w:val="16"/>
      </w:rPr>
      <w:t>/</w:t>
    </w:r>
    <w:r>
      <w:rPr>
        <w:rFonts w:ascii="Franklin Gothic Book" w:eastAsia="Times New Roman" w:hAnsi="Franklin Gothic Book" w:cs="Times New Roman"/>
        <w:noProof/>
        <w:color w:val="342568"/>
        <w:sz w:val="18"/>
        <w:szCs w:val="16"/>
      </w:rPr>
      <w:t>46599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1E" w:rsidRPr="0099721E" w:rsidRDefault="0099721E" w:rsidP="0099721E">
    <w:pPr>
      <w:pBdr>
        <w:top w:val="single" w:sz="8" w:space="4" w:color="5C815C"/>
      </w:pBdr>
      <w:spacing w:after="0" w:line="240" w:lineRule="auto"/>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Science</w:t>
    </w:r>
    <w:r w:rsidRPr="0099721E">
      <w:rPr>
        <w:rFonts w:ascii="Franklin Gothic Book" w:eastAsia="Times New Roman" w:hAnsi="Franklin Gothic Book" w:cs="Times New Roman"/>
        <w:b/>
        <w:noProof/>
        <w:color w:val="342568"/>
        <w:sz w:val="18"/>
      </w:rPr>
      <w:t xml:space="preserve"> | </w:t>
    </w:r>
    <w:r>
      <w:rPr>
        <w:rFonts w:ascii="Franklin Gothic Book" w:eastAsia="Times New Roman" w:hAnsi="Franklin Gothic Book" w:cs="Times New Roman"/>
        <w:b/>
        <w:noProof/>
        <w:color w:val="342568"/>
        <w:sz w:val="18"/>
      </w:rPr>
      <w:t>Types of science inquiry investigations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BC7" w:rsidRPr="0099721E" w:rsidRDefault="0099721E" w:rsidP="0099721E">
    <w:pPr>
      <w:pBdr>
        <w:top w:val="single" w:sz="8" w:space="4" w:color="5C815C"/>
      </w:pBdr>
      <w:spacing w:after="0" w:line="240" w:lineRule="auto"/>
      <w:jc w:val="right"/>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Science</w:t>
    </w:r>
    <w:r w:rsidRPr="0099721E">
      <w:rPr>
        <w:rFonts w:ascii="Franklin Gothic Book" w:eastAsia="Times New Roman" w:hAnsi="Franklin Gothic Book" w:cs="Times New Roman"/>
        <w:b/>
        <w:noProof/>
        <w:color w:val="342568"/>
        <w:sz w:val="18"/>
      </w:rPr>
      <w:t xml:space="preserve"> | </w:t>
    </w:r>
    <w:r>
      <w:rPr>
        <w:rFonts w:ascii="Franklin Gothic Book" w:eastAsia="Times New Roman" w:hAnsi="Franklin Gothic Book" w:cs="Times New Roman"/>
        <w:b/>
        <w:noProof/>
        <w:color w:val="342568"/>
        <w:sz w:val="18"/>
      </w:rPr>
      <w:t>Types of science inquiry investigations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BC7" w:rsidRDefault="004D0BC7" w:rsidP="004D0BC7">
      <w:pPr>
        <w:spacing w:after="0" w:line="240" w:lineRule="auto"/>
      </w:pPr>
      <w:r>
        <w:separator/>
      </w:r>
    </w:p>
  </w:footnote>
  <w:footnote w:type="continuationSeparator" w:id="0">
    <w:p w:rsidR="004D0BC7" w:rsidRDefault="004D0BC7" w:rsidP="004D0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F6" w:rsidRPr="00375F21" w:rsidRDefault="003E43F6" w:rsidP="00E97698">
    <w:pPr>
      <w:tabs>
        <w:tab w:val="center" w:pos="4513"/>
        <w:tab w:val="right" w:pos="9026"/>
      </w:tabs>
      <w:spacing w:after="0" w:line="240" w:lineRule="auto"/>
      <w:rPr>
        <w:rFonts w:ascii="Calibri" w:eastAsia="Times New Roman" w:hAnsi="Calibri" w:cs="Times New Roman"/>
        <w:color w:val="3D563D"/>
      </w:rPr>
    </w:pPr>
    <w:r w:rsidRPr="00375F21">
      <w:rPr>
        <w:rFonts w:ascii="Arial" w:eastAsia="Times New Roman" w:hAnsi="Arial" w:cs="Arial"/>
        <w:bCs/>
        <w:noProof/>
        <w:color w:val="3D563D"/>
        <w:kern w:val="28"/>
        <w:sz w:val="28"/>
        <w:szCs w:val="32"/>
        <w:lang w:eastAsia="en-AU"/>
      </w:rPr>
      <w:drawing>
        <wp:inline distT="0" distB="0" distL="0" distR="0" wp14:anchorId="653D62A6" wp14:editId="7EFE6F7D">
          <wp:extent cx="3487420" cy="542290"/>
          <wp:effectExtent l="0" t="0" r="0" b="0"/>
          <wp:docPr id="5" name="Picture 5"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p w:rsidR="003E43F6" w:rsidRPr="00375F21" w:rsidRDefault="003E43F6" w:rsidP="00E97698">
    <w:pPr>
      <w:tabs>
        <w:tab w:val="center" w:pos="4513"/>
        <w:tab w:val="right" w:pos="9026"/>
      </w:tabs>
      <w:spacing w:after="0" w:line="240" w:lineRule="auto"/>
      <w:rPr>
        <w:rFonts w:ascii="Calibri" w:eastAsia="Times New Roman" w:hAnsi="Calibri" w:cs="Times New Roman"/>
        <w:color w:val="3D563D"/>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46" w:rsidRPr="00836446" w:rsidRDefault="00836446" w:rsidP="00836446">
    <w:pPr>
      <w:pBdr>
        <w:bottom w:val="single" w:sz="8" w:space="1" w:color="5C815C"/>
      </w:pBdr>
      <w:spacing w:after="0" w:line="240" w:lineRule="auto"/>
      <w:ind w:left="-1418" w:right="9356" w:firstLine="284"/>
      <w:jc w:val="right"/>
      <w:rPr>
        <w:rFonts w:ascii="Franklin Gothic Book" w:eastAsia="Times New Roman" w:hAnsi="Franklin Gothic Book" w:cs="Times New Roman"/>
        <w:b/>
        <w:color w:val="46328C"/>
        <w:sz w:val="32"/>
      </w:rPr>
    </w:pPr>
    <w:r w:rsidRPr="00626159">
      <w:rPr>
        <w:rFonts w:ascii="Franklin Gothic Book" w:eastAsia="Times New Roman" w:hAnsi="Franklin Gothic Book" w:cs="Times New Roman"/>
        <w:b/>
        <w:color w:val="46328C"/>
        <w:sz w:val="32"/>
      </w:rPr>
      <w:fldChar w:fldCharType="begin"/>
    </w:r>
    <w:r w:rsidRPr="00626159">
      <w:rPr>
        <w:rFonts w:ascii="Franklin Gothic Book" w:eastAsia="Times New Roman" w:hAnsi="Franklin Gothic Book" w:cs="Times New Roman"/>
        <w:b/>
        <w:color w:val="46328C"/>
        <w:sz w:val="32"/>
      </w:rPr>
      <w:instrText xml:space="preserve"> PAGE   \* MERGEFORMAT </w:instrText>
    </w:r>
    <w:r w:rsidRPr="00626159">
      <w:rPr>
        <w:rFonts w:ascii="Franklin Gothic Book" w:eastAsia="Times New Roman" w:hAnsi="Franklin Gothic Book" w:cs="Times New Roman"/>
        <w:b/>
        <w:color w:val="46328C"/>
        <w:sz w:val="32"/>
      </w:rPr>
      <w:fldChar w:fldCharType="separate"/>
    </w:r>
    <w:r w:rsidR="009F3A43">
      <w:rPr>
        <w:rFonts w:ascii="Franklin Gothic Book" w:eastAsia="Times New Roman" w:hAnsi="Franklin Gothic Book" w:cs="Times New Roman"/>
        <w:b/>
        <w:noProof/>
        <w:color w:val="46328C"/>
        <w:sz w:val="32"/>
      </w:rPr>
      <w:t>2</w:t>
    </w:r>
    <w:r w:rsidRPr="00626159">
      <w:rPr>
        <w:rFonts w:ascii="Franklin Gothic Book" w:eastAsia="Times New Roman" w:hAnsi="Franklin Gothic Book" w:cs="Times New Roman"/>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46" w:rsidRPr="00836446" w:rsidRDefault="00836446" w:rsidP="00836446">
    <w:pPr>
      <w:pStyle w:val="Header"/>
      <w:pBdr>
        <w:bottom w:val="single" w:sz="8" w:space="1" w:color="5C815C"/>
      </w:pBdr>
      <w:tabs>
        <w:tab w:val="clear" w:pos="4513"/>
        <w:tab w:val="clear" w:pos="9026"/>
      </w:tabs>
      <w:ind w:left="9356" w:right="-1440"/>
      <w:rPr>
        <w:rFonts w:ascii="Franklin Gothic Book" w:eastAsia="Times New Roman" w:hAnsi="Franklin Gothic Book" w:cs="Times New Roman"/>
        <w:b/>
        <w:noProof/>
        <w:color w:val="46328C"/>
        <w:sz w:val="32"/>
      </w:rPr>
    </w:pPr>
    <w:r w:rsidRPr="00BD5C38">
      <w:rPr>
        <w:rFonts w:ascii="Franklin Gothic Book" w:eastAsia="Times New Roman" w:hAnsi="Franklin Gothic Book" w:cs="Times New Roman"/>
        <w:b/>
        <w:noProof/>
        <w:color w:val="46328C"/>
        <w:sz w:val="32"/>
      </w:rPr>
      <w:fldChar w:fldCharType="begin"/>
    </w:r>
    <w:r w:rsidRPr="00BD5C38">
      <w:rPr>
        <w:rFonts w:ascii="Franklin Gothic Book" w:eastAsia="Times New Roman" w:hAnsi="Franklin Gothic Book" w:cs="Times New Roman"/>
        <w:b/>
        <w:noProof/>
        <w:color w:val="46328C"/>
        <w:sz w:val="32"/>
      </w:rPr>
      <w:instrText xml:space="preserve"> PAGE   \* MERGEFORMAT </w:instrText>
    </w:r>
    <w:r w:rsidRPr="00BD5C38">
      <w:rPr>
        <w:rFonts w:ascii="Franklin Gothic Book" w:eastAsia="Times New Roman" w:hAnsi="Franklin Gothic Book" w:cs="Times New Roman"/>
        <w:b/>
        <w:noProof/>
        <w:color w:val="46328C"/>
        <w:sz w:val="32"/>
      </w:rPr>
      <w:fldChar w:fldCharType="separate"/>
    </w:r>
    <w:r w:rsidR="009F3A43">
      <w:rPr>
        <w:rFonts w:ascii="Franklin Gothic Book" w:eastAsia="Times New Roman" w:hAnsi="Franklin Gothic Book" w:cs="Times New Roman"/>
        <w:b/>
        <w:noProof/>
        <w:color w:val="46328C"/>
        <w:sz w:val="32"/>
      </w:rPr>
      <w:t>1</w:t>
    </w:r>
    <w:r w:rsidRPr="00BD5C38">
      <w:rPr>
        <w:rFonts w:ascii="Franklin Gothic Book" w:eastAsia="Times New Roman" w:hAnsi="Franklin Gothic Book" w:cs="Times New Roman"/>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8663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2010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BAE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A286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FADE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FAB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147A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74AF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C61A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C46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D03C0"/>
    <w:multiLevelType w:val="hybridMultilevel"/>
    <w:tmpl w:val="F38AB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1512E52"/>
    <w:multiLevelType w:val="hybridMultilevel"/>
    <w:tmpl w:val="BC1CF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EA50F2"/>
    <w:multiLevelType w:val="hybridMultilevel"/>
    <w:tmpl w:val="39FCE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9B0C8A"/>
    <w:multiLevelType w:val="hybridMultilevel"/>
    <w:tmpl w:val="885CB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040CAE"/>
    <w:multiLevelType w:val="hybridMultilevel"/>
    <w:tmpl w:val="3EC68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E37FC7"/>
    <w:multiLevelType w:val="hybridMultilevel"/>
    <w:tmpl w:val="ABC058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1214462"/>
    <w:multiLevelType w:val="hybridMultilevel"/>
    <w:tmpl w:val="5C06A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F30179"/>
    <w:multiLevelType w:val="hybridMultilevel"/>
    <w:tmpl w:val="7A5EDF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5F1645"/>
    <w:multiLevelType w:val="hybridMultilevel"/>
    <w:tmpl w:val="2ED4D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14124C"/>
    <w:multiLevelType w:val="hybridMultilevel"/>
    <w:tmpl w:val="25488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7F12B3"/>
    <w:multiLevelType w:val="hybridMultilevel"/>
    <w:tmpl w:val="07268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B46947"/>
    <w:multiLevelType w:val="hybridMultilevel"/>
    <w:tmpl w:val="18C83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4FC0E7C"/>
    <w:multiLevelType w:val="hybridMultilevel"/>
    <w:tmpl w:val="B37A05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43C2361"/>
    <w:multiLevelType w:val="hybridMultilevel"/>
    <w:tmpl w:val="0D9C9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14"/>
  </w:num>
  <w:num w:numId="4">
    <w:abstractNumId w:val="17"/>
  </w:num>
  <w:num w:numId="5">
    <w:abstractNumId w:val="12"/>
  </w:num>
  <w:num w:numId="6">
    <w:abstractNumId w:val="20"/>
  </w:num>
  <w:num w:numId="7">
    <w:abstractNumId w:val="11"/>
  </w:num>
  <w:num w:numId="8">
    <w:abstractNumId w:val="22"/>
  </w:num>
  <w:num w:numId="9">
    <w:abstractNumId w:val="19"/>
  </w:num>
  <w:num w:numId="10">
    <w:abstractNumId w:val="21"/>
  </w:num>
  <w:num w:numId="11">
    <w:abstractNumId w:val="15"/>
  </w:num>
  <w:num w:numId="12">
    <w:abstractNumId w:val="16"/>
  </w:num>
  <w:num w:numId="13">
    <w:abstractNumId w:val="23"/>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D5"/>
    <w:rsid w:val="0005730B"/>
    <w:rsid w:val="00067697"/>
    <w:rsid w:val="000924E1"/>
    <w:rsid w:val="001162D5"/>
    <w:rsid w:val="00130DC1"/>
    <w:rsid w:val="001A027C"/>
    <w:rsid w:val="001B6454"/>
    <w:rsid w:val="001F2398"/>
    <w:rsid w:val="00225C70"/>
    <w:rsid w:val="002316F1"/>
    <w:rsid w:val="0026539B"/>
    <w:rsid w:val="0027569E"/>
    <w:rsid w:val="00294AFE"/>
    <w:rsid w:val="0029633E"/>
    <w:rsid w:val="00306EB2"/>
    <w:rsid w:val="00370978"/>
    <w:rsid w:val="00381A64"/>
    <w:rsid w:val="00390DB9"/>
    <w:rsid w:val="003D3C2F"/>
    <w:rsid w:val="003E43F6"/>
    <w:rsid w:val="00424150"/>
    <w:rsid w:val="00470236"/>
    <w:rsid w:val="00480F28"/>
    <w:rsid w:val="004816FC"/>
    <w:rsid w:val="00493E4F"/>
    <w:rsid w:val="004B29CE"/>
    <w:rsid w:val="004C5CDF"/>
    <w:rsid w:val="004C67C7"/>
    <w:rsid w:val="004D0BC7"/>
    <w:rsid w:val="004E2076"/>
    <w:rsid w:val="005452F3"/>
    <w:rsid w:val="00546A25"/>
    <w:rsid w:val="00546A50"/>
    <w:rsid w:val="00577A14"/>
    <w:rsid w:val="00594E88"/>
    <w:rsid w:val="005D393C"/>
    <w:rsid w:val="005D479B"/>
    <w:rsid w:val="00634B08"/>
    <w:rsid w:val="00635423"/>
    <w:rsid w:val="0065514D"/>
    <w:rsid w:val="00677528"/>
    <w:rsid w:val="00682D5B"/>
    <w:rsid w:val="0068715B"/>
    <w:rsid w:val="006A173A"/>
    <w:rsid w:val="006C2784"/>
    <w:rsid w:val="006D1297"/>
    <w:rsid w:val="006E381F"/>
    <w:rsid w:val="006F1222"/>
    <w:rsid w:val="00754BFE"/>
    <w:rsid w:val="00780E16"/>
    <w:rsid w:val="007A7CD4"/>
    <w:rsid w:val="007E7329"/>
    <w:rsid w:val="008266FD"/>
    <w:rsid w:val="008279B2"/>
    <w:rsid w:val="00836446"/>
    <w:rsid w:val="00871AB8"/>
    <w:rsid w:val="008E2B74"/>
    <w:rsid w:val="008E4F9D"/>
    <w:rsid w:val="00911597"/>
    <w:rsid w:val="009147E1"/>
    <w:rsid w:val="009256B5"/>
    <w:rsid w:val="0092770F"/>
    <w:rsid w:val="009479A8"/>
    <w:rsid w:val="00982912"/>
    <w:rsid w:val="00992393"/>
    <w:rsid w:val="0099442C"/>
    <w:rsid w:val="0099721E"/>
    <w:rsid w:val="009D13FF"/>
    <w:rsid w:val="009F144C"/>
    <w:rsid w:val="009F3A43"/>
    <w:rsid w:val="00A112EB"/>
    <w:rsid w:val="00A507D0"/>
    <w:rsid w:val="00AB1A95"/>
    <w:rsid w:val="00AB2AF0"/>
    <w:rsid w:val="00B040CA"/>
    <w:rsid w:val="00B33F2E"/>
    <w:rsid w:val="00BA22B6"/>
    <w:rsid w:val="00BC658C"/>
    <w:rsid w:val="00BD2E23"/>
    <w:rsid w:val="00BD677D"/>
    <w:rsid w:val="00C2768A"/>
    <w:rsid w:val="00C40565"/>
    <w:rsid w:val="00C41CA4"/>
    <w:rsid w:val="00C45CB0"/>
    <w:rsid w:val="00C57F18"/>
    <w:rsid w:val="00C61253"/>
    <w:rsid w:val="00CA25C3"/>
    <w:rsid w:val="00D3030E"/>
    <w:rsid w:val="00D57363"/>
    <w:rsid w:val="00E40A09"/>
    <w:rsid w:val="00E462B9"/>
    <w:rsid w:val="00E6267A"/>
    <w:rsid w:val="00E85594"/>
    <w:rsid w:val="00F3699E"/>
    <w:rsid w:val="00F64FC2"/>
    <w:rsid w:val="00F70359"/>
    <w:rsid w:val="00FB2BB1"/>
    <w:rsid w:val="00FD72E9"/>
    <w:rsid w:val="00FF5966"/>
    <w:rsid w:val="00FF7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B478CC"/>
  <w15:chartTrackingRefBased/>
  <w15:docId w15:val="{137F2A44-CEBB-4EC8-BF91-506A89EB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21E"/>
  </w:style>
  <w:style w:type="paragraph" w:styleId="Heading1">
    <w:name w:val="heading 1"/>
    <w:basedOn w:val="Normal"/>
    <w:next w:val="Normal"/>
    <w:link w:val="Heading1Char"/>
    <w:uiPriority w:val="9"/>
    <w:qFormat/>
    <w:rsid w:val="00546A25"/>
    <w:pPr>
      <w:keepNext/>
      <w:keepLines/>
      <w:spacing w:before="200" w:after="200" w:line="276" w:lineRule="auto"/>
      <w:outlineLvl w:val="0"/>
    </w:pPr>
    <w:rPr>
      <w:rFonts w:asciiTheme="majorHAnsi" w:eastAsiaTheme="majorEastAsia" w:hAnsiTheme="majorHAnsi" w:cstheme="majorBidi"/>
      <w:b/>
      <w:color w:val="5D3972" w:themeColor="accent2"/>
      <w:sz w:val="28"/>
      <w:szCs w:val="32"/>
    </w:rPr>
  </w:style>
  <w:style w:type="paragraph" w:styleId="Heading2">
    <w:name w:val="heading 2"/>
    <w:basedOn w:val="Normal"/>
    <w:next w:val="Normal"/>
    <w:link w:val="Heading2Char"/>
    <w:uiPriority w:val="9"/>
    <w:unhideWhenUsed/>
    <w:qFormat/>
    <w:rsid w:val="00546A25"/>
    <w:pPr>
      <w:keepNext/>
      <w:keepLines/>
      <w:spacing w:before="200" w:after="200" w:line="276" w:lineRule="auto"/>
      <w:outlineLvl w:val="1"/>
    </w:pPr>
    <w:rPr>
      <w:rFonts w:asciiTheme="majorHAnsi" w:eastAsiaTheme="majorEastAsia" w:hAnsiTheme="majorHAnsi" w:cstheme="majorBidi"/>
      <w:b/>
      <w:color w:val="1E1226" w:themeColor="accent1" w:themeShade="BF"/>
      <w:sz w:val="24"/>
      <w:szCs w:val="26"/>
    </w:rPr>
  </w:style>
  <w:style w:type="paragraph" w:styleId="Heading3">
    <w:name w:val="heading 3"/>
    <w:basedOn w:val="Normal"/>
    <w:next w:val="Normal"/>
    <w:link w:val="Heading3Char"/>
    <w:uiPriority w:val="9"/>
    <w:unhideWhenUsed/>
    <w:qFormat/>
    <w:rsid w:val="001A027C"/>
    <w:pPr>
      <w:keepNext/>
      <w:keepLines/>
      <w:spacing w:before="40" w:after="0"/>
      <w:outlineLvl w:val="2"/>
    </w:pPr>
    <w:rPr>
      <w:rFonts w:asciiTheme="majorHAnsi" w:eastAsiaTheme="majorEastAsia" w:hAnsiTheme="majorHAnsi" w:cstheme="majorBidi"/>
      <w:color w:val="140C1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162D5"/>
    <w:pPr>
      <w:ind w:left="720"/>
      <w:contextualSpacing/>
    </w:pPr>
  </w:style>
  <w:style w:type="character" w:customStyle="1" w:styleId="Heading1Char">
    <w:name w:val="Heading 1 Char"/>
    <w:basedOn w:val="DefaultParagraphFont"/>
    <w:link w:val="Heading1"/>
    <w:uiPriority w:val="9"/>
    <w:rsid w:val="00546A25"/>
    <w:rPr>
      <w:rFonts w:asciiTheme="majorHAnsi" w:eastAsiaTheme="majorEastAsia" w:hAnsiTheme="majorHAnsi" w:cstheme="majorBidi"/>
      <w:b/>
      <w:color w:val="5D3972" w:themeColor="accent2"/>
      <w:sz w:val="28"/>
      <w:szCs w:val="32"/>
    </w:rPr>
  </w:style>
  <w:style w:type="character" w:customStyle="1" w:styleId="Heading2Char">
    <w:name w:val="Heading 2 Char"/>
    <w:basedOn w:val="DefaultParagraphFont"/>
    <w:link w:val="Heading2"/>
    <w:uiPriority w:val="9"/>
    <w:rsid w:val="00546A25"/>
    <w:rPr>
      <w:rFonts w:asciiTheme="majorHAnsi" w:eastAsiaTheme="majorEastAsia" w:hAnsiTheme="majorHAnsi" w:cstheme="majorBidi"/>
      <w:b/>
      <w:color w:val="1E1226" w:themeColor="accent1" w:themeShade="BF"/>
      <w:sz w:val="24"/>
      <w:szCs w:val="26"/>
    </w:rPr>
  </w:style>
  <w:style w:type="character" w:customStyle="1" w:styleId="Heading3Char">
    <w:name w:val="Heading 3 Char"/>
    <w:basedOn w:val="DefaultParagraphFont"/>
    <w:link w:val="Heading3"/>
    <w:uiPriority w:val="9"/>
    <w:rsid w:val="001A027C"/>
    <w:rPr>
      <w:rFonts w:asciiTheme="majorHAnsi" w:eastAsiaTheme="majorEastAsia" w:hAnsiTheme="majorHAnsi" w:cstheme="majorBidi"/>
      <w:color w:val="140C19" w:themeColor="accent1" w:themeShade="7F"/>
      <w:sz w:val="24"/>
      <w:szCs w:val="24"/>
    </w:rPr>
  </w:style>
  <w:style w:type="paragraph" w:styleId="BalloonText">
    <w:name w:val="Balloon Text"/>
    <w:basedOn w:val="Normal"/>
    <w:link w:val="BalloonTextChar"/>
    <w:uiPriority w:val="99"/>
    <w:semiHidden/>
    <w:unhideWhenUsed/>
    <w:rsid w:val="00C61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253"/>
    <w:rPr>
      <w:rFonts w:ascii="Segoe UI" w:hAnsi="Segoe UI" w:cs="Segoe UI"/>
      <w:sz w:val="18"/>
      <w:szCs w:val="18"/>
    </w:rPr>
  </w:style>
  <w:style w:type="table" w:styleId="TableGrid">
    <w:name w:val="Table Grid"/>
    <w:basedOn w:val="TableNormal"/>
    <w:uiPriority w:val="39"/>
    <w:rsid w:val="00871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0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BC7"/>
  </w:style>
  <w:style w:type="paragraph" w:styleId="Footer">
    <w:name w:val="footer"/>
    <w:basedOn w:val="Normal"/>
    <w:link w:val="FooterChar"/>
    <w:uiPriority w:val="99"/>
    <w:unhideWhenUsed/>
    <w:rsid w:val="004D0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BC7"/>
  </w:style>
  <w:style w:type="paragraph" w:styleId="BodyText">
    <w:name w:val="Body Text"/>
    <w:basedOn w:val="Normal"/>
    <w:link w:val="BodyTextChar"/>
    <w:uiPriority w:val="99"/>
    <w:unhideWhenUsed/>
    <w:qFormat/>
    <w:rsid w:val="0099721E"/>
    <w:pPr>
      <w:spacing w:after="200" w:line="276" w:lineRule="auto"/>
    </w:pPr>
  </w:style>
  <w:style w:type="character" w:customStyle="1" w:styleId="BodyTextChar">
    <w:name w:val="Body Text Char"/>
    <w:basedOn w:val="DefaultParagraphFont"/>
    <w:link w:val="BodyText"/>
    <w:uiPriority w:val="99"/>
    <w:rsid w:val="0099721E"/>
  </w:style>
  <w:style w:type="table" w:styleId="GridTable1Light-Accent1">
    <w:name w:val="Grid Table 1 Light Accent 1"/>
    <w:basedOn w:val="TableNormal"/>
    <w:uiPriority w:val="46"/>
    <w:rsid w:val="0099721E"/>
    <w:pPr>
      <w:spacing w:after="0" w:line="240" w:lineRule="auto"/>
    </w:pPr>
    <w:tblPr>
      <w:tblStyleRowBandSize w:val="1"/>
      <w:tblStyleColBandSize w:val="1"/>
      <w:tblBorders>
        <w:top w:val="single" w:sz="4" w:space="0" w:color="AE8AC6" w:themeColor="accent1" w:themeTint="66"/>
        <w:left w:val="single" w:sz="4" w:space="0" w:color="AE8AC6" w:themeColor="accent1" w:themeTint="66"/>
        <w:bottom w:val="single" w:sz="4" w:space="0" w:color="AE8AC6" w:themeColor="accent1" w:themeTint="66"/>
        <w:right w:val="single" w:sz="4" w:space="0" w:color="AE8AC6" w:themeColor="accent1" w:themeTint="66"/>
        <w:insideH w:val="single" w:sz="4" w:space="0" w:color="AE8AC6" w:themeColor="accent1" w:themeTint="66"/>
        <w:insideV w:val="single" w:sz="4" w:space="0" w:color="AE8AC6" w:themeColor="accent1" w:themeTint="66"/>
      </w:tblBorders>
    </w:tblPr>
    <w:tblStylePr w:type="firstRow">
      <w:rPr>
        <w:b/>
        <w:bCs/>
      </w:rPr>
      <w:tblPr/>
      <w:tcPr>
        <w:tcBorders>
          <w:bottom w:val="single" w:sz="12" w:space="0" w:color="8652A7" w:themeColor="accent1" w:themeTint="99"/>
        </w:tcBorders>
      </w:tcPr>
    </w:tblStylePr>
    <w:tblStylePr w:type="lastRow">
      <w:rPr>
        <w:b/>
        <w:bCs/>
      </w:rPr>
      <w:tblPr/>
      <w:tcPr>
        <w:tcBorders>
          <w:top w:val="double" w:sz="2" w:space="0" w:color="8652A7" w:themeColor="accent1" w:themeTint="99"/>
        </w:tcBorders>
      </w:tcPr>
    </w:tblStylePr>
    <w:tblStylePr w:type="firstCol">
      <w:rPr>
        <w:b/>
        <w:bCs/>
      </w:rPr>
    </w:tblStylePr>
    <w:tblStylePr w:type="lastCol">
      <w:rPr>
        <w:b/>
        <w:bCs/>
      </w:rPr>
    </w:tblStylePr>
  </w:style>
  <w:style w:type="table" w:styleId="ListTable3-Accent4">
    <w:name w:val="List Table 3 Accent 4"/>
    <w:basedOn w:val="TableNormal"/>
    <w:uiPriority w:val="48"/>
    <w:rsid w:val="0099721E"/>
    <w:pPr>
      <w:spacing w:after="0" w:line="240" w:lineRule="auto"/>
    </w:pPr>
    <w:tblPr>
      <w:tblStyleRowBandSize w:val="1"/>
      <w:tblStyleColBandSize w:val="1"/>
      <w:tblBorders>
        <w:top w:val="single" w:sz="4" w:space="0" w:color="BD9FCF" w:themeColor="accent4"/>
        <w:left w:val="single" w:sz="4" w:space="0" w:color="BD9FCF" w:themeColor="accent4"/>
        <w:bottom w:val="single" w:sz="4" w:space="0" w:color="BD9FCF" w:themeColor="accent4"/>
        <w:right w:val="single" w:sz="4" w:space="0" w:color="BD9FCF" w:themeColor="accent4"/>
      </w:tblBorders>
    </w:tblPr>
    <w:tblStylePr w:type="firstRow">
      <w:rPr>
        <w:b/>
        <w:bCs/>
        <w:color w:val="FFFFFF" w:themeColor="background1"/>
      </w:rPr>
      <w:tblPr/>
      <w:tcPr>
        <w:shd w:val="clear" w:color="auto" w:fill="BD9FCF" w:themeFill="accent4"/>
      </w:tcPr>
    </w:tblStylePr>
    <w:tblStylePr w:type="lastRow">
      <w:rPr>
        <w:b/>
        <w:bCs/>
      </w:rPr>
      <w:tblPr/>
      <w:tcPr>
        <w:tcBorders>
          <w:top w:val="double" w:sz="4" w:space="0" w:color="BD9FC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9FCF" w:themeColor="accent4"/>
          <w:right w:val="single" w:sz="4" w:space="0" w:color="BD9FCF" w:themeColor="accent4"/>
        </w:tcBorders>
      </w:tcPr>
    </w:tblStylePr>
    <w:tblStylePr w:type="band1Horz">
      <w:tblPr/>
      <w:tcPr>
        <w:tcBorders>
          <w:top w:val="single" w:sz="4" w:space="0" w:color="BD9FCF" w:themeColor="accent4"/>
          <w:bottom w:val="single" w:sz="4" w:space="0" w:color="BD9FC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9FCF" w:themeColor="accent4"/>
          <w:left w:val="nil"/>
        </w:tcBorders>
      </w:tcPr>
    </w:tblStylePr>
    <w:tblStylePr w:type="swCell">
      <w:tblPr/>
      <w:tcPr>
        <w:tcBorders>
          <w:top w:val="double" w:sz="4" w:space="0" w:color="BD9FCF" w:themeColor="accent4"/>
          <w:right w:val="nil"/>
        </w:tcBorders>
      </w:tcPr>
    </w:tblStylePr>
  </w:style>
  <w:style w:type="table" w:styleId="ListTable3-Accent5">
    <w:name w:val="List Table 3 Accent 5"/>
    <w:basedOn w:val="TableNormal"/>
    <w:uiPriority w:val="48"/>
    <w:rsid w:val="0099721E"/>
    <w:pPr>
      <w:spacing w:after="0" w:line="240" w:lineRule="auto"/>
    </w:pPr>
    <w:tblPr>
      <w:tblStyleRowBandSize w:val="1"/>
      <w:tblStyleColBandSize w:val="1"/>
      <w:tblBorders>
        <w:top w:val="single" w:sz="4" w:space="0" w:color="DECFE7" w:themeColor="accent5"/>
        <w:left w:val="single" w:sz="4" w:space="0" w:color="DECFE7" w:themeColor="accent5"/>
        <w:bottom w:val="single" w:sz="4" w:space="0" w:color="DECFE7" w:themeColor="accent5"/>
        <w:right w:val="single" w:sz="4" w:space="0" w:color="DECFE7" w:themeColor="accent5"/>
      </w:tblBorders>
    </w:tblPr>
    <w:tblStylePr w:type="firstRow">
      <w:rPr>
        <w:b/>
        <w:bCs/>
        <w:color w:val="FFFFFF" w:themeColor="background1"/>
      </w:rPr>
      <w:tblPr/>
      <w:tcPr>
        <w:shd w:val="clear" w:color="auto" w:fill="DECFE7" w:themeFill="accent5"/>
      </w:tcPr>
    </w:tblStylePr>
    <w:tblStylePr w:type="lastRow">
      <w:rPr>
        <w:b/>
        <w:bCs/>
      </w:rPr>
      <w:tblPr/>
      <w:tcPr>
        <w:tcBorders>
          <w:top w:val="double" w:sz="4" w:space="0" w:color="DECFE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CFE7" w:themeColor="accent5"/>
          <w:right w:val="single" w:sz="4" w:space="0" w:color="DECFE7" w:themeColor="accent5"/>
        </w:tcBorders>
      </w:tcPr>
    </w:tblStylePr>
    <w:tblStylePr w:type="band1Horz">
      <w:tblPr/>
      <w:tcPr>
        <w:tcBorders>
          <w:top w:val="single" w:sz="4" w:space="0" w:color="DECFE7" w:themeColor="accent5"/>
          <w:bottom w:val="single" w:sz="4" w:space="0" w:color="DECFE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CFE7" w:themeColor="accent5"/>
          <w:left w:val="nil"/>
        </w:tcBorders>
      </w:tcPr>
    </w:tblStylePr>
    <w:tblStylePr w:type="swCell">
      <w:tblPr/>
      <w:tcPr>
        <w:tcBorders>
          <w:top w:val="double" w:sz="4" w:space="0" w:color="DECFE7" w:themeColor="accent5"/>
          <w:right w:val="nil"/>
        </w:tcBorders>
      </w:tcPr>
    </w:tblStylePr>
  </w:style>
  <w:style w:type="paragraph" w:styleId="ListBullet">
    <w:name w:val="List Bullet"/>
    <w:basedOn w:val="Normal"/>
    <w:uiPriority w:val="99"/>
    <w:unhideWhenUsed/>
    <w:qFormat/>
    <w:rsid w:val="00546A25"/>
    <w:pPr>
      <w:numPr>
        <w:numId w:val="15"/>
      </w:numPr>
      <w:spacing w:after="200" w:line="276" w:lineRule="auto"/>
      <w:ind w:left="357"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15920">
      <w:bodyDiv w:val="1"/>
      <w:marLeft w:val="0"/>
      <w:marRight w:val="0"/>
      <w:marTop w:val="0"/>
      <w:marBottom w:val="0"/>
      <w:divBdr>
        <w:top w:val="none" w:sz="0" w:space="0" w:color="auto"/>
        <w:left w:val="none" w:sz="0" w:space="0" w:color="auto"/>
        <w:bottom w:val="none" w:sz="0" w:space="0" w:color="auto"/>
        <w:right w:val="none" w:sz="0" w:space="0" w:color="auto"/>
      </w:divBdr>
    </w:div>
    <w:div w:id="10010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CSA_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3">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Knight</dc:creator>
  <cp:keywords/>
  <dc:description/>
  <cp:lastModifiedBy>Belinda Calvert</cp:lastModifiedBy>
  <cp:revision>18</cp:revision>
  <cp:lastPrinted>2020-12-17T01:56:00Z</cp:lastPrinted>
  <dcterms:created xsi:type="dcterms:W3CDTF">2020-09-09T04:56:00Z</dcterms:created>
  <dcterms:modified xsi:type="dcterms:W3CDTF">2020-12-17T02:53:00Z</dcterms:modified>
</cp:coreProperties>
</file>