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415" w:rsidRPr="00BC5A20" w:rsidRDefault="00E07415" w:rsidP="002252AF">
      <w:pPr>
        <w:spacing w:line="276" w:lineRule="auto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</w:tblGrid>
      <w:tr w:rsidR="00712BA5" w:rsidRPr="00BC5A20" w:rsidTr="00F5242D">
        <w:tc>
          <w:tcPr>
            <w:tcW w:w="8217" w:type="dxa"/>
          </w:tcPr>
          <w:p w:rsidR="00712BA5" w:rsidRPr="00BC5A20" w:rsidRDefault="00712BA5" w:rsidP="002252AF">
            <w:pPr>
              <w:spacing w:line="276" w:lineRule="auto"/>
            </w:pPr>
            <w:r w:rsidRPr="00BC5A20">
              <w:rPr>
                <w:rFonts w:cstheme="minorHAnsi"/>
                <w:b/>
              </w:rPr>
              <w:t>Syllabus change</w:t>
            </w:r>
          </w:p>
        </w:tc>
      </w:tr>
      <w:tr w:rsidR="00F5242D" w:rsidRPr="00F0663F" w:rsidTr="00F5242D">
        <w:tc>
          <w:tcPr>
            <w:tcW w:w="8217" w:type="dxa"/>
          </w:tcPr>
          <w:p w:rsidR="003D3AE0" w:rsidRPr="006B3D54" w:rsidRDefault="003D3AE0" w:rsidP="003D3AE0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6B3D54">
              <w:rPr>
                <w:rFonts w:ascii="Calibri" w:hAnsi="Calibri" w:cs="Calibri"/>
              </w:rPr>
              <w:t xml:space="preserve">The content identified by </w:t>
            </w:r>
            <w:r w:rsidRPr="006B3D54">
              <w:rPr>
                <w:rFonts w:ascii="Calibri" w:hAnsi="Calibri" w:cs="Calibri"/>
                <w:strike/>
              </w:rPr>
              <w:t>strikethrough</w:t>
            </w:r>
            <w:r w:rsidRPr="006B3D54">
              <w:rPr>
                <w:rFonts w:ascii="Calibri" w:hAnsi="Calibri" w:cs="Calibri"/>
              </w:rPr>
              <w:t xml:space="preserve"> has been deleted from the syllabus and the content identified in </w:t>
            </w:r>
            <w:r w:rsidRPr="006B3D54">
              <w:rPr>
                <w:rFonts w:ascii="Calibri" w:hAnsi="Calibri" w:cs="Calibri"/>
                <w:i/>
              </w:rPr>
              <w:t>italic</w:t>
            </w:r>
            <w:r w:rsidRPr="006B3D54">
              <w:rPr>
                <w:rFonts w:ascii="Calibri" w:hAnsi="Calibri" w:cs="Calibri"/>
              </w:rPr>
              <w:t>s has been revised in the syllabus for teaching from 2023</w:t>
            </w:r>
          </w:p>
          <w:p w:rsidR="003D3AE0" w:rsidRDefault="003D3AE0" w:rsidP="00A954AA">
            <w:pPr>
              <w:rPr>
                <w:b/>
              </w:rPr>
            </w:pPr>
          </w:p>
          <w:p w:rsidR="00F5242D" w:rsidRPr="001E7691" w:rsidRDefault="00F5242D" w:rsidP="00A954AA">
            <w:pPr>
              <w:rPr>
                <w:b/>
              </w:rPr>
            </w:pPr>
            <w:r w:rsidRPr="001E7691">
              <w:rPr>
                <w:b/>
              </w:rPr>
              <w:t xml:space="preserve">Unit </w:t>
            </w:r>
            <w:r>
              <w:rPr>
                <w:b/>
              </w:rPr>
              <w:t>1</w:t>
            </w:r>
          </w:p>
          <w:p w:rsidR="00F5242D" w:rsidRPr="001E7691" w:rsidRDefault="00F5242D" w:rsidP="00A954AA">
            <w:pPr>
              <w:rPr>
                <w:b/>
              </w:rPr>
            </w:pPr>
            <w:r w:rsidRPr="001E7691">
              <w:rPr>
                <w:b/>
              </w:rPr>
              <w:t>Science Inquiry Skills</w:t>
            </w:r>
          </w:p>
          <w:p w:rsidR="00F5242D" w:rsidRPr="00892FF7" w:rsidRDefault="00F5242D" w:rsidP="00C45B90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Calibri" w:hAnsi="Calibri" w:cs="Calibri"/>
              </w:rPr>
            </w:pPr>
            <w:r w:rsidRPr="00892FF7">
              <w:rPr>
                <w:rFonts w:ascii="Calibri" w:hAnsi="Calibri" w:cs="Calibri"/>
              </w:rPr>
              <w:t>design investigations, including the procedure(s) to be followed, the materials required, and the type and amount of primary and/or</w:t>
            </w:r>
            <w:r>
              <w:rPr>
                <w:rFonts w:ascii="Calibri" w:hAnsi="Calibri" w:cs="Calibri"/>
              </w:rPr>
              <w:t xml:space="preserve"> </w:t>
            </w:r>
            <w:r w:rsidRPr="00892FF7">
              <w:rPr>
                <w:rFonts w:ascii="Calibri" w:hAnsi="Calibri" w:cs="Calibri"/>
              </w:rPr>
              <w:t>secondary data to be collected; conduct risk assessments; and consider research</w:t>
            </w:r>
            <w:r w:rsidR="00C45B90">
              <w:rPr>
                <w:rFonts w:ascii="Calibri" w:hAnsi="Calibri" w:cs="Calibri"/>
              </w:rPr>
              <w:t xml:space="preserve"> ethics,</w:t>
            </w:r>
            <w:r w:rsidRPr="00892FF7">
              <w:rPr>
                <w:rFonts w:ascii="Calibri" w:hAnsi="Calibri" w:cs="Calibri"/>
              </w:rPr>
              <w:t xml:space="preserve"> including </w:t>
            </w:r>
            <w:r w:rsidR="004D4551" w:rsidRPr="004D4551">
              <w:rPr>
                <w:rFonts w:ascii="Calibri" w:hAnsi="Calibri" w:cs="Calibri"/>
                <w:strike/>
              </w:rPr>
              <w:t xml:space="preserve">animal </w:t>
            </w:r>
            <w:r w:rsidRPr="004D4551">
              <w:rPr>
                <w:rFonts w:ascii="Calibri" w:hAnsi="Calibri" w:cs="Calibri"/>
                <w:strike/>
              </w:rPr>
              <w:t>ethics</w:t>
            </w:r>
            <w:r w:rsidRPr="00892FF7">
              <w:rPr>
                <w:rFonts w:ascii="Calibri" w:hAnsi="Calibri" w:cs="Calibri"/>
              </w:rPr>
              <w:t xml:space="preserve"> </w:t>
            </w:r>
            <w:r w:rsidR="00C45B90">
              <w:rPr>
                <w:rFonts w:ascii="Calibri" w:hAnsi="Calibri" w:cs="Calibri"/>
              </w:rPr>
              <w:t xml:space="preserve">the ethics </w:t>
            </w:r>
            <w:r w:rsidRPr="00892FF7">
              <w:rPr>
                <w:rFonts w:ascii="Calibri" w:hAnsi="Calibri" w:cs="Calibri"/>
              </w:rPr>
              <w:t>of research involving living organisms</w:t>
            </w:r>
          </w:p>
          <w:p w:rsidR="00F5242D" w:rsidRDefault="00F5242D" w:rsidP="00C45B90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Calibri" w:hAnsi="Calibri" w:cs="Calibri"/>
              </w:rPr>
            </w:pPr>
            <w:r w:rsidRPr="00892FF7">
              <w:rPr>
                <w:rFonts w:ascii="Calibri" w:hAnsi="Calibri" w:cs="Calibri"/>
              </w:rPr>
              <w:t>represent data in meaningful and useful ways; organise and analyse data to identify trends, patterns and relationships; qualitatively describe sources of measurement error</w:t>
            </w:r>
            <w:r w:rsidR="00C45B90" w:rsidRPr="00C45B90">
              <w:rPr>
                <w:rFonts w:ascii="Calibri" w:hAnsi="Calibri" w:cs="Calibri"/>
                <w:strike/>
              </w:rPr>
              <w:t xml:space="preserve">, and </w:t>
            </w:r>
            <w:proofErr w:type="spellStart"/>
            <w:r w:rsidR="00C45B90" w:rsidRPr="00C45B90">
              <w:rPr>
                <w:rFonts w:ascii="Calibri" w:hAnsi="Calibri" w:cs="Calibri"/>
                <w:strike/>
              </w:rPr>
              <w:t>undertainty</w:t>
            </w:r>
            <w:proofErr w:type="spellEnd"/>
            <w:r w:rsidRPr="00892FF7">
              <w:rPr>
                <w:rFonts w:ascii="Calibri" w:hAnsi="Calibri" w:cs="Calibri"/>
              </w:rPr>
              <w:t xml:space="preserve"> and limitations in data; and select, synthesise and use evidence to make and justify conclusions</w:t>
            </w:r>
          </w:p>
          <w:p w:rsidR="00C45B90" w:rsidRDefault="00C45B90" w:rsidP="00C45B90">
            <w:pPr>
              <w:spacing w:line="259" w:lineRule="auto"/>
              <w:rPr>
                <w:rFonts w:ascii="Calibri" w:hAnsi="Calibri" w:cs="Calibri"/>
              </w:rPr>
            </w:pPr>
          </w:p>
          <w:p w:rsidR="00C45B90" w:rsidRPr="00C45B90" w:rsidRDefault="00C45B90" w:rsidP="00C45B90">
            <w:pPr>
              <w:spacing w:line="259" w:lineRule="auto"/>
              <w:rPr>
                <w:rFonts w:ascii="Calibri" w:hAnsi="Calibri" w:cs="Calibri"/>
                <w:b/>
              </w:rPr>
            </w:pPr>
            <w:r w:rsidRPr="00C45B90">
              <w:rPr>
                <w:rFonts w:ascii="Calibri" w:hAnsi="Calibri" w:cs="Calibri"/>
                <w:b/>
              </w:rPr>
              <w:t>Science as a Human Endeavour</w:t>
            </w:r>
          </w:p>
          <w:p w:rsidR="00C45B90" w:rsidRPr="00C45B90" w:rsidRDefault="00C45B90" w:rsidP="00C45B90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Calibri" w:hAnsi="Calibri" w:cs="Calibri"/>
                <w:strike/>
              </w:rPr>
            </w:pPr>
            <w:r w:rsidRPr="00C45B90">
              <w:rPr>
                <w:rFonts w:ascii="Calibri" w:hAnsi="Calibri" w:cs="Calibri"/>
                <w:i/>
                <w:strike/>
              </w:rPr>
              <w:t>Australia’s Biodiversity Conservation Strategy 2010–2030</w:t>
            </w:r>
            <w:r w:rsidRPr="00C45B90">
              <w:rPr>
                <w:rFonts w:ascii="Calibri" w:hAnsi="Calibri" w:cs="Calibri"/>
                <w:strike/>
              </w:rPr>
              <w:t xml:space="preserve"> presents a long-term view of the future and the actions that need to be implemented to conserve biodiversity</w:t>
            </w:r>
          </w:p>
          <w:p w:rsidR="00C45B90" w:rsidRPr="00C45B90" w:rsidRDefault="00C45B90" w:rsidP="00C45B90">
            <w:pPr>
              <w:pStyle w:val="ListParagraph"/>
              <w:spacing w:line="259" w:lineRule="auto"/>
              <w:ind w:left="360"/>
              <w:rPr>
                <w:rFonts w:ascii="Calibri" w:hAnsi="Calibri" w:cs="Calibri"/>
              </w:rPr>
            </w:pPr>
          </w:p>
          <w:p w:rsidR="00F5242D" w:rsidRDefault="00F5242D" w:rsidP="00A954AA">
            <w:r w:rsidRPr="001E7691">
              <w:rPr>
                <w:b/>
              </w:rPr>
              <w:t>Science Understanding</w:t>
            </w:r>
            <w:r w:rsidRPr="0065332B">
              <w:t xml:space="preserve"> </w:t>
            </w:r>
          </w:p>
          <w:p w:rsidR="00F5242D" w:rsidRPr="00892FF7" w:rsidRDefault="00F5242D" w:rsidP="00A954AA">
            <w:pPr>
              <w:rPr>
                <w:b/>
              </w:rPr>
            </w:pPr>
            <w:r w:rsidRPr="00892FF7">
              <w:rPr>
                <w:b/>
              </w:rPr>
              <w:t>Ecosystem dynamics</w:t>
            </w:r>
          </w:p>
          <w:p w:rsidR="00F5242D" w:rsidRPr="008539E8" w:rsidRDefault="00F5242D" w:rsidP="00C45B90">
            <w:pPr>
              <w:pStyle w:val="Default"/>
              <w:widowControl w:val="0"/>
              <w:numPr>
                <w:ilvl w:val="0"/>
                <w:numId w:val="36"/>
              </w:numPr>
              <w:spacing w:line="276" w:lineRule="auto"/>
              <w:contextualSpacing/>
              <w:rPr>
                <w:rFonts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auto"/>
                <w:sz w:val="22"/>
                <w:szCs w:val="22"/>
              </w:rPr>
              <w:t>h</w:t>
            </w:r>
            <w:r w:rsidRPr="008539E8">
              <w:rPr>
                <w:rFonts w:cstheme="minorHAnsi"/>
                <w:color w:val="auto"/>
                <w:sz w:val="22"/>
                <w:szCs w:val="22"/>
              </w:rPr>
              <w:t>uman activities that can affect biodiversity and can impact on the magnitude, duration and speed of ecosy</w:t>
            </w:r>
            <w:r>
              <w:rPr>
                <w:rFonts w:cstheme="minorHAnsi"/>
                <w:color w:val="auto"/>
                <w:sz w:val="22"/>
                <w:szCs w:val="22"/>
              </w:rPr>
              <w:t>stem change include examples of</w:t>
            </w:r>
          </w:p>
          <w:p w:rsidR="00F5242D" w:rsidRPr="00892FF7" w:rsidRDefault="00F5242D" w:rsidP="00C45B90">
            <w:pPr>
              <w:pStyle w:val="Default"/>
              <w:numPr>
                <w:ilvl w:val="1"/>
                <w:numId w:val="36"/>
              </w:numPr>
              <w:autoSpaceDE/>
              <w:autoSpaceDN/>
              <w:adjustRightInd/>
              <w:spacing w:line="276" w:lineRule="auto"/>
              <w:contextualSpacing/>
              <w:rPr>
                <w:rFonts w:cstheme="minorHAnsi"/>
                <w:color w:val="auto"/>
                <w:sz w:val="22"/>
                <w:szCs w:val="22"/>
              </w:rPr>
            </w:pPr>
            <w:r w:rsidRPr="008539E8">
              <w:rPr>
                <w:rFonts w:cstheme="minorHAnsi"/>
                <w:color w:val="auto"/>
                <w:sz w:val="22"/>
                <w:szCs w:val="22"/>
              </w:rPr>
              <w:t xml:space="preserve">habitat destruction, fragmentation </w:t>
            </w:r>
            <w:r w:rsidRPr="00892FF7">
              <w:rPr>
                <w:rFonts w:cstheme="minorHAnsi"/>
                <w:color w:val="auto"/>
                <w:sz w:val="22"/>
                <w:szCs w:val="22"/>
              </w:rPr>
              <w:t xml:space="preserve">or degradation, </w:t>
            </w:r>
            <w:r w:rsidRPr="00C45B90">
              <w:rPr>
                <w:rFonts w:cstheme="minorHAnsi"/>
                <w:i/>
                <w:color w:val="auto"/>
                <w:sz w:val="22"/>
                <w:szCs w:val="22"/>
              </w:rPr>
              <w:t>including erosion and dryland salinity</w:t>
            </w:r>
          </w:p>
          <w:p w:rsidR="00F5242D" w:rsidRPr="00892FF7" w:rsidRDefault="00F5242D" w:rsidP="00C45B90">
            <w:pPr>
              <w:pStyle w:val="Default"/>
              <w:numPr>
                <w:ilvl w:val="1"/>
                <w:numId w:val="36"/>
              </w:numPr>
              <w:autoSpaceDE/>
              <w:autoSpaceDN/>
              <w:adjustRightInd/>
              <w:spacing w:after="120" w:line="276" w:lineRule="auto"/>
              <w:contextualSpacing/>
              <w:rPr>
                <w:rFonts w:cstheme="minorHAnsi"/>
                <w:color w:val="auto"/>
                <w:sz w:val="22"/>
                <w:szCs w:val="22"/>
              </w:rPr>
            </w:pPr>
            <w:r w:rsidRPr="00892FF7">
              <w:rPr>
                <w:rFonts w:cstheme="minorHAnsi"/>
                <w:color w:val="auto"/>
                <w:sz w:val="22"/>
                <w:szCs w:val="22"/>
              </w:rPr>
              <w:t>the introduction of invasive species</w:t>
            </w:r>
          </w:p>
          <w:p w:rsidR="00F5242D" w:rsidRPr="00892FF7" w:rsidRDefault="00F5242D" w:rsidP="00C45B90">
            <w:pPr>
              <w:pStyle w:val="Default"/>
              <w:numPr>
                <w:ilvl w:val="1"/>
                <w:numId w:val="36"/>
              </w:numPr>
              <w:autoSpaceDE/>
              <w:autoSpaceDN/>
              <w:adjustRightInd/>
              <w:spacing w:line="276" w:lineRule="auto"/>
              <w:contextualSpacing/>
              <w:rPr>
                <w:rFonts w:cstheme="minorHAnsi"/>
                <w:color w:val="auto"/>
                <w:sz w:val="22"/>
                <w:szCs w:val="22"/>
              </w:rPr>
            </w:pPr>
            <w:r w:rsidRPr="00892FF7">
              <w:rPr>
                <w:rFonts w:cstheme="minorHAnsi"/>
                <w:color w:val="auto"/>
                <w:sz w:val="22"/>
                <w:szCs w:val="22"/>
              </w:rPr>
              <w:t>unsustainable use of natural resources</w:t>
            </w:r>
          </w:p>
          <w:p w:rsidR="00F5242D" w:rsidRPr="00892FF7" w:rsidRDefault="00F5242D" w:rsidP="00C45B90">
            <w:pPr>
              <w:pStyle w:val="Default"/>
              <w:numPr>
                <w:ilvl w:val="1"/>
                <w:numId w:val="36"/>
              </w:numPr>
              <w:autoSpaceDE/>
              <w:autoSpaceDN/>
              <w:adjustRightInd/>
              <w:spacing w:line="276" w:lineRule="auto"/>
              <w:contextualSpacing/>
              <w:rPr>
                <w:rFonts w:cstheme="minorHAnsi"/>
                <w:color w:val="auto"/>
                <w:sz w:val="22"/>
                <w:szCs w:val="22"/>
              </w:rPr>
            </w:pPr>
            <w:r w:rsidRPr="00892FF7">
              <w:rPr>
                <w:rFonts w:cstheme="minorHAnsi"/>
                <w:color w:val="auto"/>
                <w:sz w:val="22"/>
                <w:szCs w:val="22"/>
              </w:rPr>
              <w:t xml:space="preserve">the impact of pollutants, including biomagnification </w:t>
            </w:r>
            <w:r w:rsidRPr="00C45B90">
              <w:rPr>
                <w:rFonts w:cstheme="minorHAnsi"/>
                <w:i/>
                <w:color w:val="auto"/>
                <w:sz w:val="22"/>
                <w:szCs w:val="22"/>
              </w:rPr>
              <w:t>and eutrophication</w:t>
            </w:r>
          </w:p>
          <w:p w:rsidR="00F5242D" w:rsidRPr="00463A86" w:rsidRDefault="00F5242D" w:rsidP="00C45B90">
            <w:pPr>
              <w:pStyle w:val="Default"/>
              <w:numPr>
                <w:ilvl w:val="1"/>
                <w:numId w:val="36"/>
              </w:numPr>
              <w:autoSpaceDE/>
              <w:autoSpaceDN/>
              <w:adjustRightInd/>
              <w:spacing w:line="276" w:lineRule="auto"/>
              <w:contextualSpacing/>
              <w:rPr>
                <w:rFonts w:cstheme="minorHAnsi"/>
                <w:i/>
                <w:color w:val="auto"/>
                <w:sz w:val="22"/>
                <w:szCs w:val="22"/>
              </w:rPr>
            </w:pPr>
            <w:r w:rsidRPr="00463A86">
              <w:rPr>
                <w:rFonts w:cstheme="minorHAnsi"/>
                <w:i/>
                <w:color w:val="auto"/>
                <w:sz w:val="22"/>
                <w:szCs w:val="22"/>
              </w:rPr>
              <w:t xml:space="preserve">emissions contributing to enhanced greenhouse effect which impact climate change </w:t>
            </w:r>
          </w:p>
          <w:p w:rsidR="00C45B90" w:rsidRDefault="00C45B90" w:rsidP="00A954AA">
            <w:pPr>
              <w:rPr>
                <w:b/>
              </w:rPr>
            </w:pPr>
          </w:p>
          <w:p w:rsidR="00F5242D" w:rsidRPr="001E7691" w:rsidRDefault="00F5242D" w:rsidP="00A954AA">
            <w:pPr>
              <w:rPr>
                <w:b/>
              </w:rPr>
            </w:pPr>
            <w:r w:rsidRPr="001E7691">
              <w:rPr>
                <w:b/>
              </w:rPr>
              <w:t xml:space="preserve">Unit </w:t>
            </w:r>
            <w:r>
              <w:rPr>
                <w:b/>
              </w:rPr>
              <w:t>2</w:t>
            </w:r>
          </w:p>
          <w:p w:rsidR="00F5242D" w:rsidRPr="001E7691" w:rsidRDefault="00F5242D" w:rsidP="00A954AA">
            <w:pPr>
              <w:rPr>
                <w:b/>
              </w:rPr>
            </w:pPr>
            <w:r w:rsidRPr="001E7691">
              <w:rPr>
                <w:b/>
              </w:rPr>
              <w:t>Science Inquiry Skills</w:t>
            </w:r>
          </w:p>
          <w:p w:rsidR="00F5242D" w:rsidRPr="00D400C7" w:rsidRDefault="00F5242D" w:rsidP="00C45B90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Calibri" w:hAnsi="Calibri" w:cs="Calibri"/>
              </w:rPr>
            </w:pPr>
            <w:r w:rsidRPr="00D400C7">
              <w:rPr>
                <w:rFonts w:ascii="Calibri" w:hAnsi="Calibri" w:cs="Calibri"/>
              </w:rPr>
              <w:t xml:space="preserve">design </w:t>
            </w:r>
            <w:r w:rsidR="00C45B90" w:rsidRPr="00892FF7">
              <w:rPr>
                <w:rFonts w:ascii="Calibri" w:hAnsi="Calibri" w:cs="Calibri"/>
              </w:rPr>
              <w:t>investigations, including the procedure(s) to be followed, the materials required, and the type and amount of primary and/or</w:t>
            </w:r>
            <w:r w:rsidR="00C45B90">
              <w:rPr>
                <w:rFonts w:ascii="Calibri" w:hAnsi="Calibri" w:cs="Calibri"/>
              </w:rPr>
              <w:t xml:space="preserve"> </w:t>
            </w:r>
            <w:r w:rsidR="00C45B90" w:rsidRPr="00892FF7">
              <w:rPr>
                <w:rFonts w:ascii="Calibri" w:hAnsi="Calibri" w:cs="Calibri"/>
              </w:rPr>
              <w:t>secondary data to be collected; conduct risk assessments; and consider research</w:t>
            </w:r>
            <w:r w:rsidR="00C45B90">
              <w:rPr>
                <w:rFonts w:ascii="Calibri" w:hAnsi="Calibri" w:cs="Calibri"/>
              </w:rPr>
              <w:t xml:space="preserve"> ethics,</w:t>
            </w:r>
            <w:r w:rsidR="00C45B90" w:rsidRPr="00892FF7">
              <w:rPr>
                <w:rFonts w:ascii="Calibri" w:hAnsi="Calibri" w:cs="Calibri"/>
              </w:rPr>
              <w:t xml:space="preserve"> including </w:t>
            </w:r>
            <w:r w:rsidR="00C45B90" w:rsidRPr="004D4551">
              <w:rPr>
                <w:rFonts w:ascii="Calibri" w:hAnsi="Calibri" w:cs="Calibri"/>
                <w:strike/>
              </w:rPr>
              <w:t>animal ethics</w:t>
            </w:r>
            <w:r w:rsidR="00C45B90" w:rsidRPr="00892FF7">
              <w:rPr>
                <w:rFonts w:ascii="Calibri" w:hAnsi="Calibri" w:cs="Calibri"/>
              </w:rPr>
              <w:t xml:space="preserve"> </w:t>
            </w:r>
            <w:r w:rsidR="00C45B90">
              <w:rPr>
                <w:rFonts w:ascii="Calibri" w:hAnsi="Calibri" w:cs="Calibri"/>
              </w:rPr>
              <w:t xml:space="preserve">the ethics </w:t>
            </w:r>
            <w:r w:rsidR="00C45B90" w:rsidRPr="00892FF7">
              <w:rPr>
                <w:rFonts w:ascii="Calibri" w:hAnsi="Calibri" w:cs="Calibri"/>
              </w:rPr>
              <w:t>of research involving living organisms</w:t>
            </w:r>
          </w:p>
          <w:p w:rsidR="00F5242D" w:rsidRPr="00D400C7" w:rsidRDefault="00F5242D" w:rsidP="00C45B90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Calibri" w:hAnsi="Calibri" w:cs="Calibri"/>
              </w:rPr>
            </w:pPr>
            <w:r w:rsidRPr="00D400C7">
              <w:rPr>
                <w:rFonts w:ascii="Calibri" w:hAnsi="Calibri" w:cs="Calibri"/>
              </w:rPr>
              <w:t>conduct investigations</w:t>
            </w:r>
            <w:r w:rsidRPr="00C45B90">
              <w:rPr>
                <w:rFonts w:ascii="Calibri" w:hAnsi="Calibri" w:cs="Calibri"/>
                <w:strike/>
              </w:rPr>
              <w:t xml:space="preserve">, </w:t>
            </w:r>
            <w:r w:rsidR="00C45B90" w:rsidRPr="00C45B90">
              <w:rPr>
                <w:rFonts w:ascii="Calibri" w:hAnsi="Calibri" w:cs="Calibri"/>
                <w:strike/>
              </w:rPr>
              <w:t xml:space="preserve">including </w:t>
            </w:r>
            <w:proofErr w:type="spellStart"/>
            <w:r w:rsidR="00C45B90" w:rsidRPr="00C45B90">
              <w:rPr>
                <w:rFonts w:ascii="Calibri" w:hAnsi="Calibri" w:cs="Calibri"/>
                <w:strike/>
              </w:rPr>
              <w:t>microposy</w:t>
            </w:r>
            <w:proofErr w:type="spellEnd"/>
            <w:r w:rsidR="00C45B90" w:rsidRPr="00C45B90">
              <w:rPr>
                <w:rFonts w:ascii="Calibri" w:hAnsi="Calibri" w:cs="Calibri"/>
                <w:strike/>
              </w:rPr>
              <w:t xml:space="preserve"> techniques, real or virtual dissections and chemical analysis</w:t>
            </w:r>
            <w:r w:rsidR="00C45B90">
              <w:rPr>
                <w:rFonts w:ascii="Calibri" w:hAnsi="Calibri" w:cs="Calibri"/>
              </w:rPr>
              <w:t xml:space="preserve"> </w:t>
            </w:r>
            <w:r w:rsidRPr="00D400C7">
              <w:rPr>
                <w:rFonts w:ascii="Calibri" w:hAnsi="Calibri" w:cs="Calibri"/>
              </w:rPr>
              <w:t>safely, competently, ethically and methodically for the collection of valid and reliable data</w:t>
            </w:r>
          </w:p>
          <w:p w:rsidR="00F5242D" w:rsidRPr="00D400C7" w:rsidRDefault="00F5242D" w:rsidP="00C45B90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Calibri" w:hAnsi="Calibri" w:cs="Calibri"/>
              </w:rPr>
            </w:pPr>
            <w:r w:rsidRPr="00D400C7">
              <w:rPr>
                <w:rFonts w:ascii="Calibri" w:hAnsi="Calibri" w:cs="Calibri"/>
              </w:rPr>
              <w:t>represent data in meaningful and useful ways; organise and analyse data to identify trends, patterns and relationships; qualitatively describe sources of measurement error</w:t>
            </w:r>
            <w:r w:rsidR="00C45B90" w:rsidRPr="00C45B90">
              <w:rPr>
                <w:rFonts w:ascii="Calibri" w:hAnsi="Calibri" w:cs="Calibri"/>
                <w:strike/>
              </w:rPr>
              <w:t>,</w:t>
            </w:r>
            <w:r w:rsidRPr="00C45B90">
              <w:rPr>
                <w:rFonts w:ascii="Calibri" w:hAnsi="Calibri" w:cs="Calibri"/>
                <w:strike/>
              </w:rPr>
              <w:t xml:space="preserve"> </w:t>
            </w:r>
            <w:r w:rsidR="00062CC1" w:rsidRPr="00C45B90">
              <w:rPr>
                <w:rFonts w:ascii="Calibri" w:hAnsi="Calibri" w:cs="Calibri"/>
                <w:strike/>
              </w:rPr>
              <w:t>and</w:t>
            </w:r>
            <w:r w:rsidR="00062CC1" w:rsidRPr="00062CC1">
              <w:rPr>
                <w:rFonts w:ascii="Calibri" w:hAnsi="Calibri" w:cs="Calibri"/>
                <w:strike/>
              </w:rPr>
              <w:t xml:space="preserve"> uncertainty </w:t>
            </w:r>
            <w:r w:rsidRPr="00D400C7">
              <w:rPr>
                <w:rFonts w:ascii="Calibri" w:hAnsi="Calibri" w:cs="Calibri"/>
              </w:rPr>
              <w:t>and limitations in data; and select, synthesise and use evidence to make and justify conclusions</w:t>
            </w:r>
          </w:p>
          <w:p w:rsidR="00C45B90" w:rsidRDefault="00C45B90" w:rsidP="00A954AA">
            <w:pPr>
              <w:rPr>
                <w:b/>
              </w:rPr>
            </w:pPr>
          </w:p>
          <w:p w:rsidR="00F5242D" w:rsidRDefault="00F5242D" w:rsidP="00A954AA">
            <w:pPr>
              <w:rPr>
                <w:b/>
              </w:rPr>
            </w:pPr>
            <w:r w:rsidRPr="001E7691">
              <w:rPr>
                <w:b/>
              </w:rPr>
              <w:lastRenderedPageBreak/>
              <w:t>Science Understanding</w:t>
            </w:r>
          </w:p>
          <w:p w:rsidR="00F5242D" w:rsidRPr="00D400C7" w:rsidRDefault="00F5242D" w:rsidP="00A954AA">
            <w:pPr>
              <w:rPr>
                <w:b/>
              </w:rPr>
            </w:pPr>
            <w:r w:rsidRPr="00D400C7">
              <w:rPr>
                <w:b/>
              </w:rPr>
              <w:t>Multicellular organisms</w:t>
            </w:r>
          </w:p>
          <w:p w:rsidR="00F5242D" w:rsidRDefault="00F5242D" w:rsidP="00C45B90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Calibri" w:hAnsi="Calibri" w:cs="Calibri"/>
              </w:rPr>
            </w:pPr>
            <w:r w:rsidRPr="00D400C7">
              <w:rPr>
                <w:rFonts w:ascii="Calibri" w:hAnsi="Calibri" w:cs="Calibri"/>
              </w:rPr>
              <w:t xml:space="preserve">in animals, the acquisition and processing of nutrients is facilitated by the structure of the digestive system; animals may have a </w:t>
            </w:r>
            <w:proofErr w:type="spellStart"/>
            <w:r w:rsidRPr="00D400C7">
              <w:rPr>
                <w:rFonts w:ascii="Calibri" w:hAnsi="Calibri" w:cs="Calibri"/>
              </w:rPr>
              <w:t>gastrovascular</w:t>
            </w:r>
            <w:proofErr w:type="spellEnd"/>
            <w:r w:rsidRPr="00D400C7">
              <w:rPr>
                <w:rFonts w:ascii="Calibri" w:hAnsi="Calibri" w:cs="Calibri"/>
              </w:rPr>
              <w:t xml:space="preserve"> cavity</w:t>
            </w:r>
            <w:r w:rsidR="00C45B90">
              <w:rPr>
                <w:rFonts w:ascii="Calibri" w:hAnsi="Calibri" w:cs="Calibri"/>
              </w:rPr>
              <w:t xml:space="preserve"> </w:t>
            </w:r>
            <w:r w:rsidR="00C45B90" w:rsidRPr="00C45B90">
              <w:rPr>
                <w:rFonts w:ascii="Calibri" w:hAnsi="Calibri" w:cs="Calibri"/>
                <w:strike/>
              </w:rPr>
              <w:t>with one opening</w:t>
            </w:r>
            <w:r w:rsidRPr="00D400C7">
              <w:rPr>
                <w:rFonts w:ascii="Calibri" w:hAnsi="Calibri" w:cs="Calibri"/>
              </w:rPr>
              <w:t xml:space="preserve"> or a specialised alimentary canal</w:t>
            </w:r>
            <w:r w:rsidR="00C45B90">
              <w:rPr>
                <w:rFonts w:ascii="Calibri" w:hAnsi="Calibri" w:cs="Calibri"/>
              </w:rPr>
              <w:t xml:space="preserve"> </w:t>
            </w:r>
            <w:r w:rsidR="00C45B90" w:rsidRPr="00C45B90">
              <w:rPr>
                <w:rFonts w:ascii="Calibri" w:hAnsi="Calibri" w:cs="Calibri"/>
                <w:strike/>
              </w:rPr>
              <w:t>with two openings</w:t>
            </w:r>
            <w:r w:rsidRPr="00D400C7">
              <w:rPr>
                <w:rFonts w:ascii="Calibri" w:hAnsi="Calibri" w:cs="Calibri"/>
              </w:rPr>
              <w:t>; specialisation of alimentary canals is related to diet, for example, herbivores and carnivores</w:t>
            </w:r>
          </w:p>
          <w:p w:rsidR="00F5242D" w:rsidRPr="00C45B90" w:rsidRDefault="00C45B90" w:rsidP="00A954AA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Calibri" w:hAnsi="Calibri" w:cs="Calibri"/>
              </w:rPr>
            </w:pPr>
            <w:r w:rsidRPr="00C45B90">
              <w:rPr>
                <w:rFonts w:ascii="Calibri" w:hAnsi="Calibri" w:cs="Calibri"/>
                <w:i/>
              </w:rPr>
              <w:t>in animals, waste such as carbon dioxide, water, nitrogenous compounds and salts are excreted; different types of nitrogenous wastes are produced by the breakdown of proteins; most aquatic animals excrete nitrogenous wastes directly into their surroundings; terrestrial animals require specialised mechanisms</w:t>
            </w:r>
          </w:p>
          <w:p w:rsidR="00C45B90" w:rsidRPr="00062FBF" w:rsidRDefault="00C45B90" w:rsidP="00C45B90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Calibri" w:hAnsi="Calibri" w:cs="Calibri"/>
                <w:strike/>
              </w:rPr>
            </w:pPr>
            <w:r w:rsidRPr="00062FBF">
              <w:rPr>
                <w:rFonts w:ascii="Calibri" w:hAnsi="Calibri" w:cs="Calibri"/>
                <w:strike/>
              </w:rPr>
              <w:t>terrestrial Australian plants are adapted to minimise water loss in an arid environment</w:t>
            </w:r>
          </w:p>
          <w:p w:rsidR="00F5242D" w:rsidRPr="00062FBF" w:rsidRDefault="00F5242D" w:rsidP="00C45B90">
            <w:pPr>
              <w:rPr>
                <w:rFonts w:ascii="Calibri" w:hAnsi="Calibri" w:cs="Calibri"/>
                <w:i/>
              </w:rPr>
            </w:pPr>
          </w:p>
        </w:tc>
      </w:tr>
    </w:tbl>
    <w:p w:rsidR="00712BA5" w:rsidRPr="00BC5A20" w:rsidRDefault="00712BA5" w:rsidP="002252AF">
      <w:pPr>
        <w:spacing w:line="276" w:lineRule="auto"/>
      </w:pPr>
    </w:p>
    <w:sectPr w:rsidR="00712BA5" w:rsidRPr="00BC5A20" w:rsidSect="00940627">
      <w:headerReference w:type="firs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FB9" w:rsidRDefault="00B72FB9" w:rsidP="002E39FF">
      <w:pPr>
        <w:spacing w:after="0" w:line="240" w:lineRule="auto"/>
      </w:pPr>
      <w:r>
        <w:separator/>
      </w:r>
    </w:p>
  </w:endnote>
  <w:endnote w:type="continuationSeparator" w:id="0">
    <w:p w:rsidR="00B72FB9" w:rsidRDefault="00B72FB9" w:rsidP="002E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627" w:rsidRPr="00DC3BED" w:rsidRDefault="00940627" w:rsidP="00940627">
    <w:pPr>
      <w:pStyle w:val="Footer"/>
      <w:rPr>
        <w:rFonts w:cstheme="minorHAnsi"/>
        <w:sz w:val="18"/>
      </w:rPr>
    </w:pPr>
    <w:r w:rsidRPr="00DC3BED">
      <w:rPr>
        <w:rFonts w:cstheme="minorHAnsi"/>
        <w:sz w:val="18"/>
      </w:rPr>
      <w:t>CM: 2022/36684</w:t>
    </w:r>
  </w:p>
  <w:p w:rsidR="00940627" w:rsidRDefault="00940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FB9" w:rsidRDefault="00B72FB9" w:rsidP="002E39FF">
      <w:pPr>
        <w:spacing w:after="0" w:line="240" w:lineRule="auto"/>
      </w:pPr>
      <w:r>
        <w:separator/>
      </w:r>
    </w:p>
  </w:footnote>
  <w:footnote w:type="continuationSeparator" w:id="0">
    <w:p w:rsidR="00B72FB9" w:rsidRDefault="00B72FB9" w:rsidP="002E3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627" w:rsidRPr="00940627" w:rsidRDefault="00940627" w:rsidP="00940627">
    <w:pPr>
      <w:spacing w:after="0" w:line="257" w:lineRule="auto"/>
      <w:rPr>
        <w:b/>
      </w:rPr>
    </w:pPr>
    <w:r w:rsidRPr="006B3D54">
      <w:rPr>
        <w:b/>
      </w:rPr>
      <w:t xml:space="preserve">School administrators and Heads of Learning Area – </w:t>
    </w:r>
    <w:r>
      <w:rPr>
        <w:b/>
      </w:rPr>
      <w:t>Science and teachers of Biology</w:t>
    </w:r>
    <w:r w:rsidR="00463A86">
      <w:rPr>
        <w:b/>
      </w:rPr>
      <w:t xml:space="preserve"> ATAR</w:t>
    </w:r>
    <w:r>
      <w:rPr>
        <w:b/>
      </w:rPr>
      <w:t xml:space="preserve"> Year 11</w:t>
    </w:r>
    <w:r w:rsidRPr="006B3D54">
      <w:rPr>
        <w:b/>
      </w:rPr>
      <w:t xml:space="preserve"> are requested to note for 2023 the following courses that have minor syllabus changes. These syllabuses are now available on course pages and labelled as ‘For teaching from 2023’.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7E2F"/>
    <w:multiLevelType w:val="hybridMultilevel"/>
    <w:tmpl w:val="8B9E8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35EC1"/>
    <w:multiLevelType w:val="hybridMultilevel"/>
    <w:tmpl w:val="4F6E95C0"/>
    <w:lvl w:ilvl="0" w:tplc="60841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41427"/>
    <w:multiLevelType w:val="hybridMultilevel"/>
    <w:tmpl w:val="8886F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4761D"/>
    <w:multiLevelType w:val="hybridMultilevel"/>
    <w:tmpl w:val="35D0C246"/>
    <w:lvl w:ilvl="0" w:tplc="0C090005">
      <w:start w:val="1"/>
      <w:numFmt w:val="bullet"/>
      <w:lvlText w:val=""/>
      <w:lvlJc w:val="left"/>
      <w:pPr>
        <w:ind w:left="845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" w15:restartNumberingAfterBreak="0">
    <w:nsid w:val="17F662DD"/>
    <w:multiLevelType w:val="hybridMultilevel"/>
    <w:tmpl w:val="DED6515A"/>
    <w:lvl w:ilvl="0" w:tplc="6FB83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C0DC7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87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6A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2C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D27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80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6F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E8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243DDE"/>
    <w:multiLevelType w:val="hybridMultilevel"/>
    <w:tmpl w:val="40A201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636C98"/>
    <w:multiLevelType w:val="hybridMultilevel"/>
    <w:tmpl w:val="933AA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4235E"/>
    <w:multiLevelType w:val="hybridMultilevel"/>
    <w:tmpl w:val="F40C18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02C4E6">
      <w:start w:val="1"/>
      <w:numFmt w:val="bullet"/>
      <w:lvlText w:val=""/>
      <w:lvlJc w:val="left"/>
      <w:pPr>
        <w:tabs>
          <w:tab w:val="num" w:pos="680"/>
        </w:tabs>
        <w:ind w:left="680" w:hanging="323"/>
      </w:pPr>
      <w:rPr>
        <w:rFonts w:ascii="Wingdings" w:hAnsi="Wingdings" w:hint="default"/>
        <w:color w:val="auto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35729"/>
    <w:multiLevelType w:val="multilevel"/>
    <w:tmpl w:val="97F664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3C919A8"/>
    <w:multiLevelType w:val="hybridMultilevel"/>
    <w:tmpl w:val="5608E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65399E"/>
    <w:multiLevelType w:val="hybridMultilevel"/>
    <w:tmpl w:val="517677B8"/>
    <w:lvl w:ilvl="0" w:tplc="AF4C7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70491"/>
    <w:multiLevelType w:val="hybridMultilevel"/>
    <w:tmpl w:val="D2E2BB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2F01F7"/>
    <w:multiLevelType w:val="multilevel"/>
    <w:tmpl w:val="1A488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E3E34A0"/>
    <w:multiLevelType w:val="hybridMultilevel"/>
    <w:tmpl w:val="3EC20EB8"/>
    <w:lvl w:ilvl="0" w:tplc="0C090001">
      <w:start w:val="1"/>
      <w:numFmt w:val="bullet"/>
      <w:pStyle w:val="Heading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A93ACB"/>
    <w:multiLevelType w:val="hybridMultilevel"/>
    <w:tmpl w:val="68005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60565"/>
    <w:multiLevelType w:val="hybridMultilevel"/>
    <w:tmpl w:val="957AE588"/>
    <w:lvl w:ilvl="0" w:tplc="1960D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E0CE6"/>
    <w:multiLevelType w:val="hybridMultilevel"/>
    <w:tmpl w:val="EE4C7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16FEF"/>
    <w:multiLevelType w:val="multilevel"/>
    <w:tmpl w:val="EB2CB468"/>
    <w:styleLink w:val="ListBullets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7"/>
        </w:tabs>
        <w:ind w:left="907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7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7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38"/>
        </w:tabs>
        <w:ind w:left="2437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910"/>
        </w:tabs>
        <w:ind w:left="294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57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30"/>
        </w:tabs>
        <w:ind w:left="3967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40"/>
        </w:tabs>
        <w:ind w:left="4477" w:hanging="397"/>
      </w:pPr>
      <w:rPr>
        <w:rFonts w:ascii="Wingdings" w:hAnsi="Wingdings" w:hint="default"/>
      </w:rPr>
    </w:lvl>
  </w:abstractNum>
  <w:abstractNum w:abstractNumId="18" w15:restartNumberingAfterBreak="0">
    <w:nsid w:val="349D2C60"/>
    <w:multiLevelType w:val="hybridMultilevel"/>
    <w:tmpl w:val="394EE5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1156F6"/>
    <w:multiLevelType w:val="hybridMultilevel"/>
    <w:tmpl w:val="EB7466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6259B4">
      <w:start w:val="1"/>
      <w:numFmt w:val="bullet"/>
      <w:lvlText w:val=""/>
      <w:lvlJc w:val="left"/>
      <w:pPr>
        <w:tabs>
          <w:tab w:val="num" w:pos="680"/>
        </w:tabs>
        <w:ind w:left="680" w:hanging="323"/>
      </w:pPr>
      <w:rPr>
        <w:rFonts w:ascii="Wingdings" w:hAnsi="Wingdings" w:hint="default"/>
        <w:color w:val="auto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57A3E"/>
    <w:multiLevelType w:val="hybridMultilevel"/>
    <w:tmpl w:val="F40C080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2B0D436">
      <w:start w:val="1"/>
      <w:numFmt w:val="bullet"/>
      <w:lvlText w:val="o"/>
      <w:lvlJc w:val="left"/>
      <w:pPr>
        <w:ind w:left="1440" w:hanging="360"/>
      </w:pPr>
      <w:rPr>
        <w:rFonts w:ascii="Calibri" w:hAnsi="Calibri" w:hint="default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35133"/>
    <w:multiLevelType w:val="hybridMultilevel"/>
    <w:tmpl w:val="10A87664"/>
    <w:lvl w:ilvl="0" w:tplc="7714C3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75DF2"/>
    <w:multiLevelType w:val="hybridMultilevel"/>
    <w:tmpl w:val="A1000EF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6C6424"/>
    <w:multiLevelType w:val="hybridMultilevel"/>
    <w:tmpl w:val="2E862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95AEF"/>
    <w:multiLevelType w:val="hybridMultilevel"/>
    <w:tmpl w:val="05B2D7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6865AE"/>
    <w:multiLevelType w:val="hybridMultilevel"/>
    <w:tmpl w:val="8E445F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FD37ED"/>
    <w:multiLevelType w:val="hybridMultilevel"/>
    <w:tmpl w:val="79BA47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A444B9"/>
    <w:multiLevelType w:val="hybridMultilevel"/>
    <w:tmpl w:val="FE8CE9B4"/>
    <w:lvl w:ilvl="0" w:tplc="5F92F888">
      <w:start w:val="1"/>
      <w:numFmt w:val="bullet"/>
      <w:lvlText w:val=""/>
      <w:lvlJc w:val="left"/>
      <w:pPr>
        <w:tabs>
          <w:tab w:val="num" w:pos="-172"/>
        </w:tabs>
        <w:ind w:left="908" w:hanging="1194"/>
      </w:pPr>
      <w:rPr>
        <w:rFonts w:ascii="Wingdings" w:hAnsi="Wingdings" w:hint="default"/>
        <w:sz w:val="20"/>
        <w:szCs w:val="20"/>
      </w:rPr>
    </w:lvl>
    <w:lvl w:ilvl="1" w:tplc="42DECFCE">
      <w:start w:val="1"/>
      <w:numFmt w:val="bullet"/>
      <w:lvlText w:val="o"/>
      <w:lvlJc w:val="left"/>
      <w:pPr>
        <w:tabs>
          <w:tab w:val="num" w:pos="1041"/>
        </w:tabs>
        <w:ind w:left="1041" w:hanging="360"/>
      </w:pPr>
      <w:rPr>
        <w:rFonts w:ascii="Calibri" w:hAnsi="Calibri" w:cs="Courier New" w:hint="default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1761"/>
        </w:tabs>
        <w:ind w:left="176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481"/>
        </w:tabs>
        <w:ind w:left="248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01"/>
        </w:tabs>
        <w:ind w:left="320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21"/>
        </w:tabs>
        <w:ind w:left="392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41"/>
        </w:tabs>
        <w:ind w:left="464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361"/>
        </w:tabs>
        <w:ind w:left="536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081"/>
        </w:tabs>
        <w:ind w:left="6081" w:hanging="360"/>
      </w:pPr>
      <w:rPr>
        <w:rFonts w:ascii="Wingdings" w:hAnsi="Wingdings" w:hint="default"/>
      </w:rPr>
    </w:lvl>
  </w:abstractNum>
  <w:abstractNum w:abstractNumId="28" w15:restartNumberingAfterBreak="0">
    <w:nsid w:val="53604D9C"/>
    <w:multiLevelType w:val="hybridMultilevel"/>
    <w:tmpl w:val="AB988A44"/>
    <w:lvl w:ilvl="0" w:tplc="C9541D5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D9EE2728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3067C"/>
    <w:multiLevelType w:val="hybridMultilevel"/>
    <w:tmpl w:val="EFE0F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92369"/>
    <w:multiLevelType w:val="multilevel"/>
    <w:tmpl w:val="8690A25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907"/>
        </w:tabs>
        <w:ind w:left="907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7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7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38"/>
        </w:tabs>
        <w:ind w:left="2437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910"/>
        </w:tabs>
        <w:ind w:left="294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57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30"/>
        </w:tabs>
        <w:ind w:left="3967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40"/>
        </w:tabs>
        <w:ind w:left="4477" w:hanging="397"/>
      </w:pPr>
      <w:rPr>
        <w:rFonts w:ascii="Wingdings" w:hAnsi="Wingdings" w:hint="default"/>
      </w:rPr>
    </w:lvl>
  </w:abstractNum>
  <w:abstractNum w:abstractNumId="31" w15:restartNumberingAfterBreak="0">
    <w:nsid w:val="690E0B26"/>
    <w:multiLevelType w:val="hybridMultilevel"/>
    <w:tmpl w:val="ADCCF202"/>
    <w:lvl w:ilvl="0" w:tplc="C9541D5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CDC829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F2513"/>
    <w:multiLevelType w:val="hybridMultilevel"/>
    <w:tmpl w:val="FD8A498C"/>
    <w:lvl w:ilvl="0" w:tplc="FA541E30">
      <w:start w:val="1"/>
      <w:numFmt w:val="bullet"/>
      <w:pStyle w:val="ListItem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3C6371"/>
    <w:multiLevelType w:val="hybridMultilevel"/>
    <w:tmpl w:val="64243CF0"/>
    <w:lvl w:ilvl="0" w:tplc="2C90F6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D4CA0"/>
    <w:multiLevelType w:val="hybridMultilevel"/>
    <w:tmpl w:val="110693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F651F7"/>
    <w:multiLevelType w:val="hybridMultilevel"/>
    <w:tmpl w:val="49B883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3"/>
  </w:num>
  <w:num w:numId="5">
    <w:abstractNumId w:val="32"/>
  </w:num>
  <w:num w:numId="6">
    <w:abstractNumId w:val="11"/>
  </w:num>
  <w:num w:numId="7">
    <w:abstractNumId w:val="4"/>
  </w:num>
  <w:num w:numId="8">
    <w:abstractNumId w:val="29"/>
  </w:num>
  <w:num w:numId="9">
    <w:abstractNumId w:val="17"/>
  </w:num>
  <w:num w:numId="10">
    <w:abstractNumId w:val="31"/>
  </w:num>
  <w:num w:numId="11">
    <w:abstractNumId w:val="1"/>
  </w:num>
  <w:num w:numId="12">
    <w:abstractNumId w:val="28"/>
  </w:num>
  <w:num w:numId="13">
    <w:abstractNumId w:val="16"/>
  </w:num>
  <w:num w:numId="14">
    <w:abstractNumId w:val="10"/>
  </w:num>
  <w:num w:numId="15">
    <w:abstractNumId w:val="0"/>
  </w:num>
  <w:num w:numId="16">
    <w:abstractNumId w:val="2"/>
  </w:num>
  <w:num w:numId="17">
    <w:abstractNumId w:val="7"/>
  </w:num>
  <w:num w:numId="18">
    <w:abstractNumId w:val="9"/>
  </w:num>
  <w:num w:numId="19">
    <w:abstractNumId w:val="18"/>
  </w:num>
  <w:num w:numId="20">
    <w:abstractNumId w:val="26"/>
  </w:num>
  <w:num w:numId="21">
    <w:abstractNumId w:val="19"/>
  </w:num>
  <w:num w:numId="22">
    <w:abstractNumId w:val="30"/>
  </w:num>
  <w:num w:numId="23">
    <w:abstractNumId w:val="15"/>
  </w:num>
  <w:num w:numId="24">
    <w:abstractNumId w:val="27"/>
  </w:num>
  <w:num w:numId="25">
    <w:abstractNumId w:val="20"/>
  </w:num>
  <w:num w:numId="26">
    <w:abstractNumId w:val="23"/>
  </w:num>
  <w:num w:numId="27">
    <w:abstractNumId w:val="22"/>
  </w:num>
  <w:num w:numId="28">
    <w:abstractNumId w:val="13"/>
  </w:num>
  <w:num w:numId="29">
    <w:abstractNumId w:val="33"/>
  </w:num>
  <w:num w:numId="30">
    <w:abstractNumId w:val="25"/>
  </w:num>
  <w:num w:numId="31">
    <w:abstractNumId w:val="34"/>
  </w:num>
  <w:num w:numId="32">
    <w:abstractNumId w:val="14"/>
  </w:num>
  <w:num w:numId="33">
    <w:abstractNumId w:val="35"/>
  </w:num>
  <w:num w:numId="34">
    <w:abstractNumId w:val="6"/>
  </w:num>
  <w:num w:numId="35">
    <w:abstractNumId w:val="21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BF"/>
    <w:rsid w:val="00062CC1"/>
    <w:rsid w:val="00062FBF"/>
    <w:rsid w:val="000650EF"/>
    <w:rsid w:val="001C5A16"/>
    <w:rsid w:val="001F7298"/>
    <w:rsid w:val="002100BD"/>
    <w:rsid w:val="002214D0"/>
    <w:rsid w:val="002252AF"/>
    <w:rsid w:val="0024461E"/>
    <w:rsid w:val="00281A31"/>
    <w:rsid w:val="002E39FF"/>
    <w:rsid w:val="00351823"/>
    <w:rsid w:val="00355F5A"/>
    <w:rsid w:val="00360C97"/>
    <w:rsid w:val="00376354"/>
    <w:rsid w:val="003913BD"/>
    <w:rsid w:val="003B0B51"/>
    <w:rsid w:val="003C7D40"/>
    <w:rsid w:val="003D3AE0"/>
    <w:rsid w:val="00442A47"/>
    <w:rsid w:val="00463A86"/>
    <w:rsid w:val="0048741C"/>
    <w:rsid w:val="004D4551"/>
    <w:rsid w:val="006951BF"/>
    <w:rsid w:val="00712BA5"/>
    <w:rsid w:val="007131BF"/>
    <w:rsid w:val="007A1778"/>
    <w:rsid w:val="008B6C4D"/>
    <w:rsid w:val="008C14A1"/>
    <w:rsid w:val="00924226"/>
    <w:rsid w:val="00924B1C"/>
    <w:rsid w:val="009365C7"/>
    <w:rsid w:val="00940627"/>
    <w:rsid w:val="00A314F4"/>
    <w:rsid w:val="00A32E0B"/>
    <w:rsid w:val="00A4204D"/>
    <w:rsid w:val="00AC410E"/>
    <w:rsid w:val="00AD7D8D"/>
    <w:rsid w:val="00AE24E8"/>
    <w:rsid w:val="00AF5A52"/>
    <w:rsid w:val="00B72FB9"/>
    <w:rsid w:val="00BB05A7"/>
    <w:rsid w:val="00BC5A20"/>
    <w:rsid w:val="00C45B90"/>
    <w:rsid w:val="00C64978"/>
    <w:rsid w:val="00C91AD0"/>
    <w:rsid w:val="00D33EFB"/>
    <w:rsid w:val="00DC3BED"/>
    <w:rsid w:val="00DE55E0"/>
    <w:rsid w:val="00E07415"/>
    <w:rsid w:val="00E10C94"/>
    <w:rsid w:val="00E8571A"/>
    <w:rsid w:val="00F5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E24F4-FB99-4CCC-96B9-4F1AE50A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1BF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24226"/>
    <w:pPr>
      <w:keepNext/>
      <w:keepLines/>
      <w:numPr>
        <w:numId w:val="28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5A16"/>
    <w:pPr>
      <w:spacing w:before="240" w:after="60" w:line="264" w:lineRule="auto"/>
      <w:outlineLvl w:val="2"/>
    </w:pPr>
    <w:rPr>
      <w:rFonts w:ascii="Calibri" w:eastAsiaTheme="minorEastAsia" w:hAnsi="Calibri" w:cs="Times New Roman"/>
      <w:b/>
      <w:bCs/>
      <w:color w:val="595959" w:themeColor="text1" w:themeTint="A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1B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1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bullet">
    <w:name w:val="csbullet"/>
    <w:basedOn w:val="Normal"/>
    <w:rsid w:val="00AF5A52"/>
    <w:pPr>
      <w:tabs>
        <w:tab w:val="left" w:pos="-851"/>
      </w:tabs>
      <w:spacing w:before="120" w:after="120" w:line="280" w:lineRule="exact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365C7"/>
    <w:pPr>
      <w:ind w:left="720"/>
      <w:contextualSpacing/>
    </w:pPr>
  </w:style>
  <w:style w:type="paragraph" w:customStyle="1" w:styleId="Default">
    <w:name w:val="Default"/>
    <w:rsid w:val="00E857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List-Accent4">
    <w:name w:val="Light List Accent 4"/>
    <w:aliases w:val="Syllabus tables"/>
    <w:basedOn w:val="TableNormal"/>
    <w:uiPriority w:val="61"/>
    <w:rsid w:val="00AE24E8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paragraph" w:customStyle="1" w:styleId="Annotations">
    <w:name w:val="Annotations"/>
    <w:basedOn w:val="Normal"/>
    <w:link w:val="AnnotationsChar"/>
    <w:autoRedefine/>
    <w:qFormat/>
    <w:rsid w:val="000650EF"/>
    <w:pPr>
      <w:spacing w:after="200" w:line="276" w:lineRule="auto"/>
    </w:pPr>
    <w:rPr>
      <w:rFonts w:ascii="Calibri" w:hAnsi="Calibri"/>
      <w:sz w:val="18"/>
    </w:rPr>
  </w:style>
  <w:style w:type="character" w:customStyle="1" w:styleId="AnnotationsChar">
    <w:name w:val="Annotations Char"/>
    <w:basedOn w:val="DefaultParagraphFont"/>
    <w:link w:val="Annotations"/>
    <w:rsid w:val="000650EF"/>
    <w:rPr>
      <w:rFonts w:ascii="Calibri" w:hAnsi="Calibri"/>
      <w:sz w:val="18"/>
    </w:rPr>
  </w:style>
  <w:style w:type="paragraph" w:customStyle="1" w:styleId="ListItem">
    <w:name w:val="List Item"/>
    <w:basedOn w:val="Normal"/>
    <w:link w:val="ListItemChar"/>
    <w:qFormat/>
    <w:rsid w:val="000650EF"/>
    <w:pPr>
      <w:numPr>
        <w:numId w:val="5"/>
      </w:numPr>
      <w:spacing w:before="120" w:after="120" w:line="276" w:lineRule="auto"/>
    </w:pPr>
    <w:rPr>
      <w:rFonts w:ascii="Calibri" w:hAnsi="Calibri" w:cs="Calibri"/>
      <w:iCs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DE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3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2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5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C5A16"/>
    <w:rPr>
      <w:rFonts w:ascii="Calibri" w:eastAsiaTheme="minorEastAsia" w:hAnsi="Calibri" w:cs="Times New Roman"/>
      <w:b/>
      <w:bCs/>
      <w:color w:val="595959" w:themeColor="text1" w:themeTint="A6"/>
      <w:sz w:val="26"/>
      <w:szCs w:val="26"/>
    </w:rPr>
  </w:style>
  <w:style w:type="character" w:customStyle="1" w:styleId="ParagraphChar">
    <w:name w:val="Paragraph Char"/>
    <w:basedOn w:val="DefaultParagraphFont"/>
    <w:link w:val="Paragraph"/>
    <w:locked/>
    <w:rsid w:val="001C5A16"/>
    <w:rPr>
      <w:rFonts w:ascii="Calibri" w:hAnsi="Calibri" w:cs="Calibri"/>
      <w:lang w:eastAsia="en-AU"/>
    </w:rPr>
  </w:style>
  <w:style w:type="paragraph" w:customStyle="1" w:styleId="Paragraph">
    <w:name w:val="Paragraph"/>
    <w:basedOn w:val="Normal"/>
    <w:link w:val="ParagraphChar"/>
    <w:qFormat/>
    <w:rsid w:val="001C5A16"/>
    <w:pPr>
      <w:spacing w:before="120" w:after="120" w:line="276" w:lineRule="auto"/>
    </w:pPr>
    <w:rPr>
      <w:rFonts w:ascii="Calibri" w:hAnsi="Calibri" w:cs="Calibri"/>
      <w:lang w:eastAsia="en-AU"/>
    </w:rPr>
  </w:style>
  <w:style w:type="table" w:customStyle="1" w:styleId="TableGrid5">
    <w:name w:val="Table Grid5"/>
    <w:basedOn w:val="TableNormal"/>
    <w:next w:val="TableGrid"/>
    <w:uiPriority w:val="59"/>
    <w:rsid w:val="001C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yllabustables1">
    <w:name w:val="Syllabus tables1"/>
    <w:basedOn w:val="TableNormal"/>
    <w:next w:val="LightList-Accent4"/>
    <w:uiPriority w:val="61"/>
    <w:rsid w:val="001C5A16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table" w:customStyle="1" w:styleId="TableGrid6">
    <w:name w:val="Table Grid6"/>
    <w:basedOn w:val="TableNormal"/>
    <w:next w:val="TableGrid"/>
    <w:uiPriority w:val="59"/>
    <w:rsid w:val="008B6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ItemChar">
    <w:name w:val="List Item Char"/>
    <w:basedOn w:val="DefaultParagraphFont"/>
    <w:link w:val="ListItem"/>
    <w:rsid w:val="008B6C4D"/>
    <w:rPr>
      <w:rFonts w:ascii="Calibri" w:hAnsi="Calibri" w:cs="Calibri"/>
      <w:iCs/>
      <w:lang w:eastAsia="en-AU"/>
    </w:rPr>
  </w:style>
  <w:style w:type="table" w:customStyle="1" w:styleId="TableGrid7">
    <w:name w:val="Table Grid7"/>
    <w:basedOn w:val="TableNormal"/>
    <w:next w:val="TableGrid"/>
    <w:uiPriority w:val="39"/>
    <w:rsid w:val="0092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21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Bullets">
    <w:name w:val="ListBullets"/>
    <w:uiPriority w:val="99"/>
    <w:rsid w:val="003913BD"/>
    <w:pPr>
      <w:numPr>
        <w:numId w:val="9"/>
      </w:numPr>
    </w:pPr>
  </w:style>
  <w:style w:type="table" w:customStyle="1" w:styleId="TableGrid9">
    <w:name w:val="Table Grid9"/>
    <w:basedOn w:val="TableNormal"/>
    <w:next w:val="TableGrid"/>
    <w:uiPriority w:val="39"/>
    <w:rsid w:val="003C7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E0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5182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242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Bullet">
    <w:name w:val="List Bullet"/>
    <w:basedOn w:val="Normal"/>
    <w:uiPriority w:val="99"/>
    <w:unhideWhenUsed/>
    <w:qFormat/>
    <w:rsid w:val="00924226"/>
    <w:pPr>
      <w:spacing w:after="120" w:line="264" w:lineRule="auto"/>
      <w:ind w:left="1080" w:hanging="360"/>
      <w:contextualSpacing/>
    </w:pPr>
    <w:rPr>
      <w:rFonts w:ascii="Calibri" w:eastAsiaTheme="minorEastAsia" w:hAnsi="Calibri"/>
    </w:rPr>
  </w:style>
  <w:style w:type="paragraph" w:styleId="Header">
    <w:name w:val="header"/>
    <w:basedOn w:val="Normal"/>
    <w:link w:val="HeaderChar"/>
    <w:uiPriority w:val="99"/>
    <w:unhideWhenUsed/>
    <w:rsid w:val="002E3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9FF"/>
  </w:style>
  <w:style w:type="paragraph" w:styleId="Footer">
    <w:name w:val="footer"/>
    <w:basedOn w:val="Normal"/>
    <w:link w:val="FooterChar"/>
    <w:uiPriority w:val="99"/>
    <w:unhideWhenUsed/>
    <w:rsid w:val="002E3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2645</Characters>
  <Application>Microsoft Office Word</Application>
  <DocSecurity>0</DocSecurity>
  <Lines>60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Jordana Halden</dc:creator>
  <cp:keywords/>
  <dc:description/>
  <cp:lastModifiedBy>Jordana Halden</cp:lastModifiedBy>
  <cp:revision>2</cp:revision>
  <dcterms:created xsi:type="dcterms:W3CDTF">2022-08-15T05:52:00Z</dcterms:created>
  <dcterms:modified xsi:type="dcterms:W3CDTF">2022-08-15T05:52:00Z</dcterms:modified>
</cp:coreProperties>
</file>