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82CD" w14:textId="230487F8" w:rsidR="003D3ED7" w:rsidRPr="00D76E6F" w:rsidRDefault="001D1CE6" w:rsidP="004E45EE">
      <w:pPr>
        <w:spacing w:after="120" w:line="276" w:lineRule="auto"/>
      </w:pPr>
      <w:r w:rsidRPr="00D76E6F">
        <w:rPr>
          <w:b/>
        </w:rPr>
        <w:t xml:space="preserve">Mathematics </w:t>
      </w:r>
      <w:r w:rsidR="00272F4C" w:rsidRPr="00D76E6F">
        <w:rPr>
          <w:b/>
        </w:rPr>
        <w:t>Applications</w:t>
      </w:r>
      <w:r w:rsidRPr="00D76E6F">
        <w:rPr>
          <w:b/>
        </w:rPr>
        <w:t xml:space="preserve"> | ATAR Year 1</w:t>
      </w:r>
      <w:r w:rsidR="006754A1" w:rsidRPr="00D76E6F">
        <w:rPr>
          <w:b/>
        </w:rPr>
        <w:t>1</w:t>
      </w:r>
      <w:r w:rsidRPr="00D76E6F">
        <w:rPr>
          <w:b/>
        </w:rPr>
        <w:t xml:space="preserve"> | </w:t>
      </w:r>
      <w:r w:rsidRPr="00D76E6F">
        <w:rPr>
          <w:rFonts w:cstheme="minorHAnsi"/>
          <w:b/>
        </w:rPr>
        <w:t>Summary of minor syllabus changes for 202</w:t>
      </w:r>
      <w:r w:rsidR="006754A1" w:rsidRPr="00D76E6F">
        <w:rPr>
          <w:rFonts w:cstheme="minorHAnsi"/>
          <w:b/>
        </w:rPr>
        <w:t>5</w:t>
      </w:r>
    </w:p>
    <w:p w14:paraId="629E9754" w14:textId="17BC072B" w:rsidR="001D1CE6" w:rsidRPr="00D76E6F" w:rsidRDefault="001D1CE6" w:rsidP="004E45EE">
      <w:pPr>
        <w:tabs>
          <w:tab w:val="left" w:pos="360"/>
        </w:tabs>
        <w:spacing w:after="120" w:line="276" w:lineRule="auto"/>
      </w:pPr>
      <w:r w:rsidRPr="00D76E6F">
        <w:t xml:space="preserve">The content identified by </w:t>
      </w:r>
      <w:r w:rsidRPr="00D76E6F">
        <w:rPr>
          <w:strike/>
        </w:rPr>
        <w:t>strikethrough</w:t>
      </w:r>
      <w:r w:rsidRPr="00D76E6F">
        <w:t xml:space="preserve"> has been deleted from the syllabus.</w:t>
      </w:r>
      <w:r w:rsidR="00905BF9" w:rsidRPr="00D76E6F">
        <w:t xml:space="preserve"> The content </w:t>
      </w:r>
      <w:r w:rsidR="008441F8" w:rsidRPr="00D76E6F">
        <w:t xml:space="preserve">in italics </w:t>
      </w:r>
      <w:r w:rsidR="00905BF9" w:rsidRPr="00D76E6F">
        <w:t>has been included.</w:t>
      </w:r>
    </w:p>
    <w:p w14:paraId="7090E100" w14:textId="3A4B9ECC" w:rsidR="000B17BF" w:rsidRPr="00D76E6F" w:rsidRDefault="000B17BF" w:rsidP="004E45EE">
      <w:pPr>
        <w:pStyle w:val="ContentDescription"/>
        <w:numPr>
          <w:ilvl w:val="0"/>
          <w:numId w:val="0"/>
        </w:numPr>
        <w:ind w:left="709" w:hanging="709"/>
        <w:rPr>
          <w:rFonts w:ascii="Calibri" w:hAnsi="Calibri"/>
        </w:rPr>
      </w:pPr>
      <w:r w:rsidRPr="00D76E6F">
        <w:rPr>
          <w:rFonts w:ascii="Calibri" w:hAnsi="Calibri"/>
        </w:rPr>
        <w:t>2.1.4</w:t>
      </w:r>
      <w:r w:rsidRPr="00D76E6F">
        <w:rPr>
          <w:rFonts w:ascii="Calibri" w:hAnsi="Calibri"/>
        </w:rPr>
        <w:tab/>
        <w:t>with the aid of an appropriate graphical display (chosen from dot plot, stem plot, bar chart or histogram), describe the distribution of a numerical data set in terms of modality (</w:t>
      </w:r>
      <w:proofErr w:type="spellStart"/>
      <w:r w:rsidRPr="00D76E6F">
        <w:rPr>
          <w:rFonts w:ascii="Calibri" w:hAnsi="Calibri"/>
        </w:rPr>
        <w:t>uni</w:t>
      </w:r>
      <w:proofErr w:type="spellEnd"/>
      <w:r w:rsidRPr="00D76E6F">
        <w:rPr>
          <w:rFonts w:ascii="Calibri" w:hAnsi="Calibri"/>
        </w:rPr>
        <w:t xml:space="preserve"> or multimodal), shape (symmetric versus positively or negatively skewed), location</w:t>
      </w:r>
      <w:r w:rsidR="008441F8" w:rsidRPr="00D76E6F">
        <w:rPr>
          <w:rFonts w:ascii="Calibri" w:hAnsi="Calibri"/>
        </w:rPr>
        <w:t>,</w:t>
      </w:r>
      <w:r w:rsidRPr="00D76E6F">
        <w:rPr>
          <w:rFonts w:ascii="Calibri" w:hAnsi="Calibri"/>
        </w:rPr>
        <w:t xml:space="preserve"> </w:t>
      </w:r>
      <w:r w:rsidRPr="00D76E6F">
        <w:rPr>
          <w:rFonts w:ascii="Calibri" w:hAnsi="Calibri"/>
          <w:strike/>
        </w:rPr>
        <w:t>and</w:t>
      </w:r>
      <w:r w:rsidRPr="00D76E6F">
        <w:rPr>
          <w:rFonts w:ascii="Calibri" w:hAnsi="Calibri"/>
        </w:rPr>
        <w:t xml:space="preserve"> spread and outliers, and interpret this information in the context of the data</w:t>
      </w:r>
    </w:p>
    <w:p w14:paraId="71585B19" w14:textId="388ECF0B" w:rsidR="008441F8" w:rsidRPr="00D76E6F" w:rsidRDefault="008441F8" w:rsidP="004E45EE">
      <w:pPr>
        <w:pStyle w:val="ContentDescription"/>
        <w:numPr>
          <w:ilvl w:val="0"/>
          <w:numId w:val="0"/>
        </w:numPr>
        <w:ind w:left="709" w:hanging="709"/>
        <w:rPr>
          <w:rFonts w:ascii="Calibri" w:hAnsi="Calibri"/>
        </w:rPr>
      </w:pPr>
      <w:r w:rsidRPr="00D76E6F">
        <w:rPr>
          <w:rFonts w:ascii="Calibri" w:hAnsi="Calibri"/>
        </w:rPr>
        <w:t>2.1.5</w:t>
      </w:r>
      <w:r w:rsidRPr="00D76E6F">
        <w:rPr>
          <w:rFonts w:ascii="Calibri" w:hAnsi="Calibri"/>
        </w:rPr>
        <w:tab/>
        <w:t xml:space="preserve">determine the mean and standard deviation of a data set using technology and </w:t>
      </w:r>
      <w:r w:rsidRPr="00D76E6F">
        <w:rPr>
          <w:rFonts w:ascii="Calibri" w:hAnsi="Calibri"/>
          <w:i/>
          <w:iCs w:val="0"/>
        </w:rPr>
        <w:t>interpret</w:t>
      </w:r>
      <w:r w:rsidRPr="00D76E6F">
        <w:rPr>
          <w:rFonts w:ascii="Calibri" w:hAnsi="Calibri"/>
        </w:rPr>
        <w:t xml:space="preserve"> </w:t>
      </w:r>
      <w:r w:rsidRPr="00D76E6F">
        <w:rPr>
          <w:rFonts w:ascii="Calibri" w:hAnsi="Calibri"/>
          <w:strike/>
        </w:rPr>
        <w:t xml:space="preserve">use </w:t>
      </w:r>
      <w:r w:rsidRPr="00D76E6F">
        <w:rPr>
          <w:rFonts w:ascii="Calibri" w:hAnsi="Calibri"/>
        </w:rPr>
        <w:t>these statistics as measures of location and spread of a data distribution, being aware of their limitations</w:t>
      </w:r>
    </w:p>
    <w:p w14:paraId="7B8DFF09" w14:textId="21849FD1" w:rsidR="008441F8" w:rsidRPr="00D76E6F" w:rsidRDefault="008441F8" w:rsidP="004E45EE">
      <w:pPr>
        <w:pStyle w:val="ContentDescription"/>
        <w:numPr>
          <w:ilvl w:val="0"/>
          <w:numId w:val="0"/>
        </w:numPr>
        <w:ind w:left="709" w:hanging="709"/>
        <w:rPr>
          <w:rFonts w:ascii="Calibri" w:hAnsi="Calibri"/>
        </w:rPr>
      </w:pPr>
      <w:r w:rsidRPr="00D76E6F">
        <w:rPr>
          <w:rFonts w:ascii="Calibri" w:hAnsi="Calibri"/>
        </w:rPr>
        <w:t>2.1.11</w:t>
      </w:r>
      <w:r w:rsidRPr="00D76E6F">
        <w:rPr>
          <w:rFonts w:ascii="Calibri" w:hAnsi="Calibri"/>
        </w:rPr>
        <w:tab/>
        <w:t xml:space="preserve">compare groups </w:t>
      </w:r>
      <w:r w:rsidRPr="00D76E6F">
        <w:rPr>
          <w:rFonts w:ascii="Calibri" w:hAnsi="Calibri"/>
          <w:i/>
          <w:iCs w:val="0"/>
        </w:rPr>
        <w:t>within</w:t>
      </w:r>
      <w:r w:rsidRPr="00D76E6F">
        <w:rPr>
          <w:rFonts w:ascii="Calibri" w:hAnsi="Calibri"/>
        </w:rPr>
        <w:t xml:space="preserve"> </w:t>
      </w:r>
      <w:r w:rsidRPr="00D76E6F">
        <w:rPr>
          <w:rFonts w:ascii="Calibri" w:hAnsi="Calibri"/>
          <w:strike/>
        </w:rPr>
        <w:t>on</w:t>
      </w:r>
      <w:r w:rsidRPr="00D76E6F">
        <w:rPr>
          <w:rFonts w:ascii="Calibri" w:hAnsi="Calibri"/>
        </w:rPr>
        <w:t xml:space="preserve"> a single numerical variable using medians, means, IQRs, ranges or standard deviations, </w:t>
      </w:r>
      <w:r w:rsidRPr="00D76E6F">
        <w:rPr>
          <w:rFonts w:ascii="Calibri" w:hAnsi="Calibri"/>
          <w:strike/>
        </w:rPr>
        <w:t xml:space="preserve">and </w:t>
      </w:r>
      <w:r w:rsidRPr="00D76E6F">
        <w:rPr>
          <w:rFonts w:ascii="Calibri" w:hAnsi="Calibri"/>
        </w:rPr>
        <w:t>as appropriate; interpret the differences observed in the context of the data and report the findings in a systematic and concise manner</w:t>
      </w:r>
    </w:p>
    <w:p w14:paraId="167B569D" w14:textId="3C27F73F" w:rsidR="00905BF9" w:rsidRPr="00D76E6F" w:rsidRDefault="00905BF9" w:rsidP="004E45EE">
      <w:pPr>
        <w:pStyle w:val="Default"/>
        <w:spacing w:before="120" w:after="120" w:line="276" w:lineRule="auto"/>
        <w:ind w:left="709" w:hanging="709"/>
        <w:rPr>
          <w:rFonts w:cstheme="minorHAnsi"/>
          <w:color w:val="auto"/>
          <w:sz w:val="22"/>
          <w:szCs w:val="22"/>
        </w:rPr>
      </w:pPr>
      <w:bookmarkStart w:id="0" w:name="_Hlk169092191"/>
      <w:r w:rsidRPr="00D76E6F">
        <w:rPr>
          <w:rFonts w:cstheme="minorHAnsi"/>
          <w:color w:val="auto"/>
          <w:sz w:val="22"/>
          <w:szCs w:val="22"/>
        </w:rPr>
        <w:t>2.3.2</w:t>
      </w:r>
      <w:r w:rsidRPr="00D76E6F">
        <w:rPr>
          <w:rFonts w:cstheme="minorHAnsi"/>
          <w:color w:val="auto"/>
          <w:sz w:val="22"/>
          <w:szCs w:val="22"/>
        </w:rPr>
        <w:tab/>
        <w:t>develop a linear</w:t>
      </w:r>
      <w:r w:rsidR="008441F8" w:rsidRPr="00D76E6F">
        <w:rPr>
          <w:rFonts w:cstheme="minorHAnsi"/>
          <w:color w:val="auto"/>
          <w:sz w:val="22"/>
          <w:szCs w:val="22"/>
        </w:rPr>
        <w:t xml:space="preserve"> </w:t>
      </w:r>
      <w:r w:rsidR="008441F8" w:rsidRPr="00D76E6F">
        <w:rPr>
          <w:rFonts w:cstheme="minorHAnsi"/>
          <w:strike/>
          <w:color w:val="auto"/>
          <w:sz w:val="22"/>
          <w:szCs w:val="22"/>
        </w:rPr>
        <w:t>formula</w:t>
      </w:r>
      <w:r w:rsidRPr="00D76E6F">
        <w:rPr>
          <w:rFonts w:cstheme="minorHAnsi"/>
          <w:color w:val="auto"/>
          <w:sz w:val="22"/>
          <w:szCs w:val="22"/>
        </w:rPr>
        <w:t xml:space="preserve"> </w:t>
      </w:r>
      <w:r w:rsidRPr="00D76E6F">
        <w:rPr>
          <w:rFonts w:cstheme="minorHAnsi"/>
          <w:i/>
          <w:iCs/>
          <w:color w:val="auto"/>
          <w:sz w:val="22"/>
          <w:szCs w:val="22"/>
        </w:rPr>
        <w:t>equation</w:t>
      </w:r>
      <w:r w:rsidRPr="00D76E6F">
        <w:rPr>
          <w:rFonts w:cstheme="minorHAnsi"/>
          <w:color w:val="auto"/>
          <w:sz w:val="22"/>
          <w:szCs w:val="22"/>
        </w:rPr>
        <w:t xml:space="preserve"> from a word description</w:t>
      </w:r>
      <w:r w:rsidRPr="00D76E6F">
        <w:rPr>
          <w:rFonts w:cstheme="minorHAnsi"/>
          <w:i/>
          <w:iCs/>
          <w:color w:val="auto"/>
          <w:sz w:val="22"/>
          <w:szCs w:val="22"/>
        </w:rPr>
        <w:t>,</w:t>
      </w:r>
      <w:r w:rsidR="00060011" w:rsidRPr="00D76E6F">
        <w:rPr>
          <w:rFonts w:cstheme="minorHAnsi"/>
          <w:color w:val="auto"/>
          <w:sz w:val="22"/>
          <w:szCs w:val="22"/>
        </w:rPr>
        <w:t xml:space="preserve"> </w:t>
      </w:r>
      <w:r w:rsidR="00060011" w:rsidRPr="00D76E6F">
        <w:rPr>
          <w:rFonts w:cstheme="minorHAnsi"/>
          <w:strike/>
          <w:color w:val="auto"/>
          <w:sz w:val="22"/>
          <w:szCs w:val="22"/>
        </w:rPr>
        <w:t>and</w:t>
      </w:r>
      <w:r w:rsidR="00060011" w:rsidRPr="00D76E6F">
        <w:rPr>
          <w:rFonts w:cstheme="minorHAnsi"/>
          <w:color w:val="auto"/>
          <w:sz w:val="22"/>
          <w:szCs w:val="22"/>
        </w:rPr>
        <w:t xml:space="preserve"> solve the </w:t>
      </w:r>
      <w:r w:rsidR="00060011" w:rsidRPr="00D76E6F">
        <w:rPr>
          <w:rFonts w:cstheme="minorHAnsi"/>
          <w:strike/>
          <w:color w:val="auto"/>
          <w:sz w:val="22"/>
          <w:szCs w:val="22"/>
        </w:rPr>
        <w:t>resulting</w:t>
      </w:r>
      <w:r w:rsidR="00060011" w:rsidRPr="00D76E6F">
        <w:rPr>
          <w:rFonts w:cstheme="minorHAnsi"/>
          <w:color w:val="auto"/>
          <w:sz w:val="22"/>
          <w:szCs w:val="22"/>
        </w:rPr>
        <w:t xml:space="preserve"> equation </w:t>
      </w:r>
      <w:r w:rsidR="00060011" w:rsidRPr="00D76E6F">
        <w:rPr>
          <w:rFonts w:cstheme="minorHAnsi"/>
          <w:i/>
          <w:iCs/>
          <w:color w:val="auto"/>
          <w:sz w:val="22"/>
          <w:szCs w:val="22"/>
        </w:rPr>
        <w:t>a</w:t>
      </w:r>
      <w:r w:rsidRPr="00D76E6F">
        <w:rPr>
          <w:rFonts w:cstheme="minorHAnsi"/>
          <w:i/>
          <w:iCs/>
          <w:color w:val="auto"/>
          <w:sz w:val="22"/>
          <w:szCs w:val="22"/>
        </w:rPr>
        <w:t>nd interpret the result</w:t>
      </w:r>
      <w:bookmarkEnd w:id="0"/>
    </w:p>
    <w:p w14:paraId="40D8C3C1" w14:textId="2C09FEA9" w:rsidR="00905BF9" w:rsidRPr="00D76E6F" w:rsidRDefault="00905BF9" w:rsidP="004E45EE">
      <w:pPr>
        <w:pStyle w:val="Default"/>
        <w:spacing w:before="120" w:after="120" w:line="276" w:lineRule="auto"/>
        <w:ind w:left="709" w:hanging="709"/>
        <w:rPr>
          <w:rFonts w:cstheme="minorHAnsi"/>
          <w:color w:val="auto"/>
          <w:sz w:val="22"/>
          <w:szCs w:val="22"/>
        </w:rPr>
      </w:pPr>
      <w:r w:rsidRPr="00D76E6F">
        <w:rPr>
          <w:rFonts w:cstheme="minorHAnsi"/>
          <w:color w:val="auto"/>
          <w:sz w:val="22"/>
          <w:szCs w:val="22"/>
        </w:rPr>
        <w:t>2.3.6</w:t>
      </w:r>
      <w:r w:rsidRPr="00D76E6F">
        <w:rPr>
          <w:rFonts w:cstheme="minorHAnsi"/>
          <w:color w:val="auto"/>
          <w:sz w:val="22"/>
          <w:szCs w:val="22"/>
        </w:rPr>
        <w:tab/>
        <w:t>interpret, in context, the slope and intercept</w:t>
      </w:r>
      <w:r w:rsidRPr="00D76E6F">
        <w:rPr>
          <w:rFonts w:cstheme="minorHAnsi"/>
          <w:i/>
          <w:iCs/>
          <w:color w:val="auto"/>
          <w:sz w:val="22"/>
          <w:szCs w:val="22"/>
        </w:rPr>
        <w:t>s</w:t>
      </w:r>
      <w:r w:rsidRPr="00D76E6F">
        <w:rPr>
          <w:rFonts w:cstheme="minorHAnsi"/>
          <w:color w:val="auto"/>
          <w:sz w:val="22"/>
          <w:szCs w:val="22"/>
        </w:rPr>
        <w:t xml:space="preserve"> of a straight-line graph used to model and analyse a practical situation </w:t>
      </w:r>
    </w:p>
    <w:p w14:paraId="0380AFAD" w14:textId="5CC3EDB9" w:rsidR="00486B20" w:rsidRPr="00D76E6F" w:rsidRDefault="000B17BF" w:rsidP="004E45EE">
      <w:pPr>
        <w:tabs>
          <w:tab w:val="left" w:pos="360"/>
        </w:tabs>
        <w:spacing w:after="120" w:line="276" w:lineRule="auto"/>
        <w:rPr>
          <w:b/>
          <w:bCs/>
        </w:rPr>
      </w:pPr>
      <w:r w:rsidRPr="00D76E6F">
        <w:rPr>
          <w:b/>
          <w:bCs/>
        </w:rPr>
        <w:t>Assessment table-Year 11</w:t>
      </w:r>
    </w:p>
    <w:tbl>
      <w:tblPr>
        <w:tblStyle w:val="SyllabusTable"/>
        <w:tblW w:w="5000" w:type="pct"/>
        <w:tblLayout w:type="fixed"/>
        <w:tblLook w:val="00A0" w:firstRow="1" w:lastRow="0" w:firstColumn="1" w:lastColumn="0" w:noHBand="0" w:noVBand="0"/>
      </w:tblPr>
      <w:tblGrid>
        <w:gridCol w:w="7653"/>
        <w:gridCol w:w="1407"/>
      </w:tblGrid>
      <w:tr w:rsidR="00D76E6F" w:rsidRPr="00D76E6F" w14:paraId="70F5DFDC" w14:textId="77777777" w:rsidTr="00C55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45" w:type="dxa"/>
          </w:tcPr>
          <w:p w14:paraId="73030046" w14:textId="77777777" w:rsidR="000B17BF" w:rsidRPr="00F84BEE" w:rsidRDefault="000B17BF" w:rsidP="004E45EE">
            <w:r w:rsidRPr="00F84BEE">
              <w:t>Type of assessment</w:t>
            </w:r>
          </w:p>
        </w:tc>
        <w:tc>
          <w:tcPr>
            <w:tcW w:w="1405" w:type="dxa"/>
          </w:tcPr>
          <w:p w14:paraId="552E6C19" w14:textId="77777777" w:rsidR="000B17BF" w:rsidRPr="00F84BEE" w:rsidRDefault="000B17BF" w:rsidP="004E45EE">
            <w:pPr>
              <w:jc w:val="center"/>
            </w:pPr>
            <w:r w:rsidRPr="00F84BEE">
              <w:t>Weighting</w:t>
            </w:r>
          </w:p>
        </w:tc>
      </w:tr>
      <w:tr w:rsidR="00D76E6F" w:rsidRPr="00D76E6F" w14:paraId="3CECEB3E" w14:textId="77777777" w:rsidTr="00CF7FCD">
        <w:tc>
          <w:tcPr>
            <w:tcW w:w="7645" w:type="dxa"/>
          </w:tcPr>
          <w:p w14:paraId="2399E087" w14:textId="77777777" w:rsidR="000B17BF" w:rsidRPr="00C553F3" w:rsidRDefault="000B17BF" w:rsidP="004E45EE">
            <w:pPr>
              <w:rPr>
                <w:b/>
                <w:bCs/>
                <w:szCs w:val="20"/>
              </w:rPr>
            </w:pPr>
            <w:r w:rsidRPr="00C553F3">
              <w:rPr>
                <w:b/>
                <w:bCs/>
                <w:szCs w:val="20"/>
              </w:rPr>
              <w:t xml:space="preserve">Response </w:t>
            </w:r>
          </w:p>
          <w:p w14:paraId="758BBD52" w14:textId="3725CC58" w:rsidR="000B17BF" w:rsidRPr="00D76E6F" w:rsidRDefault="000B17BF" w:rsidP="004E45EE">
            <w:pPr>
              <w:spacing w:after="120"/>
              <w:rPr>
                <w:bCs/>
                <w:strike/>
                <w:szCs w:val="20"/>
              </w:rPr>
            </w:pPr>
            <w:r w:rsidRPr="00D76E6F">
              <w:rPr>
                <w:strike/>
                <w:szCs w:val="20"/>
              </w:rPr>
              <w:t xml:space="preserve">Students respond using knowledge of mathematical facts, concepts and terminology, applying problem-solving skills and algorithms. Response tasks can </w:t>
            </w:r>
            <w:proofErr w:type="gramStart"/>
            <w:r w:rsidRPr="00D76E6F">
              <w:rPr>
                <w:strike/>
                <w:szCs w:val="20"/>
              </w:rPr>
              <w:t>include:</w:t>
            </w:r>
            <w:proofErr w:type="gramEnd"/>
            <w:r w:rsidRPr="00D76E6F">
              <w:rPr>
                <w:strike/>
                <w:szCs w:val="20"/>
              </w:rPr>
              <w:t xml:space="preserve"> tests, assignments, quizzes and observation checklists. Tests are administered under controlled and timed conditions.</w:t>
            </w:r>
          </w:p>
          <w:p w14:paraId="61475A35" w14:textId="19156865" w:rsidR="000B17BF" w:rsidRPr="00D76E6F" w:rsidRDefault="000B17BF" w:rsidP="00CD2D66">
            <w:pPr>
              <w:tabs>
                <w:tab w:val="left" w:pos="360"/>
              </w:tabs>
              <w:rPr>
                <w:i/>
                <w:iCs/>
                <w:szCs w:val="20"/>
              </w:rPr>
            </w:pPr>
            <w:r w:rsidRPr="00D76E6F">
              <w:rPr>
                <w:i/>
                <w:iCs/>
                <w:szCs w:val="20"/>
              </w:rPr>
              <w:t xml:space="preserve">Students apply mathematical knowledge and understanding of concepts and relationships, to solve a mix of routine and non-routine questions in practical contexts. Response tasks can </w:t>
            </w:r>
            <w:proofErr w:type="gramStart"/>
            <w:r w:rsidRPr="00D76E6F">
              <w:rPr>
                <w:i/>
                <w:iCs/>
                <w:szCs w:val="20"/>
              </w:rPr>
              <w:t>include:</w:t>
            </w:r>
            <w:proofErr w:type="gramEnd"/>
            <w:r w:rsidRPr="00D76E6F">
              <w:rPr>
                <w:i/>
                <w:iCs/>
                <w:szCs w:val="20"/>
              </w:rPr>
              <w:t xml:space="preserve"> tests, assignments and multimedia representations. </w:t>
            </w:r>
          </w:p>
        </w:tc>
        <w:tc>
          <w:tcPr>
            <w:tcW w:w="1405" w:type="dxa"/>
            <w:vAlign w:val="center"/>
          </w:tcPr>
          <w:p w14:paraId="095C81D1" w14:textId="77777777" w:rsidR="000B17BF" w:rsidRPr="00D76E6F" w:rsidRDefault="000B17BF" w:rsidP="00CF7FCD">
            <w:pPr>
              <w:jc w:val="center"/>
              <w:rPr>
                <w:szCs w:val="20"/>
              </w:rPr>
            </w:pPr>
            <w:r w:rsidRPr="00D76E6F">
              <w:rPr>
                <w:rFonts w:cstheme="minorHAnsi"/>
                <w:szCs w:val="20"/>
              </w:rPr>
              <w:t>40%</w:t>
            </w:r>
          </w:p>
        </w:tc>
      </w:tr>
    </w:tbl>
    <w:p w14:paraId="0FE3EE39" w14:textId="3D872803" w:rsidR="000B17BF" w:rsidRPr="00D76E6F" w:rsidRDefault="00FF7437" w:rsidP="004E45EE">
      <w:pPr>
        <w:tabs>
          <w:tab w:val="left" w:pos="360"/>
        </w:tabs>
        <w:spacing w:before="120" w:after="120" w:line="276" w:lineRule="auto"/>
        <w:rPr>
          <w:rFonts w:ascii="Calibri" w:hAnsi="Calibri"/>
        </w:rPr>
      </w:pPr>
      <w:r w:rsidRPr="00D76E6F">
        <w:rPr>
          <w:rFonts w:ascii="Calibri" w:hAnsi="Calibri"/>
        </w:rPr>
        <w:t xml:space="preserve">Note: </w:t>
      </w:r>
      <w:r w:rsidR="008441F8" w:rsidRPr="00D76E6F">
        <w:rPr>
          <w:rFonts w:ascii="Calibri" w:hAnsi="Calibri"/>
        </w:rPr>
        <w:t xml:space="preserve">Appendix 1 - </w:t>
      </w:r>
      <w:r w:rsidR="000B17BF" w:rsidRPr="00D76E6F">
        <w:rPr>
          <w:rFonts w:ascii="Calibri" w:hAnsi="Calibri"/>
        </w:rPr>
        <w:t xml:space="preserve">Grade </w:t>
      </w:r>
      <w:r w:rsidR="008441F8" w:rsidRPr="00D76E6F">
        <w:rPr>
          <w:rFonts w:ascii="Calibri" w:hAnsi="Calibri"/>
        </w:rPr>
        <w:t>d</w:t>
      </w:r>
      <w:r w:rsidR="000B17BF" w:rsidRPr="00D76E6F">
        <w:rPr>
          <w:rFonts w:ascii="Calibri" w:hAnsi="Calibri"/>
        </w:rPr>
        <w:t xml:space="preserve">escriptions </w:t>
      </w:r>
      <w:r w:rsidR="008441F8" w:rsidRPr="00D76E6F">
        <w:rPr>
          <w:rFonts w:ascii="Calibri" w:hAnsi="Calibri"/>
        </w:rPr>
        <w:t xml:space="preserve">Year 11 </w:t>
      </w:r>
      <w:r w:rsidR="000B17BF" w:rsidRPr="00D76E6F">
        <w:rPr>
          <w:rFonts w:ascii="Calibri" w:hAnsi="Calibri"/>
        </w:rPr>
        <w:t>have been reworded to improve clarity with no change in standard</w:t>
      </w:r>
      <w:r w:rsidR="008441F8" w:rsidRPr="00D76E6F">
        <w:rPr>
          <w:rFonts w:ascii="Calibri" w:hAnsi="Calibri"/>
        </w:rPr>
        <w:t>.</w:t>
      </w:r>
    </w:p>
    <w:sectPr w:rsidR="000B17BF" w:rsidRPr="00D76E6F" w:rsidSect="004E45EE">
      <w:headerReference w:type="default" r:id="rId7"/>
      <w:footerReference w:type="default" r:id="rId8"/>
      <w:pgSz w:w="11906" w:h="16838"/>
      <w:pgMar w:top="1644" w:right="1418" w:bottom="1276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FD29" w14:textId="77777777" w:rsidR="00202BEB" w:rsidRDefault="00202BEB" w:rsidP="00A720A0">
      <w:r>
        <w:separator/>
      </w:r>
    </w:p>
  </w:endnote>
  <w:endnote w:type="continuationSeparator" w:id="0">
    <w:p w14:paraId="118852CE" w14:textId="77777777" w:rsidR="00202BEB" w:rsidRDefault="00202BEB" w:rsidP="00A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67A7" w14:textId="730370DB" w:rsidR="00A720A0" w:rsidRPr="00A720A0" w:rsidRDefault="00A720A0">
    <w:pPr>
      <w:pStyle w:val="Footer"/>
      <w:rPr>
        <w:sz w:val="18"/>
        <w:szCs w:val="18"/>
      </w:rPr>
    </w:pPr>
    <w:r w:rsidRPr="00A720A0">
      <w:rPr>
        <w:sz w:val="18"/>
        <w:szCs w:val="18"/>
      </w:rPr>
      <w:t>202</w:t>
    </w:r>
    <w:r w:rsidR="00ED4B31">
      <w:rPr>
        <w:sz w:val="18"/>
        <w:szCs w:val="18"/>
      </w:rPr>
      <w:t>4</w:t>
    </w:r>
    <w:r w:rsidRPr="00A720A0">
      <w:rPr>
        <w:sz w:val="18"/>
        <w:szCs w:val="18"/>
      </w:rPr>
      <w:t>/</w:t>
    </w:r>
    <w:r w:rsidR="00ED4B31">
      <w:rPr>
        <w:sz w:val="18"/>
        <w:szCs w:val="18"/>
      </w:rPr>
      <w:t>42036</w:t>
    </w:r>
    <w:r w:rsidR="004E45EE">
      <w:rPr>
        <w:sz w:val="18"/>
        <w:szCs w:val="18"/>
      </w:rPr>
      <w:t>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68AB3" w14:textId="77777777" w:rsidR="00202BEB" w:rsidRDefault="00202BEB" w:rsidP="00A720A0">
      <w:r>
        <w:separator/>
      </w:r>
    </w:p>
  </w:footnote>
  <w:footnote w:type="continuationSeparator" w:id="0">
    <w:p w14:paraId="26AF1089" w14:textId="77777777" w:rsidR="00202BEB" w:rsidRDefault="00202BEB" w:rsidP="00A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4B06" w14:textId="17591084" w:rsidR="00A720A0" w:rsidRPr="00A720A0" w:rsidRDefault="00A720A0" w:rsidP="004E45EE">
    <w:pPr>
      <w:spacing w:after="240" w:line="276" w:lineRule="auto"/>
      <w:rPr>
        <w:b/>
      </w:rPr>
    </w:pPr>
    <w:r w:rsidRPr="00871FC2">
      <w:rPr>
        <w:b/>
      </w:rPr>
      <w:t xml:space="preserve">School administrators, Heads of Learning Area – </w:t>
    </w:r>
    <w:r>
      <w:rPr>
        <w:b/>
      </w:rPr>
      <w:t>Mathematics</w:t>
    </w:r>
    <w:r w:rsidRPr="00871FC2">
      <w:rPr>
        <w:b/>
      </w:rPr>
      <w:t xml:space="preserve"> and teachers of </w:t>
    </w:r>
    <w:r>
      <w:rPr>
        <w:b/>
      </w:rPr>
      <w:t xml:space="preserve">Mathematics </w:t>
    </w:r>
    <w:r w:rsidR="006754A1">
      <w:rPr>
        <w:b/>
      </w:rPr>
      <w:t>Applications</w:t>
    </w:r>
    <w:r>
      <w:rPr>
        <w:b/>
      </w:rPr>
      <w:t xml:space="preserve"> ATAR</w:t>
    </w:r>
    <w:r w:rsidRPr="00871FC2">
      <w:rPr>
        <w:b/>
      </w:rPr>
      <w:t xml:space="preserve"> </w:t>
    </w:r>
    <w:r>
      <w:rPr>
        <w:b/>
      </w:rPr>
      <w:t>Year 1</w:t>
    </w:r>
    <w:r w:rsidR="006754A1">
      <w:rPr>
        <w:b/>
      </w:rPr>
      <w:t>1</w:t>
    </w:r>
    <w:r>
      <w:rPr>
        <w:b/>
      </w:rPr>
      <w:t xml:space="preserve"> </w:t>
    </w:r>
    <w:r w:rsidRPr="00871FC2">
      <w:rPr>
        <w:b/>
      </w:rPr>
      <w:t>are requested to note for 202</w:t>
    </w:r>
    <w:r w:rsidR="006754A1">
      <w:rPr>
        <w:b/>
      </w:rPr>
      <w:t>5</w:t>
    </w:r>
    <w:r w:rsidRPr="00871FC2">
      <w:rPr>
        <w:b/>
      </w:rPr>
      <w:t xml:space="preserve"> the following minor syllabus changes. The syllabus is labelled as ‘For teaching from 202</w:t>
    </w:r>
    <w:r w:rsidR="006754A1">
      <w:rPr>
        <w:b/>
      </w:rPr>
      <w:t>5</w:t>
    </w:r>
    <w:r w:rsidRPr="00871FC2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B860E41"/>
    <w:multiLevelType w:val="hybridMultilevel"/>
    <w:tmpl w:val="66C87B1A"/>
    <w:lvl w:ilvl="0" w:tplc="2DB6F6EC">
      <w:start w:val="1"/>
      <w:numFmt w:val="bullet"/>
      <w:pStyle w:val="ContentDescrip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10904">
    <w:abstractNumId w:val="0"/>
  </w:num>
  <w:num w:numId="2" w16cid:durableId="209532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D7"/>
    <w:rsid w:val="0005097E"/>
    <w:rsid w:val="00060011"/>
    <w:rsid w:val="000818D5"/>
    <w:rsid w:val="000960DD"/>
    <w:rsid w:val="000B17BF"/>
    <w:rsid w:val="001464C2"/>
    <w:rsid w:val="00174B25"/>
    <w:rsid w:val="001B1F40"/>
    <w:rsid w:val="001B4BB2"/>
    <w:rsid w:val="001D1CE6"/>
    <w:rsid w:val="00202BEB"/>
    <w:rsid w:val="00272F4C"/>
    <w:rsid w:val="00281A7E"/>
    <w:rsid w:val="002B2EAC"/>
    <w:rsid w:val="002D74DA"/>
    <w:rsid w:val="002F6372"/>
    <w:rsid w:val="003153D1"/>
    <w:rsid w:val="003C62C7"/>
    <w:rsid w:val="003D3ED7"/>
    <w:rsid w:val="003E2D84"/>
    <w:rsid w:val="004775F1"/>
    <w:rsid w:val="00486B20"/>
    <w:rsid w:val="004E45EE"/>
    <w:rsid w:val="00593EF6"/>
    <w:rsid w:val="005A0780"/>
    <w:rsid w:val="00600E6E"/>
    <w:rsid w:val="006641C2"/>
    <w:rsid w:val="006754A1"/>
    <w:rsid w:val="006E12D1"/>
    <w:rsid w:val="007075C0"/>
    <w:rsid w:val="00793AFB"/>
    <w:rsid w:val="007C21BC"/>
    <w:rsid w:val="007F28CE"/>
    <w:rsid w:val="008441F8"/>
    <w:rsid w:val="008806AB"/>
    <w:rsid w:val="00885C14"/>
    <w:rsid w:val="00897F0A"/>
    <w:rsid w:val="00905BF9"/>
    <w:rsid w:val="0099388B"/>
    <w:rsid w:val="009976E7"/>
    <w:rsid w:val="009A25DD"/>
    <w:rsid w:val="009D77B3"/>
    <w:rsid w:val="00A720A0"/>
    <w:rsid w:val="00B216E2"/>
    <w:rsid w:val="00B50B9E"/>
    <w:rsid w:val="00B72552"/>
    <w:rsid w:val="00C553F3"/>
    <w:rsid w:val="00C723BB"/>
    <w:rsid w:val="00C86F32"/>
    <w:rsid w:val="00CD2D66"/>
    <w:rsid w:val="00CD5471"/>
    <w:rsid w:val="00CF7FCD"/>
    <w:rsid w:val="00D01B48"/>
    <w:rsid w:val="00D45AEC"/>
    <w:rsid w:val="00D76E6F"/>
    <w:rsid w:val="00DA1455"/>
    <w:rsid w:val="00E12ACD"/>
    <w:rsid w:val="00E223E4"/>
    <w:rsid w:val="00E80C0F"/>
    <w:rsid w:val="00EA3C47"/>
    <w:rsid w:val="00ED4B31"/>
    <w:rsid w:val="00F370B0"/>
    <w:rsid w:val="00F84BEE"/>
    <w:rsid w:val="00FD7C39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9DBF7"/>
  <w15:chartTrackingRefBased/>
  <w15:docId w15:val="{01543544-7216-41F8-8E52-7728FC6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D7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D3E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0A0"/>
  </w:style>
  <w:style w:type="paragraph" w:styleId="Footer">
    <w:name w:val="footer"/>
    <w:basedOn w:val="Normal"/>
    <w:link w:val="Foot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0A0"/>
  </w:style>
  <w:style w:type="paragraph" w:customStyle="1" w:styleId="ContentDescription">
    <w:name w:val="Content Description"/>
    <w:basedOn w:val="Normal"/>
    <w:qFormat/>
    <w:rsid w:val="00486B20"/>
    <w:pPr>
      <w:numPr>
        <w:numId w:val="2"/>
      </w:numPr>
      <w:spacing w:before="120" w:after="120" w:line="276" w:lineRule="auto"/>
    </w:pPr>
    <w:rPr>
      <w:rFonts w:eastAsia="Times New Roman" w:cs="Arial"/>
      <w:iCs/>
      <w:lang w:eastAsia="en-AU"/>
    </w:rPr>
  </w:style>
  <w:style w:type="table" w:styleId="LightList-Accent4">
    <w:name w:val="Light List Accent 4"/>
    <w:aliases w:val="Syllabus tables"/>
    <w:basedOn w:val="TableNormal"/>
    <w:uiPriority w:val="61"/>
    <w:rsid w:val="00EA3C47"/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SyllabusHeading2">
    <w:name w:val="Syllabus Heading 2"/>
    <w:basedOn w:val="Normal"/>
    <w:qFormat/>
    <w:rsid w:val="00EA3C47"/>
    <w:pPr>
      <w:spacing w:before="240" w:after="120" w:line="276" w:lineRule="auto"/>
      <w:outlineLvl w:val="1"/>
    </w:pPr>
    <w:rPr>
      <w:rFonts w:ascii="Calibri" w:eastAsiaTheme="minorEastAsia" w:hAnsi="Calibri"/>
      <w:b/>
      <w:color w:val="595959" w:themeColor="text1" w:themeTint="A6"/>
      <w:sz w:val="32"/>
    </w:rPr>
  </w:style>
  <w:style w:type="paragraph" w:styleId="Revision">
    <w:name w:val="Revision"/>
    <w:hidden/>
    <w:uiPriority w:val="99"/>
    <w:semiHidden/>
    <w:rsid w:val="00D76E6F"/>
  </w:style>
  <w:style w:type="table" w:customStyle="1" w:styleId="SyllabusTable">
    <w:name w:val="Syllabus Table"/>
    <w:basedOn w:val="TableNormal"/>
    <w:uiPriority w:val="99"/>
    <w:rsid w:val="00C553F3"/>
    <w:pPr>
      <w:spacing w:line="276" w:lineRule="auto"/>
    </w:pPr>
    <w:rPr>
      <w:rFonts w:ascii="Calibri" w:eastAsiaTheme="minorEastAsia" w:hAnsi="Calibri"/>
      <w:sz w:val="20"/>
    </w:rPr>
    <w:tblPr>
      <w:tblBorders>
        <w:top w:val="single" w:sz="4" w:space="0" w:color="9983B5"/>
        <w:left w:val="single" w:sz="4" w:space="0" w:color="9983B5"/>
        <w:bottom w:val="single" w:sz="4" w:space="0" w:color="9983B5"/>
        <w:right w:val="single" w:sz="4" w:space="0" w:color="9983B5"/>
        <w:insideH w:val="single" w:sz="4" w:space="0" w:color="9983B5"/>
        <w:insideV w:val="single" w:sz="4" w:space="0" w:color="9983B5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9983B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Hudson</dc:creator>
  <cp:keywords/>
  <dc:description/>
  <cp:lastModifiedBy>Jenna Khor</cp:lastModifiedBy>
  <cp:revision>23</cp:revision>
  <dcterms:created xsi:type="dcterms:W3CDTF">2023-07-03T07:52:00Z</dcterms:created>
  <dcterms:modified xsi:type="dcterms:W3CDTF">2024-07-18T07:56:00Z</dcterms:modified>
</cp:coreProperties>
</file>