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70E8" w:rsidRPr="00A71521" w:rsidRDefault="00D770E8" w:rsidP="00D770E8">
      <w:pPr>
        <w:keepNext/>
        <w:spacing w:before="3500"/>
        <w:jc w:val="center"/>
        <w:outlineLvl w:val="0"/>
        <w:rPr>
          <w:rFonts w:ascii="Franklin Gothic Book" w:hAnsi="Franklin Gothic Book"/>
          <w:b/>
          <w:smallCaps/>
          <w:color w:val="9688BE"/>
          <w:sz w:val="36"/>
          <w:szCs w:val="36"/>
          <w:lang w:eastAsia="x-none"/>
        </w:rPr>
      </w:pPr>
      <w:r w:rsidRPr="00891E0F">
        <w:rPr>
          <w:rFonts w:ascii="Franklin Gothic Medium" w:hAnsi="Franklin Gothic Medium"/>
          <w:smallCaps/>
          <w:noProof/>
          <w:color w:val="463969"/>
          <w:sz w:val="52"/>
          <w:szCs w:val="52"/>
          <w:lang w:val="en-GB" w:eastAsia="en-GB"/>
        </w:rPr>
        <w:drawing>
          <wp:anchor distT="0" distB="0" distL="114300" distR="114300" simplePos="0" relativeHeight="251659264" behindDoc="1" locked="1" layoutInCell="1" allowOverlap="1" wp14:anchorId="46933DED" wp14:editId="19BB92A1">
            <wp:simplePos x="0" y="0"/>
            <wp:positionH relativeFrom="column">
              <wp:posOffset>-6048375</wp:posOffset>
            </wp:positionH>
            <wp:positionV relativeFrom="paragraph">
              <wp:posOffset>415925</wp:posOffset>
            </wp:positionV>
            <wp:extent cx="11631295" cy="9121775"/>
            <wp:effectExtent l="0" t="0" r="0" b="0"/>
            <wp:wrapNone/>
            <wp:docPr id="35" name="Picture 35"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 Outline</w:t>
      </w:r>
    </w:p>
    <w:p w:rsidR="00D770E8" w:rsidRDefault="00D770E8" w:rsidP="00D770E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Chemistry</w:t>
      </w:r>
    </w:p>
    <w:p w:rsidR="00D770E8" w:rsidRPr="00891E0F" w:rsidRDefault="00D770E8" w:rsidP="00D770E8">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 xml:space="preserve">ATAR Year </w:t>
      </w:r>
      <w:r w:rsidRPr="00891E0F">
        <w:rPr>
          <w:rFonts w:ascii="Franklin Gothic Medium" w:hAnsi="Franklin Gothic Medium"/>
          <w:smallCaps/>
          <w:color w:val="5F497A"/>
          <w:sz w:val="28"/>
          <w:szCs w:val="28"/>
          <w:lang w:eastAsia="x-none"/>
        </w:rPr>
        <w:t>11</w:t>
      </w:r>
    </w:p>
    <w:p w:rsidR="00D770E8" w:rsidRPr="00891E0F" w:rsidRDefault="00D770E8" w:rsidP="00D770E8">
      <w:pPr>
        <w:spacing w:before="10000" w:after="80" w:line="264" w:lineRule="auto"/>
        <w:jc w:val="both"/>
        <w:rPr>
          <w:b/>
          <w:sz w:val="16"/>
        </w:rPr>
      </w:pPr>
    </w:p>
    <w:p w:rsidR="00D770E8" w:rsidRPr="00891E0F" w:rsidRDefault="00D770E8" w:rsidP="00D770E8">
      <w:pPr>
        <w:spacing w:before="10000" w:after="80" w:line="264" w:lineRule="auto"/>
        <w:ind w:right="68"/>
        <w:jc w:val="both"/>
        <w:rPr>
          <w:rFonts w:ascii="Calibri" w:hAnsi="Calibri"/>
          <w:b/>
          <w:sz w:val="16"/>
        </w:rPr>
      </w:pPr>
      <w:r w:rsidRPr="00891E0F">
        <w:rPr>
          <w:rFonts w:ascii="Calibri" w:hAnsi="Calibri"/>
          <w:b/>
          <w:sz w:val="16"/>
        </w:rPr>
        <w:t>Copyright</w:t>
      </w:r>
    </w:p>
    <w:p w:rsidR="00D770E8" w:rsidRPr="00891E0F" w:rsidRDefault="00D770E8" w:rsidP="00D770E8">
      <w:pPr>
        <w:spacing w:after="80" w:line="264" w:lineRule="auto"/>
        <w:ind w:right="-46"/>
        <w:jc w:val="both"/>
        <w:rPr>
          <w:rFonts w:ascii="Calibri" w:hAnsi="Calibri"/>
          <w:sz w:val="16"/>
        </w:rPr>
      </w:pPr>
      <w:r w:rsidRPr="00891E0F">
        <w:rPr>
          <w:rFonts w:ascii="Calibri" w:hAnsi="Calibri"/>
          <w:sz w:val="16"/>
        </w:rPr>
        <w:t>© School Curriculum and Standards Authority, 2014</w:t>
      </w:r>
    </w:p>
    <w:p w:rsidR="00D770E8" w:rsidRPr="00891E0F" w:rsidRDefault="00D770E8" w:rsidP="00D770E8">
      <w:pPr>
        <w:spacing w:after="80" w:line="264" w:lineRule="auto"/>
        <w:ind w:right="-46"/>
        <w:jc w:val="both"/>
        <w:rPr>
          <w:rFonts w:ascii="Calibri" w:hAnsi="Calibri"/>
          <w:sz w:val="16"/>
        </w:rPr>
      </w:pPr>
      <w:r w:rsidRPr="00891E0F">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D770E8" w:rsidRPr="00891E0F" w:rsidRDefault="00D770E8" w:rsidP="00D770E8">
      <w:pPr>
        <w:spacing w:after="80" w:line="264" w:lineRule="auto"/>
        <w:ind w:right="-46"/>
        <w:jc w:val="both"/>
        <w:rPr>
          <w:rFonts w:ascii="Calibri" w:hAnsi="Calibri"/>
          <w:sz w:val="16"/>
        </w:rPr>
      </w:pPr>
      <w:r w:rsidRPr="00891E0F">
        <w:rPr>
          <w:rFonts w:ascii="Calibri" w:hAnsi="Calibri"/>
          <w:sz w:val="16"/>
        </w:rPr>
        <w:t xml:space="preserve">Copying or communication for any other purpose can be done only within the terms of the </w:t>
      </w:r>
      <w:r w:rsidRPr="00891E0F">
        <w:rPr>
          <w:rFonts w:ascii="Calibri" w:hAnsi="Calibri"/>
          <w:i/>
          <w:iCs/>
          <w:sz w:val="16"/>
        </w:rPr>
        <w:t>Copyright Act 1968</w:t>
      </w:r>
      <w:r w:rsidRPr="00891E0F">
        <w:rPr>
          <w:rFonts w:ascii="Calibri" w:hAnsi="Calibri"/>
          <w:sz w:val="16"/>
        </w:rPr>
        <w:t xml:space="preserve"> or with prior written permission of the School Curriculum and Standards Authority. Copying or communication of any third party copyright material can be done only within the terms of the </w:t>
      </w:r>
      <w:r w:rsidRPr="00891E0F">
        <w:rPr>
          <w:rFonts w:ascii="Calibri" w:hAnsi="Calibri"/>
          <w:i/>
          <w:iCs/>
          <w:sz w:val="16"/>
        </w:rPr>
        <w:t>Copyright Act 1968</w:t>
      </w:r>
      <w:r w:rsidRPr="00891E0F">
        <w:rPr>
          <w:rFonts w:ascii="Calibri" w:hAnsi="Calibri"/>
          <w:sz w:val="16"/>
        </w:rPr>
        <w:t xml:space="preserve"> or with permission of the copyright owners.</w:t>
      </w:r>
    </w:p>
    <w:p w:rsidR="00D770E8" w:rsidRPr="00891E0F" w:rsidRDefault="00D770E8" w:rsidP="00D770E8">
      <w:pPr>
        <w:spacing w:after="80" w:line="264" w:lineRule="auto"/>
        <w:ind w:right="-46"/>
        <w:jc w:val="both"/>
        <w:rPr>
          <w:rFonts w:ascii="Calibri" w:hAnsi="Calibri"/>
          <w:sz w:val="16"/>
        </w:rPr>
      </w:pPr>
      <w:r w:rsidRPr="00891E0F">
        <w:rPr>
          <w:rFonts w:ascii="Calibri" w:hAnsi="Calibri"/>
          <w:sz w:val="16"/>
        </w:rPr>
        <w:t xml:space="preserve">Any content in this document that has been derived from the Australian Curriculum may be used under the terms of the </w:t>
      </w:r>
      <w:hyperlink r:id="rId8" w:history="1">
        <w:r w:rsidRPr="00891E0F">
          <w:rPr>
            <w:rFonts w:ascii="Calibri" w:hAnsi="Calibri" w:cs="Arial"/>
            <w:color w:val="3333CC"/>
            <w:sz w:val="16"/>
            <w:szCs w:val="16"/>
            <w:u w:val="single"/>
          </w:rPr>
          <w:t>Creative Commons Attribution-NonCommercial 3.0 Australia licence</w:t>
        </w:r>
      </w:hyperlink>
    </w:p>
    <w:p w:rsidR="00D770E8" w:rsidRPr="00891E0F" w:rsidRDefault="00D770E8" w:rsidP="00D770E8">
      <w:pPr>
        <w:spacing w:after="80" w:line="264" w:lineRule="auto"/>
        <w:ind w:right="-46"/>
        <w:jc w:val="both"/>
        <w:rPr>
          <w:rFonts w:ascii="Calibri" w:hAnsi="Calibri"/>
          <w:b/>
          <w:sz w:val="16"/>
        </w:rPr>
      </w:pPr>
      <w:r w:rsidRPr="00891E0F">
        <w:rPr>
          <w:rFonts w:ascii="Calibri" w:hAnsi="Calibri"/>
          <w:b/>
          <w:sz w:val="16"/>
        </w:rPr>
        <w:t>Disclaimer</w:t>
      </w:r>
    </w:p>
    <w:p w:rsidR="00D770E8" w:rsidRPr="00891E0F" w:rsidRDefault="00D770E8" w:rsidP="00D770E8">
      <w:pPr>
        <w:spacing w:line="264" w:lineRule="auto"/>
        <w:ind w:right="-46"/>
        <w:jc w:val="both"/>
        <w:rPr>
          <w:rFonts w:ascii="Calibri" w:hAnsi="Calibri"/>
          <w:sz w:val="16"/>
        </w:rPr>
      </w:pPr>
      <w:r w:rsidRPr="00891E0F">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D770E8" w:rsidRPr="00891E0F" w:rsidRDefault="00D770E8" w:rsidP="00D770E8">
      <w:pPr>
        <w:spacing w:line="264" w:lineRule="auto"/>
        <w:ind w:right="68"/>
        <w:jc w:val="both"/>
        <w:rPr>
          <w:rFonts w:ascii="Calibri" w:hAnsi="Calibri"/>
          <w:sz w:val="16"/>
        </w:rPr>
        <w:sectPr w:rsidR="00D770E8" w:rsidRPr="00891E0F" w:rsidSect="00C63D25">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D770E8" w:rsidRPr="00D770E8" w:rsidRDefault="00D770E8" w:rsidP="00D770E8">
      <w:pPr>
        <w:spacing w:after="80" w:line="276" w:lineRule="auto"/>
        <w:outlineLvl w:val="0"/>
        <w:rPr>
          <w:rFonts w:ascii="Franklin Gothic Book" w:eastAsia="MS Mincho" w:hAnsi="Franklin Gothic Book" w:cs="Calibri"/>
          <w:color w:val="342568"/>
          <w:sz w:val="28"/>
          <w:szCs w:val="28"/>
          <w:lang w:val="en-GB" w:eastAsia="ja-JP"/>
        </w:rPr>
      </w:pPr>
      <w:r w:rsidRPr="00D770E8">
        <w:rPr>
          <w:rFonts w:ascii="Franklin Gothic Book" w:eastAsia="MS Mincho" w:hAnsi="Franklin Gothic Book" w:cs="Calibri"/>
          <w:color w:val="342568"/>
          <w:sz w:val="28"/>
          <w:szCs w:val="28"/>
          <w:lang w:val="en-GB" w:eastAsia="ja-JP"/>
        </w:rPr>
        <w:lastRenderedPageBreak/>
        <w:t>Sample course outline</w:t>
      </w:r>
    </w:p>
    <w:p w:rsidR="00D770E8" w:rsidRPr="00D770E8" w:rsidRDefault="00D770E8" w:rsidP="00D770E8">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Chemistry – ATAR Year 11</w:t>
      </w:r>
    </w:p>
    <w:p w:rsidR="008E03C1" w:rsidRDefault="00D770E8" w:rsidP="00315B1A">
      <w:pPr>
        <w:spacing w:before="120" w:after="120" w:line="276" w:lineRule="auto"/>
        <w:outlineLvl w:val="1"/>
        <w:rPr>
          <w:rFonts w:ascii="Franklin Gothic Book" w:eastAsia="MS Mincho" w:hAnsi="Franklin Gothic Book" w:cs="Calibri"/>
          <w:color w:val="342568"/>
          <w:lang w:val="en-GB" w:eastAsia="ja-JP"/>
        </w:rPr>
      </w:pPr>
      <w:r w:rsidRPr="00D770E8">
        <w:rPr>
          <w:rFonts w:ascii="Franklin Gothic Book" w:eastAsia="MS Mincho" w:hAnsi="Franklin Gothic Book" w:cs="Calibri"/>
          <w:color w:val="342568"/>
          <w:lang w:val="en-GB" w:eastAsia="ja-JP"/>
        </w:rPr>
        <w:t xml:space="preserve">Unit 1 </w:t>
      </w:r>
      <w:r w:rsidR="00044CD1" w:rsidRPr="00044CD1">
        <w:rPr>
          <w:rFonts w:ascii="Franklin Gothic Book" w:eastAsia="MS Mincho" w:hAnsi="Franklin Gothic Book" w:cs="Calibri"/>
          <w:color w:val="342568"/>
          <w:lang w:val="en-GB" w:eastAsia="ja-JP"/>
        </w:rPr>
        <w:t>–</w:t>
      </w:r>
      <w:r w:rsidR="00044CD1">
        <w:rPr>
          <w:rFonts w:ascii="Franklin Gothic Book" w:eastAsia="MS Mincho" w:hAnsi="Franklin Gothic Book" w:cs="Calibri"/>
          <w:color w:val="342568"/>
          <w:lang w:val="en-GB" w:eastAsia="ja-JP"/>
        </w:rPr>
        <w:t xml:space="preserve"> </w:t>
      </w:r>
      <w:r w:rsidR="003265B0" w:rsidRPr="00D770E8">
        <w:rPr>
          <w:rFonts w:ascii="Franklin Gothic Book" w:eastAsia="MS Mincho" w:hAnsi="Franklin Gothic Book" w:cs="Calibri"/>
          <w:color w:val="342568"/>
          <w:lang w:val="en-GB" w:eastAsia="ja-JP"/>
        </w:rPr>
        <w:t>Chemical fundamentals: structure, properties and reactions</w:t>
      </w:r>
    </w:p>
    <w:p w:rsidR="00315B1A" w:rsidRPr="00AA491A" w:rsidRDefault="00315B1A" w:rsidP="00315B1A">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eastAsia="ja-JP"/>
        </w:rPr>
        <w:t>Science Inquiry Skills</w:t>
      </w:r>
    </w:p>
    <w:p w:rsidR="00315B1A" w:rsidRDefault="00315B1A" w:rsidP="00315B1A">
      <w:pPr>
        <w:spacing w:after="120"/>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315B1A" w:rsidRPr="00AA491A" w:rsidRDefault="00315B1A" w:rsidP="00315B1A">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val="en-GB" w:eastAsia="ja-JP"/>
        </w:rPr>
        <w:t xml:space="preserve">Unit </w:t>
      </w:r>
      <w:r>
        <w:rPr>
          <w:rFonts w:asciiTheme="minorHAnsi" w:hAnsiTheme="minorHAnsi" w:cstheme="minorHAnsi"/>
          <w:b/>
          <w:sz w:val="22"/>
          <w:szCs w:val="22"/>
          <w:lang w:val="en-GB" w:eastAsia="ja-JP"/>
        </w:rPr>
        <w:t>1</w:t>
      </w:r>
      <w:r w:rsidRPr="00AA491A">
        <w:rPr>
          <w:rFonts w:asciiTheme="minorHAnsi" w:hAnsiTheme="minorHAnsi" w:cstheme="minorHAnsi"/>
          <w:b/>
          <w:sz w:val="22"/>
          <w:szCs w:val="22"/>
          <w:lang w:val="en-GB" w:eastAsia="ja-JP"/>
        </w:rPr>
        <w:t xml:space="preserve"> </w:t>
      </w:r>
      <w:r w:rsidRPr="00AA491A">
        <w:rPr>
          <w:rFonts w:asciiTheme="minorHAnsi" w:hAnsiTheme="minorHAnsi" w:cstheme="minorHAnsi"/>
          <w:b/>
          <w:sz w:val="22"/>
          <w:szCs w:val="22"/>
          <w:lang w:eastAsia="ja-JP"/>
        </w:rPr>
        <w:t>Science Inquiry Skills</w:t>
      </w:r>
    </w:p>
    <w:p w:rsidR="00315B1A" w:rsidRPr="00550108" w:rsidRDefault="00315B1A" w:rsidP="00315B1A">
      <w:pPr>
        <w:pStyle w:val="ListItem"/>
        <w:spacing w:before="0" w:after="0" w:line="240" w:lineRule="auto"/>
        <w:ind w:left="357" w:hanging="357"/>
      </w:pPr>
      <w:r>
        <w:t>i</w:t>
      </w:r>
      <w:r w:rsidRPr="00550108">
        <w:t>dentify, research and refine questions for investigation; propose hypotheses</w:t>
      </w:r>
      <w:r>
        <w:t>; and predict possible outcomes</w:t>
      </w:r>
    </w:p>
    <w:p w:rsidR="00315B1A" w:rsidRPr="00550108" w:rsidRDefault="00315B1A" w:rsidP="00315B1A">
      <w:pPr>
        <w:pStyle w:val="ListItem"/>
        <w:spacing w:before="0" w:after="0" w:line="240" w:lineRule="auto"/>
        <w:ind w:left="357" w:hanging="357"/>
      </w:pPr>
      <w:r>
        <w:t>d</w:t>
      </w:r>
      <w:r w:rsidRPr="00550108">
        <w:t xml:space="preserve">esign </w:t>
      </w:r>
      <w:r>
        <w:t>investigations and consider research ethics</w:t>
      </w:r>
    </w:p>
    <w:p w:rsidR="00315B1A" w:rsidRPr="00550108" w:rsidRDefault="00315B1A" w:rsidP="00315B1A">
      <w:pPr>
        <w:pStyle w:val="ListItem"/>
        <w:spacing w:before="0" w:after="0" w:line="240" w:lineRule="auto"/>
        <w:ind w:left="357" w:hanging="357"/>
      </w:pPr>
      <w:r>
        <w:t>c</w:t>
      </w:r>
      <w:r w:rsidRPr="00550108">
        <w:t>onduct investigations safely, competently a</w:t>
      </w:r>
      <w:r>
        <w:t>nd methodically</w:t>
      </w:r>
    </w:p>
    <w:p w:rsidR="00315B1A" w:rsidRPr="00550108" w:rsidRDefault="00315B1A" w:rsidP="00315B1A">
      <w:pPr>
        <w:pStyle w:val="ListItem"/>
        <w:spacing w:before="0" w:after="0" w:line="240" w:lineRule="auto"/>
        <w:ind w:left="357" w:hanging="357"/>
      </w:pPr>
      <w:r>
        <w:t>r</w:t>
      </w:r>
      <w:r w:rsidRPr="00550108">
        <w:t>epresent dat</w:t>
      </w:r>
      <w:r>
        <w:t>a in meaningful and useful ways</w:t>
      </w:r>
      <w:r w:rsidRPr="00550108">
        <w:t>; identify trends, patterns and relationships; identify sources of random and systematic error and estimate thei</w:t>
      </w:r>
      <w:r>
        <w:t>r effect on measurement results</w:t>
      </w:r>
      <w:r w:rsidR="00640816">
        <w:t>;</w:t>
      </w:r>
      <w:r w:rsidRPr="00550108">
        <w:t xml:space="preserve"> </w:t>
      </w:r>
      <w:r w:rsidR="00C13394">
        <w:t>and select,</w:t>
      </w:r>
      <w:r w:rsidR="00C13394" w:rsidRPr="00550108">
        <w:t xml:space="preserve"> </w:t>
      </w:r>
      <w:r w:rsidRPr="00550108">
        <w:t xml:space="preserve">synthesise and use evidence to make and </w:t>
      </w:r>
      <w:r>
        <w:t>justify conclusions</w:t>
      </w:r>
    </w:p>
    <w:p w:rsidR="00315B1A" w:rsidRPr="004A00B9" w:rsidRDefault="00315B1A" w:rsidP="00315B1A">
      <w:pPr>
        <w:pStyle w:val="ListItem"/>
        <w:spacing w:before="0" w:after="0" w:line="240" w:lineRule="auto"/>
        <w:ind w:left="357" w:hanging="357"/>
        <w:rPr>
          <w:rFonts w:asciiTheme="minorHAnsi" w:hAnsiTheme="minorHAnsi" w:cstheme="minorHAnsi"/>
          <w:lang w:val="en-GB" w:eastAsia="ja-JP"/>
        </w:rPr>
      </w:pPr>
      <w:r>
        <w:t>i</w:t>
      </w:r>
      <w:r w:rsidRPr="00550108">
        <w:t>nterpret a range of scientific and media texts, and evaluate processes, claims and conclusions by considering the quality of available evidence; and use reasoning to</w:t>
      </w:r>
      <w:r>
        <w:t xml:space="preserve"> construct scientific arguments</w:t>
      </w:r>
    </w:p>
    <w:p w:rsidR="006C0247" w:rsidRPr="006C0247" w:rsidRDefault="00315B1A" w:rsidP="00015571">
      <w:pPr>
        <w:pStyle w:val="ListItem"/>
        <w:spacing w:before="0" w:line="240" w:lineRule="auto"/>
        <w:ind w:left="357" w:hanging="357"/>
        <w:rPr>
          <w:rFonts w:asciiTheme="minorHAnsi" w:hAnsiTheme="minorHAnsi" w:cstheme="minorHAnsi"/>
          <w:lang w:val="en-GB" w:eastAsia="ja-JP"/>
        </w:rPr>
      </w:pPr>
      <w:r>
        <w:t>c</w:t>
      </w:r>
      <w:r w:rsidRPr="00550108">
        <w:t>ommunicate to specific audiences and for specific purposes</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315B1A" w:rsidRPr="00D770E8" w:rsidTr="0034740B">
        <w:trPr>
          <w:trHeight w:val="413"/>
          <w:tblHeader/>
        </w:trPr>
        <w:tc>
          <w:tcPr>
            <w:tcW w:w="993" w:type="dxa"/>
            <w:tcBorders>
              <w:right w:val="single" w:sz="4" w:space="0" w:color="FFFFFF" w:themeColor="background1"/>
            </w:tcBorders>
            <w:shd w:val="clear" w:color="auto" w:fill="BD9FCF" w:themeFill="accent4"/>
            <w:vAlign w:val="center"/>
            <w:hideMark/>
          </w:tcPr>
          <w:p w:rsidR="00315B1A" w:rsidRPr="00D770E8" w:rsidRDefault="00315B1A" w:rsidP="0034740B">
            <w:pPr>
              <w:spacing w:before="120" w:after="120"/>
              <w:jc w:val="center"/>
              <w:rPr>
                <w:rFonts w:ascii="Calibri" w:hAnsi="Calibri" w:cs="Arial"/>
                <w:b/>
                <w:color w:val="FFFFFF" w:themeColor="background1"/>
                <w:sz w:val="20"/>
                <w:szCs w:val="20"/>
                <w:lang w:eastAsia="en-US"/>
              </w:rPr>
            </w:pPr>
            <w:r w:rsidRPr="00D770E8">
              <w:rPr>
                <w:rFonts w:ascii="Calibri" w:hAnsi="Calibr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315B1A" w:rsidRPr="00D770E8" w:rsidRDefault="00315B1A" w:rsidP="0034740B">
            <w:pPr>
              <w:spacing w:before="120" w:after="120"/>
              <w:jc w:val="center"/>
              <w:rPr>
                <w:rFonts w:ascii="Calibri" w:hAnsi="Calibri" w:cs="Arial"/>
                <w:b/>
                <w:color w:val="FFFFFF" w:themeColor="background1"/>
                <w:sz w:val="20"/>
                <w:szCs w:val="20"/>
                <w:lang w:eastAsia="en-US"/>
              </w:rPr>
            </w:pPr>
            <w:r w:rsidRPr="00D770E8">
              <w:rPr>
                <w:rFonts w:ascii="Calibri" w:hAnsi="Calibri" w:cs="Arial"/>
                <w:b/>
                <w:color w:val="FFFFFF" w:themeColor="background1"/>
                <w:sz w:val="20"/>
                <w:szCs w:val="20"/>
                <w:lang w:eastAsia="en-US"/>
              </w:rPr>
              <w:t>Key teaching points</w:t>
            </w:r>
          </w:p>
        </w:tc>
      </w:tr>
      <w:tr w:rsidR="00315B1A" w:rsidRPr="00C63D25" w:rsidTr="0034740B">
        <w:tc>
          <w:tcPr>
            <w:tcW w:w="993" w:type="dxa"/>
            <w:shd w:val="clear" w:color="auto" w:fill="E4D8EB" w:themeFill="accent4" w:themeFillTint="66"/>
            <w:vAlign w:val="center"/>
            <w:hideMark/>
          </w:tcPr>
          <w:p w:rsidR="00315B1A" w:rsidRPr="00D770E8" w:rsidRDefault="00315B1A" w:rsidP="0034740B">
            <w:pPr>
              <w:jc w:val="center"/>
              <w:rPr>
                <w:rFonts w:asciiTheme="minorHAnsi" w:hAnsiTheme="minorHAnsi" w:cs="Arial"/>
                <w:sz w:val="20"/>
                <w:szCs w:val="20"/>
                <w:lang w:eastAsia="en-US"/>
              </w:rPr>
            </w:pPr>
            <w:r w:rsidRPr="00D770E8">
              <w:rPr>
                <w:rFonts w:asciiTheme="minorHAnsi" w:hAnsiTheme="minorHAnsi" w:cs="Arial"/>
                <w:sz w:val="20"/>
                <w:szCs w:val="20"/>
                <w:lang w:eastAsia="en-US"/>
              </w:rPr>
              <w:t>1–3</w:t>
            </w:r>
          </w:p>
        </w:tc>
        <w:tc>
          <w:tcPr>
            <w:tcW w:w="8363" w:type="dxa"/>
          </w:tcPr>
          <w:p w:rsidR="00315B1A" w:rsidRPr="00D770E8" w:rsidRDefault="00315B1A" w:rsidP="0034740B">
            <w:pPr>
              <w:rPr>
                <w:rFonts w:asciiTheme="minorHAnsi" w:hAnsiTheme="minorHAnsi" w:cs="Arial"/>
                <w:sz w:val="20"/>
                <w:szCs w:val="20"/>
                <w:lang w:eastAsia="en-US"/>
              </w:rPr>
            </w:pPr>
            <w:r w:rsidRPr="00D770E8">
              <w:rPr>
                <w:rFonts w:asciiTheme="minorHAnsi" w:hAnsiTheme="minorHAnsi" w:cs="Arial"/>
                <w:sz w:val="20"/>
                <w:szCs w:val="20"/>
                <w:lang w:eastAsia="en-US"/>
              </w:rPr>
              <w:t>Structure of the syllabus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course outline</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assessment outline</w:t>
            </w:r>
          </w:p>
          <w:p w:rsidR="00315B1A" w:rsidRPr="00D770E8" w:rsidRDefault="00315B1A" w:rsidP="0034740B">
            <w:pPr>
              <w:rPr>
                <w:rFonts w:asciiTheme="minorHAnsi" w:hAnsiTheme="minorHAnsi" w:cs="Arial"/>
                <w:sz w:val="20"/>
                <w:szCs w:val="20"/>
                <w:lang w:eastAsia="en-US"/>
              </w:rPr>
            </w:pPr>
            <w:r w:rsidRPr="00D770E8">
              <w:rPr>
                <w:rFonts w:asciiTheme="minorHAnsi" w:hAnsiTheme="minorHAnsi" w:cs="Arial"/>
                <w:sz w:val="20"/>
                <w:szCs w:val="20"/>
                <w:lang w:eastAsia="en-US"/>
              </w:rPr>
              <w:t>Properties and structure of atoms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sz w:val="20"/>
                <w:szCs w:val="20"/>
              </w:rPr>
              <w:t xml:space="preserve">symbols of </w:t>
            </w:r>
            <w:r w:rsidRPr="00D770E8">
              <w:rPr>
                <w:rFonts w:asciiTheme="minorHAnsi" w:hAnsiTheme="minorHAnsi" w:cs="Arial"/>
                <w:sz w:val="20"/>
                <w:szCs w:val="20"/>
                <w:lang w:eastAsia="en-US"/>
              </w:rPr>
              <w:t>elements</w:t>
            </w:r>
          </w:p>
          <w:p w:rsidR="00315B1A"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atomic structure – nucleus, electron energy levels and electron configurations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Pr>
                <w:rFonts w:asciiTheme="minorHAnsi" w:hAnsiTheme="minorHAnsi" w:cs="Arial"/>
                <w:sz w:val="20"/>
                <w:szCs w:val="20"/>
                <w:lang w:eastAsia="en-US"/>
              </w:rPr>
              <w:t>f</w:t>
            </w:r>
            <w:r w:rsidRPr="005166C7">
              <w:rPr>
                <w:rFonts w:asciiTheme="minorHAnsi" w:hAnsiTheme="minorHAnsi" w:cs="Arial"/>
                <w:sz w:val="20"/>
                <w:szCs w:val="20"/>
                <w:lang w:eastAsia="en-US"/>
              </w:rPr>
              <w:t>indings from a range of scientific experiments contributed to the understanding of</w:t>
            </w:r>
            <w:r>
              <w:rPr>
                <w:rFonts w:asciiTheme="minorHAnsi" w:hAnsiTheme="minorHAnsi" w:cs="Arial"/>
                <w:sz w:val="20"/>
                <w:szCs w:val="20"/>
                <w:lang w:eastAsia="en-US"/>
              </w:rPr>
              <w:t xml:space="preserve"> the atom, enabling scientists </w:t>
            </w:r>
            <w:r w:rsidRPr="005166C7">
              <w:rPr>
                <w:rFonts w:asciiTheme="minorHAnsi" w:hAnsiTheme="minorHAnsi" w:cs="Arial"/>
                <w:sz w:val="20"/>
                <w:szCs w:val="20"/>
                <w:lang w:eastAsia="en-US"/>
              </w:rPr>
              <w:t>to develop models of atomic structure and make reliable predictions about the mass, charge and location of the sub-atomic particles</w:t>
            </w:r>
            <w:r>
              <w:rPr>
                <w:rFonts w:asciiTheme="minorHAnsi" w:hAnsiTheme="minorHAnsi" w:cs="Arial"/>
                <w:sz w:val="20"/>
                <w:szCs w:val="20"/>
                <w:lang w:eastAsia="en-US"/>
              </w:rPr>
              <w:t xml:space="preserve"> (SHE)</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bond formation and its relationship to electron arrangement</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the periodic table and trends in the periodic table</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flame tests</w:t>
            </w:r>
          </w:p>
          <w:p w:rsidR="00315B1A" w:rsidRDefault="00315B1A" w:rsidP="0034740B">
            <w:pPr>
              <w:pStyle w:val="ListParagraph"/>
              <w:numPr>
                <w:ilvl w:val="0"/>
                <w:numId w:val="11"/>
              </w:numPr>
              <w:ind w:left="459"/>
              <w:rPr>
                <w:rFonts w:asciiTheme="minorHAnsi" w:hAnsiTheme="minorHAnsi" w:cs="Arial"/>
                <w:sz w:val="20"/>
                <w:szCs w:val="20"/>
                <w:lang w:eastAsia="en-US"/>
              </w:rPr>
            </w:pPr>
            <w:r w:rsidRPr="00315F0D">
              <w:rPr>
                <w:rFonts w:asciiTheme="minorHAnsi" w:hAnsiTheme="minorHAnsi" w:cs="Arial"/>
                <w:sz w:val="20"/>
                <w:szCs w:val="20"/>
                <w:lang w:eastAsia="en-US"/>
              </w:rPr>
              <w:t xml:space="preserve">conduct investigations </w:t>
            </w:r>
            <w:r>
              <w:rPr>
                <w:rFonts w:asciiTheme="minorHAnsi" w:hAnsiTheme="minorHAnsi" w:cs="Arial"/>
                <w:sz w:val="20"/>
                <w:szCs w:val="20"/>
                <w:lang w:eastAsia="en-US"/>
              </w:rPr>
              <w:t>using flame tests (SIS)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isotopes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relative atomic mass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mass spectrometry</w:t>
            </w:r>
          </w:p>
          <w:p w:rsidR="00315B1A" w:rsidRPr="00C63D25" w:rsidRDefault="00315B1A" w:rsidP="0034740B">
            <w:pPr>
              <w:ind w:left="742" w:hanging="742"/>
              <w:rPr>
                <w:rFonts w:asciiTheme="minorHAnsi" w:hAnsiTheme="minorHAnsi" w:cs="Arial"/>
                <w:b/>
                <w:sz w:val="20"/>
                <w:szCs w:val="20"/>
                <w:lang w:eastAsia="en-US"/>
              </w:rPr>
            </w:pPr>
            <w:r w:rsidRPr="00C63D25">
              <w:rPr>
                <w:rFonts w:asciiTheme="minorHAnsi" w:hAnsiTheme="minorHAnsi" w:cs="Arial"/>
                <w:b/>
                <w:sz w:val="20"/>
                <w:szCs w:val="20"/>
                <w:lang w:eastAsia="en-US"/>
              </w:rPr>
              <w:t xml:space="preserve">Task 1: </w:t>
            </w:r>
            <w:r>
              <w:rPr>
                <w:rFonts w:asciiTheme="minorHAnsi" w:hAnsiTheme="minorHAnsi" w:cs="Arial"/>
                <w:sz w:val="20"/>
                <w:szCs w:val="20"/>
                <w:lang w:eastAsia="en-US"/>
              </w:rPr>
              <w:t>Practical – Flame tests and emission spectra</w:t>
            </w:r>
          </w:p>
        </w:tc>
      </w:tr>
      <w:tr w:rsidR="00315B1A" w:rsidRPr="00C63D25" w:rsidTr="0034740B">
        <w:tc>
          <w:tcPr>
            <w:tcW w:w="993" w:type="dxa"/>
            <w:shd w:val="clear" w:color="auto" w:fill="E4D8EB" w:themeFill="accent4" w:themeFillTint="66"/>
            <w:vAlign w:val="center"/>
          </w:tcPr>
          <w:p w:rsidR="00315B1A" w:rsidRPr="00D770E8" w:rsidRDefault="00315B1A" w:rsidP="0034740B">
            <w:pPr>
              <w:jc w:val="center"/>
              <w:rPr>
                <w:rFonts w:asciiTheme="minorHAnsi" w:hAnsiTheme="minorHAnsi" w:cs="Arial"/>
                <w:sz w:val="20"/>
                <w:szCs w:val="20"/>
                <w:lang w:eastAsia="en-US"/>
              </w:rPr>
            </w:pPr>
            <w:r w:rsidRPr="00D770E8">
              <w:rPr>
                <w:rFonts w:asciiTheme="minorHAnsi" w:hAnsiTheme="minorHAnsi" w:cs="Arial"/>
                <w:sz w:val="20"/>
                <w:szCs w:val="20"/>
                <w:lang w:eastAsia="en-US"/>
              </w:rPr>
              <w:t>4–6</w:t>
            </w:r>
          </w:p>
        </w:tc>
        <w:tc>
          <w:tcPr>
            <w:tcW w:w="8363" w:type="dxa"/>
          </w:tcPr>
          <w:p w:rsidR="00315B1A" w:rsidRPr="00D770E8" w:rsidRDefault="00315B1A" w:rsidP="0034740B">
            <w:pPr>
              <w:rPr>
                <w:rFonts w:asciiTheme="minorHAnsi" w:hAnsiTheme="minorHAnsi" w:cs="Arial"/>
                <w:sz w:val="20"/>
                <w:szCs w:val="20"/>
                <w:lang w:eastAsia="en-US"/>
              </w:rPr>
            </w:pPr>
            <w:r w:rsidRPr="00D770E8">
              <w:rPr>
                <w:rFonts w:asciiTheme="minorHAnsi" w:hAnsiTheme="minorHAnsi" w:cs="Arial"/>
                <w:sz w:val="20"/>
                <w:szCs w:val="20"/>
                <w:lang w:eastAsia="en-US"/>
              </w:rPr>
              <w:t>Properties and structure of materials</w:t>
            </w:r>
          </w:p>
          <w:p w:rsidR="00315B1A"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pure substances and mixtures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ED6056">
              <w:rPr>
                <w:rFonts w:asciiTheme="minorHAnsi" w:hAnsiTheme="minorHAnsi" w:cs="Arial"/>
                <w:sz w:val="20"/>
                <w:szCs w:val="20"/>
                <w:lang w:eastAsia="en-US"/>
              </w:rPr>
              <w:t xml:space="preserve">conduct investigations </w:t>
            </w:r>
            <w:r>
              <w:rPr>
                <w:rFonts w:asciiTheme="minorHAnsi" w:hAnsiTheme="minorHAnsi" w:cs="Arial"/>
                <w:sz w:val="20"/>
                <w:szCs w:val="20"/>
                <w:lang w:eastAsia="en-US"/>
              </w:rPr>
              <w:t>on</w:t>
            </w:r>
            <w:r w:rsidRPr="00ED6056">
              <w:rPr>
                <w:rFonts w:asciiTheme="minorHAnsi" w:hAnsiTheme="minorHAnsi" w:cs="Arial"/>
                <w:sz w:val="20"/>
                <w:szCs w:val="20"/>
                <w:lang w:eastAsia="en-US"/>
              </w:rPr>
              <w:t xml:space="preserve"> separation techniques</w:t>
            </w:r>
            <w:r>
              <w:rPr>
                <w:rFonts w:asciiTheme="minorHAnsi" w:hAnsiTheme="minorHAnsi" w:cs="Arial"/>
                <w:sz w:val="20"/>
                <w:szCs w:val="20"/>
                <w:lang w:eastAsia="en-US"/>
              </w:rPr>
              <w:t xml:space="preserve"> (SIS)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elements and compounds</w:t>
            </w:r>
          </w:p>
          <w:p w:rsidR="00315B1A"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nanomaterials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Pr>
                <w:rFonts w:asciiTheme="minorHAnsi" w:hAnsiTheme="minorHAnsi" w:cs="Arial"/>
                <w:sz w:val="20"/>
                <w:szCs w:val="20"/>
                <w:lang w:eastAsia="en-US"/>
              </w:rPr>
              <w:t>m</w:t>
            </w:r>
            <w:r w:rsidRPr="00CF37C6">
              <w:rPr>
                <w:rFonts w:asciiTheme="minorHAnsi" w:hAnsiTheme="minorHAnsi" w:cs="Arial"/>
                <w:sz w:val="20"/>
                <w:szCs w:val="20"/>
                <w:lang w:eastAsia="en-US"/>
              </w:rPr>
              <w:t>atter at the nanoscale can be manipulated to create new materials, composites and devices; the different characteristics of nanomaterials can be used to provide commercially available products. As products are designed on the basis of properties which are different from the bulk material, their use can be associated with potential risks to health, safety and the environment and this has led to regulations being developed to address new and existing nanoform materials</w:t>
            </w:r>
            <w:r>
              <w:rPr>
                <w:rFonts w:asciiTheme="minorHAnsi" w:hAnsiTheme="minorHAnsi" w:cs="Arial"/>
                <w:sz w:val="20"/>
                <w:szCs w:val="20"/>
                <w:lang w:eastAsia="en-US"/>
              </w:rPr>
              <w:t xml:space="preserve"> (SHE)</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type of bonding within ionic, metallic and covalent substances</w:t>
            </w:r>
            <w:r>
              <w:rPr>
                <w:rFonts w:asciiTheme="minorHAnsi" w:hAnsiTheme="minorHAnsi" w:cs="Arial"/>
                <w:sz w:val="20"/>
                <w:szCs w:val="20"/>
                <w:lang w:eastAsia="en-US"/>
              </w:rPr>
              <w:t>, and</w:t>
            </w:r>
            <w:r w:rsidRPr="00D770E8">
              <w:rPr>
                <w:rFonts w:asciiTheme="minorHAnsi" w:hAnsiTheme="minorHAnsi" w:cs="Arial"/>
                <w:sz w:val="20"/>
                <w:szCs w:val="20"/>
                <w:lang w:eastAsia="en-US"/>
              </w:rPr>
              <w:t xml:space="preserve"> their physical properties</w:t>
            </w:r>
            <w:r>
              <w:rPr>
                <w:rFonts w:asciiTheme="minorHAnsi" w:hAnsiTheme="minorHAnsi" w:cs="Arial"/>
                <w:sz w:val="20"/>
                <w:szCs w:val="20"/>
                <w:lang w:eastAsia="en-US"/>
              </w:rPr>
              <w:t xml:space="preserve"> due to the types of attractions between the particles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lastRenderedPageBreak/>
              <w:t>molecular formulae</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percentage composition</w:t>
            </w:r>
          </w:p>
          <w:p w:rsidR="00315B1A" w:rsidRPr="00C63D25" w:rsidRDefault="00315B1A" w:rsidP="0034740B">
            <w:pPr>
              <w:ind w:left="609" w:hanging="609"/>
              <w:rPr>
                <w:rFonts w:asciiTheme="minorHAnsi" w:hAnsiTheme="minorHAnsi" w:cs="Arial"/>
                <w:b/>
                <w:sz w:val="20"/>
                <w:szCs w:val="20"/>
                <w:lang w:eastAsia="en-US"/>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2</w:t>
            </w:r>
            <w:r w:rsidRPr="00C63D25">
              <w:rPr>
                <w:rFonts w:asciiTheme="minorHAnsi" w:hAnsiTheme="minorHAnsi" w:cs="Arial"/>
                <w:b/>
                <w:sz w:val="20"/>
                <w:szCs w:val="20"/>
                <w:lang w:eastAsia="en-US"/>
              </w:rPr>
              <w:t xml:space="preserve">: </w:t>
            </w:r>
            <w:r w:rsidRPr="00745ED6">
              <w:rPr>
                <w:rFonts w:asciiTheme="minorHAnsi" w:hAnsiTheme="minorHAnsi" w:cs="Arial"/>
                <w:sz w:val="20"/>
                <w:szCs w:val="20"/>
                <w:lang w:eastAsia="en-US"/>
              </w:rPr>
              <w:t>Test</w:t>
            </w:r>
          </w:p>
        </w:tc>
      </w:tr>
      <w:tr w:rsidR="00315B1A" w:rsidRPr="00C63D25" w:rsidTr="0034740B">
        <w:tc>
          <w:tcPr>
            <w:tcW w:w="993" w:type="dxa"/>
            <w:shd w:val="clear" w:color="auto" w:fill="E4D8EB" w:themeFill="accent4" w:themeFillTint="66"/>
            <w:vAlign w:val="center"/>
          </w:tcPr>
          <w:p w:rsidR="00315B1A" w:rsidRPr="00D770E8" w:rsidRDefault="00315B1A" w:rsidP="0034740B">
            <w:pPr>
              <w:jc w:val="center"/>
              <w:rPr>
                <w:rFonts w:asciiTheme="minorHAnsi" w:hAnsiTheme="minorHAnsi" w:cs="Arial"/>
                <w:sz w:val="20"/>
                <w:szCs w:val="20"/>
                <w:lang w:eastAsia="en-US"/>
              </w:rPr>
            </w:pPr>
            <w:r w:rsidRPr="00D770E8">
              <w:rPr>
                <w:rFonts w:asciiTheme="minorHAnsi" w:hAnsiTheme="minorHAnsi" w:cs="Arial"/>
                <w:sz w:val="20"/>
                <w:szCs w:val="20"/>
                <w:lang w:eastAsia="en-US"/>
              </w:rPr>
              <w:lastRenderedPageBreak/>
              <w:t>7–10</w:t>
            </w:r>
          </w:p>
        </w:tc>
        <w:tc>
          <w:tcPr>
            <w:tcW w:w="8363" w:type="dxa"/>
          </w:tcPr>
          <w:p w:rsidR="00315B1A" w:rsidRPr="00D770E8" w:rsidRDefault="00315B1A" w:rsidP="0034740B">
            <w:pPr>
              <w:rPr>
                <w:rFonts w:asciiTheme="minorHAnsi" w:hAnsiTheme="minorHAnsi" w:cs="Arial"/>
                <w:sz w:val="20"/>
                <w:szCs w:val="20"/>
                <w:lang w:eastAsia="en-US"/>
              </w:rPr>
            </w:pPr>
            <w:r w:rsidRPr="00D770E8">
              <w:rPr>
                <w:rFonts w:asciiTheme="minorHAnsi" w:hAnsiTheme="minorHAnsi" w:cs="Arial"/>
                <w:sz w:val="20"/>
                <w:szCs w:val="20"/>
                <w:lang w:eastAsia="en-US"/>
              </w:rPr>
              <w:t>Chemical reactions: reactants, products and energy change</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representation of chemical reactions with chemical equations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enthalpy changes in chemical reactions and phase changes</w:t>
            </w:r>
          </w:p>
          <w:p w:rsidR="00315B1A"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exothermic and endothermic reactions</w:t>
            </w:r>
          </w:p>
          <w:p w:rsidR="00315B1A" w:rsidRPr="006A425E" w:rsidRDefault="00315B1A" w:rsidP="0034740B">
            <w:pPr>
              <w:pStyle w:val="ListParagraph"/>
              <w:numPr>
                <w:ilvl w:val="0"/>
                <w:numId w:val="11"/>
              </w:numPr>
              <w:ind w:left="459"/>
              <w:rPr>
                <w:rFonts w:asciiTheme="minorHAnsi" w:hAnsiTheme="minorHAnsi" w:cs="Arial"/>
                <w:sz w:val="20"/>
                <w:szCs w:val="20"/>
                <w:lang w:eastAsia="en-US"/>
              </w:rPr>
            </w:pPr>
            <w:r w:rsidRPr="006A425E">
              <w:rPr>
                <w:rFonts w:asciiTheme="minorHAnsi" w:hAnsiTheme="minorHAnsi" w:cs="Arial"/>
                <w:sz w:val="20"/>
                <w:szCs w:val="20"/>
                <w:lang w:eastAsia="en-US"/>
              </w:rPr>
              <w:t xml:space="preserve">conduct investigations </w:t>
            </w:r>
            <w:r>
              <w:rPr>
                <w:rFonts w:asciiTheme="minorHAnsi" w:hAnsiTheme="minorHAnsi" w:cs="Arial"/>
                <w:sz w:val="20"/>
                <w:szCs w:val="20"/>
                <w:lang w:eastAsia="en-US"/>
              </w:rPr>
              <w:t xml:space="preserve">on </w:t>
            </w:r>
            <w:r w:rsidRPr="006A425E">
              <w:rPr>
                <w:rFonts w:asciiTheme="minorHAnsi" w:hAnsiTheme="minorHAnsi" w:cs="Arial"/>
                <w:sz w:val="20"/>
                <w:szCs w:val="20"/>
                <w:lang w:eastAsia="en-US"/>
              </w:rPr>
              <w:t>heat</w:t>
            </w:r>
            <w:r>
              <w:rPr>
                <w:rFonts w:asciiTheme="minorHAnsi" w:hAnsiTheme="minorHAnsi" w:cs="Arial"/>
                <w:sz w:val="20"/>
                <w:szCs w:val="20"/>
                <w:lang w:eastAsia="en-US"/>
              </w:rPr>
              <w:t>s</w:t>
            </w:r>
            <w:r w:rsidRPr="006A425E">
              <w:rPr>
                <w:rFonts w:asciiTheme="minorHAnsi" w:hAnsiTheme="minorHAnsi" w:cs="Arial"/>
                <w:sz w:val="20"/>
                <w:szCs w:val="20"/>
                <w:lang w:eastAsia="en-US"/>
              </w:rPr>
              <w:t xml:space="preserve"> of reaction</w:t>
            </w:r>
            <w:r>
              <w:rPr>
                <w:rFonts w:asciiTheme="minorHAnsi" w:hAnsiTheme="minorHAnsi" w:cs="Arial"/>
                <w:sz w:val="20"/>
                <w:szCs w:val="20"/>
                <w:lang w:eastAsia="en-US"/>
              </w:rPr>
              <w:t>s (SIS)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the mole concept – mass, moles, molar mass, calculating masses of substances in a reaction</w:t>
            </w:r>
          </w:p>
          <w:p w:rsidR="00315B1A" w:rsidRPr="00D770E8" w:rsidRDefault="00315B1A" w:rsidP="0034740B">
            <w:pPr>
              <w:rPr>
                <w:rFonts w:asciiTheme="minorHAnsi" w:hAnsiTheme="minorHAnsi" w:cs="Arial"/>
                <w:sz w:val="20"/>
                <w:szCs w:val="20"/>
                <w:lang w:eastAsia="en-US"/>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3</w:t>
            </w:r>
            <w:r w:rsidRPr="00C63D25">
              <w:rPr>
                <w:rFonts w:asciiTheme="minorHAnsi" w:hAnsiTheme="minorHAnsi" w:cs="Arial"/>
                <w:b/>
                <w:sz w:val="20"/>
                <w:szCs w:val="20"/>
                <w:lang w:eastAsia="en-US"/>
              </w:rPr>
              <w:t xml:space="preserve">: </w:t>
            </w:r>
            <w:r w:rsidRPr="00EC6C70">
              <w:rPr>
                <w:rFonts w:asciiTheme="minorHAnsi" w:hAnsiTheme="minorHAnsi" w:cs="Arial"/>
                <w:sz w:val="20"/>
                <w:szCs w:val="20"/>
                <w:lang w:eastAsia="en-US"/>
              </w:rPr>
              <w:t>I</w:t>
            </w:r>
            <w:r w:rsidRPr="00745ED6">
              <w:rPr>
                <w:rFonts w:asciiTheme="minorHAnsi" w:hAnsiTheme="minorHAnsi" w:cs="Arial"/>
                <w:sz w:val="20"/>
                <w:szCs w:val="20"/>
                <w:lang w:eastAsia="en-US"/>
              </w:rPr>
              <w:t>nvestigation</w:t>
            </w:r>
            <w:r w:rsidRPr="00D770E8">
              <w:rPr>
                <w:rFonts w:asciiTheme="minorHAnsi" w:hAnsiTheme="minorHAnsi" w:cs="Arial"/>
                <w:sz w:val="20"/>
                <w:szCs w:val="20"/>
                <w:lang w:eastAsia="en-US"/>
              </w:rPr>
              <w:t xml:space="preserve"> – Enthalpy changes in dissolving of ionic compounds</w:t>
            </w:r>
          </w:p>
          <w:p w:rsidR="00315B1A" w:rsidRPr="00C63D25" w:rsidRDefault="00315B1A" w:rsidP="0034740B">
            <w:pPr>
              <w:rPr>
                <w:rFonts w:asciiTheme="minorHAnsi" w:hAnsiTheme="minorHAnsi" w:cs="Arial"/>
                <w:b/>
                <w:sz w:val="20"/>
                <w:szCs w:val="20"/>
                <w:lang w:eastAsia="en-US"/>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4</w:t>
            </w:r>
            <w:r w:rsidRPr="00C63D25">
              <w:rPr>
                <w:rFonts w:asciiTheme="minorHAnsi" w:hAnsiTheme="minorHAnsi" w:cs="Arial"/>
                <w:b/>
                <w:sz w:val="20"/>
                <w:szCs w:val="20"/>
                <w:lang w:eastAsia="en-US"/>
              </w:rPr>
              <w:t xml:space="preserve">: </w:t>
            </w:r>
            <w:r w:rsidRPr="00745ED6">
              <w:rPr>
                <w:rFonts w:asciiTheme="minorHAnsi" w:hAnsiTheme="minorHAnsi" w:cs="Arial"/>
                <w:sz w:val="20"/>
                <w:szCs w:val="20"/>
                <w:lang w:eastAsia="en-US"/>
              </w:rPr>
              <w:t>Test</w:t>
            </w:r>
          </w:p>
        </w:tc>
      </w:tr>
      <w:tr w:rsidR="00315B1A" w:rsidRPr="00C63D25" w:rsidTr="0034740B">
        <w:tc>
          <w:tcPr>
            <w:tcW w:w="993" w:type="dxa"/>
            <w:shd w:val="clear" w:color="auto" w:fill="E4D8EB" w:themeFill="accent4" w:themeFillTint="66"/>
            <w:vAlign w:val="center"/>
            <w:hideMark/>
          </w:tcPr>
          <w:p w:rsidR="00315B1A" w:rsidRPr="00D770E8" w:rsidRDefault="00315B1A" w:rsidP="0034740B">
            <w:pPr>
              <w:jc w:val="center"/>
              <w:rPr>
                <w:rFonts w:asciiTheme="minorHAnsi" w:hAnsiTheme="minorHAnsi" w:cs="Arial"/>
                <w:sz w:val="20"/>
                <w:szCs w:val="20"/>
                <w:lang w:eastAsia="en-US"/>
              </w:rPr>
            </w:pPr>
            <w:r w:rsidRPr="00D770E8">
              <w:rPr>
                <w:rFonts w:asciiTheme="minorHAnsi" w:hAnsiTheme="minorHAnsi" w:cs="Arial"/>
                <w:sz w:val="20"/>
                <w:szCs w:val="20"/>
                <w:lang w:eastAsia="en-US"/>
              </w:rPr>
              <w:t>11–14</w:t>
            </w:r>
          </w:p>
        </w:tc>
        <w:tc>
          <w:tcPr>
            <w:tcW w:w="8363" w:type="dxa"/>
          </w:tcPr>
          <w:p w:rsidR="00315B1A" w:rsidRPr="00D770E8" w:rsidRDefault="00315B1A" w:rsidP="0034740B">
            <w:pPr>
              <w:rPr>
                <w:rFonts w:asciiTheme="minorHAnsi" w:hAnsiTheme="minorHAnsi" w:cs="Arial"/>
                <w:sz w:val="20"/>
                <w:szCs w:val="20"/>
                <w:lang w:eastAsia="en-US"/>
              </w:rPr>
            </w:pPr>
            <w:r w:rsidRPr="00D770E8">
              <w:rPr>
                <w:rFonts w:asciiTheme="minorHAnsi" w:hAnsiTheme="minorHAnsi" w:cs="Arial"/>
                <w:sz w:val="20"/>
                <w:szCs w:val="20"/>
                <w:lang w:eastAsia="en-US"/>
              </w:rPr>
              <w:t>Properties and structure of materials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 xml:space="preserve">hydrocarbons, including alkanes, alkenes and benzene, have different chemical properties that are determined by the nature of the bonding within the molecules </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molecular structural formulae (condensed or showing bonds) can be used to show the arrangement of atoms and bonding in covalent molecular substances</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IUPAC nomenclature is used to name straight and simple branched alkanes and alkenes from C</w:t>
            </w:r>
            <w:r w:rsidRPr="004A6E1C">
              <w:rPr>
                <w:rFonts w:asciiTheme="minorHAnsi" w:hAnsiTheme="minorHAnsi" w:cs="Arial"/>
                <w:sz w:val="20"/>
                <w:szCs w:val="20"/>
                <w:vertAlign w:val="subscript"/>
                <w:lang w:eastAsia="en-US"/>
              </w:rPr>
              <w:t>1</w:t>
            </w:r>
            <w:r w:rsidRPr="00D770E8">
              <w:rPr>
                <w:rFonts w:asciiTheme="minorHAnsi" w:hAnsiTheme="minorHAnsi" w:cs="Arial"/>
                <w:sz w:val="20"/>
                <w:szCs w:val="20"/>
                <w:lang w:eastAsia="en-US"/>
              </w:rPr>
              <w:t>–C</w:t>
            </w:r>
            <w:r w:rsidRPr="004A6E1C">
              <w:rPr>
                <w:rFonts w:asciiTheme="minorHAnsi" w:hAnsiTheme="minorHAnsi" w:cs="Arial"/>
                <w:sz w:val="20"/>
                <w:szCs w:val="20"/>
                <w:vertAlign w:val="subscript"/>
                <w:lang w:eastAsia="en-US"/>
              </w:rPr>
              <w:t>8</w:t>
            </w:r>
          </w:p>
          <w:p w:rsidR="00315B1A" w:rsidRPr="00D770E8"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alkanes, alkenes and benzene undergo characteristic reactions such as combustion, addition reactions for alkenes and substitution reactions for alkanes and benzene</w:t>
            </w:r>
          </w:p>
          <w:p w:rsidR="00315B1A" w:rsidRDefault="00315B1A"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 xml:space="preserve">comparing energy output for combustion of fossil fuels and biofuels </w:t>
            </w:r>
          </w:p>
          <w:p w:rsidR="00315B1A" w:rsidRPr="00D770E8" w:rsidRDefault="00EF27C3" w:rsidP="0034740B">
            <w:pPr>
              <w:pStyle w:val="ListParagraph"/>
              <w:numPr>
                <w:ilvl w:val="0"/>
                <w:numId w:val="11"/>
              </w:numPr>
              <w:ind w:left="459"/>
              <w:rPr>
                <w:rFonts w:asciiTheme="minorHAnsi" w:hAnsiTheme="minorHAnsi" w:cs="Arial"/>
                <w:sz w:val="20"/>
                <w:szCs w:val="20"/>
                <w:lang w:eastAsia="en-US"/>
              </w:rPr>
            </w:pPr>
            <w:r>
              <w:rPr>
                <w:rFonts w:asciiTheme="minorHAnsi" w:hAnsiTheme="minorHAnsi" w:cs="Arial"/>
                <w:sz w:val="20"/>
                <w:szCs w:val="20"/>
                <w:lang w:eastAsia="en-US"/>
              </w:rPr>
              <w:t>t</w:t>
            </w:r>
            <w:r w:rsidR="00315B1A" w:rsidRPr="009B7D55">
              <w:rPr>
                <w:rFonts w:asciiTheme="minorHAnsi" w:hAnsiTheme="minorHAnsi" w:cs="Arial"/>
                <w:sz w:val="20"/>
                <w:szCs w:val="20"/>
                <w:lang w:eastAsia="en-US"/>
              </w:rPr>
              <w:t>here are differences in the energy output and carbon emissions of fossil fuels and biofuels. These differences, together with social, economic, cultural and political values, determine how widely these fuels are used</w:t>
            </w:r>
            <w:r w:rsidR="00315B1A">
              <w:rPr>
                <w:rFonts w:asciiTheme="minorHAnsi" w:hAnsiTheme="minorHAnsi" w:cs="Arial"/>
                <w:sz w:val="20"/>
                <w:szCs w:val="20"/>
                <w:lang w:eastAsia="en-US"/>
              </w:rPr>
              <w:t xml:space="preserve"> (SHE)</w:t>
            </w:r>
          </w:p>
          <w:p w:rsidR="00315B1A" w:rsidRPr="00D770E8" w:rsidRDefault="00315B1A" w:rsidP="0034740B">
            <w:pPr>
              <w:rPr>
                <w:rFonts w:asciiTheme="minorHAnsi" w:hAnsiTheme="minorHAnsi" w:cs="Arial"/>
                <w:sz w:val="20"/>
                <w:szCs w:val="20"/>
                <w:lang w:eastAsia="en-US"/>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5</w:t>
            </w:r>
            <w:r w:rsidRPr="00C63D25">
              <w:rPr>
                <w:rFonts w:asciiTheme="minorHAnsi" w:hAnsiTheme="minorHAnsi" w:cs="Arial"/>
                <w:b/>
                <w:sz w:val="20"/>
                <w:szCs w:val="20"/>
                <w:lang w:eastAsia="en-US"/>
              </w:rPr>
              <w:t xml:space="preserve">: </w:t>
            </w:r>
            <w:r>
              <w:rPr>
                <w:rFonts w:asciiTheme="minorHAnsi" w:hAnsiTheme="minorHAnsi" w:cs="Arial"/>
                <w:sz w:val="20"/>
                <w:szCs w:val="20"/>
                <w:lang w:eastAsia="en-US"/>
              </w:rPr>
              <w:t>Science I</w:t>
            </w:r>
            <w:r w:rsidRPr="00914606">
              <w:rPr>
                <w:rFonts w:asciiTheme="minorHAnsi" w:hAnsiTheme="minorHAnsi" w:cs="Arial"/>
                <w:sz w:val="20"/>
                <w:szCs w:val="20"/>
                <w:lang w:eastAsia="en-US"/>
              </w:rPr>
              <w:t xml:space="preserve">nquiry </w:t>
            </w:r>
            <w:r>
              <w:rPr>
                <w:rFonts w:asciiTheme="minorHAnsi" w:hAnsiTheme="minorHAnsi" w:cs="Arial"/>
                <w:sz w:val="20"/>
                <w:szCs w:val="20"/>
                <w:lang w:eastAsia="en-US"/>
              </w:rPr>
              <w:t>Data analysis –</w:t>
            </w:r>
            <w:r w:rsidR="00EF27C3">
              <w:rPr>
                <w:rFonts w:asciiTheme="minorHAnsi" w:hAnsiTheme="minorHAnsi" w:cs="Arial"/>
                <w:sz w:val="20"/>
                <w:szCs w:val="20"/>
                <w:lang w:eastAsia="en-US"/>
              </w:rPr>
              <w:t xml:space="preserve"> </w:t>
            </w:r>
            <w:r>
              <w:rPr>
                <w:rFonts w:asciiTheme="minorHAnsi" w:hAnsiTheme="minorHAnsi" w:cs="Arial"/>
                <w:sz w:val="20"/>
                <w:szCs w:val="20"/>
                <w:lang w:eastAsia="en-US"/>
              </w:rPr>
              <w:t>Analysis of melting points of hydrocarbons</w:t>
            </w:r>
          </w:p>
          <w:p w:rsidR="00315B1A" w:rsidRPr="00D770E8" w:rsidRDefault="00315B1A" w:rsidP="0034740B">
            <w:pPr>
              <w:rPr>
                <w:rFonts w:asciiTheme="minorHAnsi" w:hAnsiTheme="minorHAnsi" w:cs="Arial"/>
                <w:sz w:val="20"/>
                <w:szCs w:val="20"/>
                <w:lang w:eastAsia="en-US"/>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6</w:t>
            </w:r>
            <w:r w:rsidRPr="00C63D25">
              <w:rPr>
                <w:rFonts w:asciiTheme="minorHAnsi" w:hAnsiTheme="minorHAnsi" w:cs="Arial"/>
                <w:b/>
                <w:sz w:val="20"/>
                <w:szCs w:val="20"/>
                <w:lang w:eastAsia="en-US"/>
              </w:rPr>
              <w:t xml:space="preserve">: </w:t>
            </w:r>
            <w:r w:rsidRPr="00745ED6">
              <w:rPr>
                <w:rFonts w:asciiTheme="minorHAnsi" w:hAnsiTheme="minorHAnsi" w:cs="Arial"/>
                <w:sz w:val="20"/>
                <w:szCs w:val="20"/>
                <w:lang w:eastAsia="en-US"/>
              </w:rPr>
              <w:t>Extended response</w:t>
            </w:r>
            <w:r w:rsidRPr="00D770E8">
              <w:rPr>
                <w:rFonts w:asciiTheme="minorHAnsi" w:hAnsiTheme="minorHAnsi" w:cs="Arial"/>
                <w:sz w:val="20"/>
                <w:szCs w:val="20"/>
                <w:lang w:eastAsia="en-US"/>
              </w:rPr>
              <w:t xml:space="preserve"> – Energy and CO</w:t>
            </w:r>
            <w:r w:rsidRPr="00D770E8">
              <w:rPr>
                <w:rFonts w:asciiTheme="minorHAnsi" w:hAnsiTheme="minorHAnsi" w:cs="Arial"/>
                <w:sz w:val="20"/>
                <w:szCs w:val="20"/>
                <w:vertAlign w:val="subscript"/>
                <w:lang w:eastAsia="en-US"/>
              </w:rPr>
              <w:t>2</w:t>
            </w:r>
            <w:r w:rsidRPr="00D770E8">
              <w:rPr>
                <w:rFonts w:asciiTheme="minorHAnsi" w:hAnsiTheme="minorHAnsi" w:cs="Arial"/>
                <w:sz w:val="20"/>
                <w:szCs w:val="20"/>
                <w:lang w:eastAsia="en-US"/>
              </w:rPr>
              <w:t xml:space="preserve"> output for combustion of fossil fuels and biofuels</w:t>
            </w:r>
          </w:p>
          <w:p w:rsidR="00315B1A" w:rsidRPr="00C63D25" w:rsidRDefault="00315B1A" w:rsidP="0034740B">
            <w:pPr>
              <w:rPr>
                <w:rFonts w:asciiTheme="minorHAnsi" w:hAnsiTheme="minorHAnsi" w:cs="Arial"/>
                <w:b/>
                <w:sz w:val="20"/>
                <w:szCs w:val="20"/>
                <w:lang w:eastAsia="en-US"/>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7</w:t>
            </w:r>
            <w:r w:rsidRPr="00C63D25">
              <w:rPr>
                <w:rFonts w:asciiTheme="minorHAnsi" w:hAnsiTheme="minorHAnsi" w:cs="Arial"/>
                <w:b/>
                <w:sz w:val="20"/>
                <w:szCs w:val="20"/>
                <w:lang w:eastAsia="en-US"/>
              </w:rPr>
              <w:t xml:space="preserve">: </w:t>
            </w:r>
            <w:r w:rsidRPr="00745ED6">
              <w:rPr>
                <w:rFonts w:asciiTheme="minorHAnsi" w:hAnsiTheme="minorHAnsi" w:cs="Arial"/>
                <w:sz w:val="20"/>
                <w:szCs w:val="20"/>
                <w:lang w:eastAsia="en-US"/>
              </w:rPr>
              <w:t>Test</w:t>
            </w:r>
          </w:p>
        </w:tc>
      </w:tr>
      <w:tr w:rsidR="00315B1A" w:rsidRPr="00D770E8" w:rsidTr="0034740B">
        <w:tc>
          <w:tcPr>
            <w:tcW w:w="993" w:type="dxa"/>
            <w:shd w:val="clear" w:color="auto" w:fill="E4D8EB" w:themeFill="accent4" w:themeFillTint="66"/>
            <w:vAlign w:val="center"/>
            <w:hideMark/>
          </w:tcPr>
          <w:p w:rsidR="00315B1A" w:rsidRPr="00D770E8" w:rsidRDefault="00315B1A" w:rsidP="0034740B">
            <w:pPr>
              <w:jc w:val="center"/>
              <w:rPr>
                <w:rFonts w:ascii="Calibri" w:hAnsi="Calibri" w:cs="Arial"/>
                <w:sz w:val="20"/>
                <w:szCs w:val="20"/>
                <w:lang w:eastAsia="en-US"/>
              </w:rPr>
            </w:pPr>
            <w:r w:rsidRPr="00D770E8">
              <w:rPr>
                <w:rFonts w:ascii="Calibri" w:hAnsi="Calibri" w:cs="Arial"/>
                <w:sz w:val="20"/>
                <w:szCs w:val="20"/>
                <w:lang w:eastAsia="en-US"/>
              </w:rPr>
              <w:t>15</w:t>
            </w:r>
          </w:p>
        </w:tc>
        <w:tc>
          <w:tcPr>
            <w:tcW w:w="8363" w:type="dxa"/>
          </w:tcPr>
          <w:p w:rsidR="00315B1A" w:rsidRPr="00D770E8" w:rsidRDefault="00315B1A" w:rsidP="0034740B">
            <w:pPr>
              <w:rPr>
                <w:rFonts w:ascii="Calibri" w:hAnsi="Calibri" w:cs="Arial"/>
                <w:sz w:val="20"/>
                <w:szCs w:val="20"/>
                <w:lang w:eastAsia="en-US"/>
              </w:rPr>
            </w:pPr>
            <w:r w:rsidRPr="00D770E8">
              <w:rPr>
                <w:rFonts w:ascii="Calibri" w:hAnsi="Calibri" w:cs="Arial"/>
                <w:sz w:val="20"/>
                <w:szCs w:val="20"/>
                <w:lang w:eastAsia="en-US"/>
              </w:rPr>
              <w:t>Exam revision</w:t>
            </w:r>
          </w:p>
        </w:tc>
      </w:tr>
      <w:tr w:rsidR="00315B1A" w:rsidRPr="00C63D25" w:rsidTr="0034740B">
        <w:tc>
          <w:tcPr>
            <w:tcW w:w="993" w:type="dxa"/>
            <w:shd w:val="clear" w:color="auto" w:fill="E4D8EB" w:themeFill="accent4" w:themeFillTint="66"/>
            <w:vAlign w:val="center"/>
            <w:hideMark/>
          </w:tcPr>
          <w:p w:rsidR="00315B1A" w:rsidRPr="00D770E8" w:rsidRDefault="00315B1A" w:rsidP="0034740B">
            <w:pPr>
              <w:jc w:val="center"/>
              <w:rPr>
                <w:rFonts w:ascii="Calibri" w:hAnsi="Calibri" w:cs="Arial"/>
                <w:sz w:val="20"/>
                <w:szCs w:val="20"/>
                <w:lang w:eastAsia="en-US"/>
              </w:rPr>
            </w:pPr>
            <w:r w:rsidRPr="00D770E8">
              <w:rPr>
                <w:rFonts w:ascii="Calibri" w:hAnsi="Calibri" w:cs="Arial"/>
                <w:sz w:val="20"/>
                <w:szCs w:val="20"/>
                <w:lang w:eastAsia="en-US"/>
              </w:rPr>
              <w:t>16</w:t>
            </w:r>
          </w:p>
        </w:tc>
        <w:tc>
          <w:tcPr>
            <w:tcW w:w="8363" w:type="dxa"/>
          </w:tcPr>
          <w:p w:rsidR="00315B1A" w:rsidRPr="00C63D25" w:rsidRDefault="00315B1A" w:rsidP="0034740B">
            <w:pPr>
              <w:rPr>
                <w:rFonts w:ascii="Calibri" w:hAnsi="Calibri" w:cs="Arial"/>
                <w:b/>
                <w:sz w:val="20"/>
                <w:szCs w:val="20"/>
                <w:lang w:eastAsia="en-US"/>
              </w:rPr>
            </w:pPr>
            <w:r w:rsidRPr="00C63D25">
              <w:rPr>
                <w:rFonts w:ascii="Calibri" w:hAnsi="Calibri" w:cs="Arial"/>
                <w:b/>
                <w:sz w:val="20"/>
                <w:szCs w:val="20"/>
                <w:lang w:eastAsia="en-US"/>
              </w:rPr>
              <w:t xml:space="preserve">Task </w:t>
            </w:r>
            <w:r>
              <w:rPr>
                <w:rFonts w:ascii="Calibri" w:hAnsi="Calibri" w:cs="Arial"/>
                <w:b/>
                <w:sz w:val="20"/>
                <w:szCs w:val="20"/>
                <w:lang w:eastAsia="en-US"/>
              </w:rPr>
              <w:t>8</w:t>
            </w:r>
            <w:r w:rsidRPr="00C63D25">
              <w:rPr>
                <w:rFonts w:ascii="Calibri" w:hAnsi="Calibri" w:cs="Arial"/>
                <w:b/>
                <w:sz w:val="20"/>
                <w:szCs w:val="20"/>
                <w:lang w:eastAsia="en-US"/>
              </w:rPr>
              <w:t xml:space="preserve">: </w:t>
            </w:r>
            <w:r w:rsidRPr="00745ED6">
              <w:rPr>
                <w:rFonts w:ascii="Calibri" w:hAnsi="Calibri" w:cs="Arial"/>
                <w:sz w:val="20"/>
                <w:szCs w:val="20"/>
                <w:lang w:eastAsia="en-US"/>
              </w:rPr>
              <w:t>Examination</w:t>
            </w:r>
          </w:p>
        </w:tc>
      </w:tr>
    </w:tbl>
    <w:p w:rsidR="000B7327" w:rsidRDefault="000B7327">
      <w:pPr>
        <w:spacing w:after="200" w:line="276" w:lineRule="auto"/>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br w:type="page"/>
      </w:r>
    </w:p>
    <w:p w:rsidR="00270AF8" w:rsidRPr="00D770E8" w:rsidRDefault="00270AF8" w:rsidP="00015571">
      <w:pPr>
        <w:spacing w:before="240" w:after="80" w:line="276" w:lineRule="auto"/>
        <w:outlineLvl w:val="0"/>
        <w:rPr>
          <w:rFonts w:ascii="Franklin Gothic Book" w:eastAsia="MS Mincho" w:hAnsi="Franklin Gothic Book" w:cs="Calibri"/>
          <w:color w:val="342568"/>
          <w:sz w:val="28"/>
          <w:szCs w:val="28"/>
          <w:lang w:val="en-GB" w:eastAsia="ja-JP"/>
        </w:rPr>
      </w:pPr>
      <w:r w:rsidRPr="00D770E8">
        <w:rPr>
          <w:rFonts w:ascii="Franklin Gothic Book" w:eastAsia="MS Mincho" w:hAnsi="Franklin Gothic Book" w:cs="Calibri"/>
          <w:color w:val="342568"/>
          <w:sz w:val="28"/>
          <w:szCs w:val="28"/>
          <w:lang w:val="en-GB" w:eastAsia="ja-JP"/>
        </w:rPr>
        <w:lastRenderedPageBreak/>
        <w:t>Sample course outline</w:t>
      </w:r>
    </w:p>
    <w:p w:rsidR="00270AF8" w:rsidRPr="00D770E8" w:rsidRDefault="00270AF8" w:rsidP="00270AF8">
      <w:pPr>
        <w:spacing w:after="80" w:line="276" w:lineRule="auto"/>
        <w:outlineLvl w:val="0"/>
        <w:rPr>
          <w:rFonts w:ascii="Franklin Gothic Book" w:eastAsia="MS Mincho" w:hAnsi="Franklin Gothic Book" w:cs="Calibri"/>
          <w:color w:val="342568"/>
          <w:sz w:val="28"/>
          <w:szCs w:val="28"/>
          <w:lang w:val="en-GB" w:eastAsia="ja-JP"/>
        </w:rPr>
      </w:pPr>
      <w:r>
        <w:rPr>
          <w:rFonts w:ascii="Franklin Gothic Book" w:eastAsia="MS Mincho" w:hAnsi="Franklin Gothic Book" w:cs="Calibri"/>
          <w:color w:val="342568"/>
          <w:sz w:val="28"/>
          <w:szCs w:val="28"/>
          <w:lang w:val="en-GB" w:eastAsia="ja-JP"/>
        </w:rPr>
        <w:t>Chemistry – ATAR Year 11</w:t>
      </w:r>
    </w:p>
    <w:p w:rsidR="00270AF8" w:rsidRDefault="00270AF8" w:rsidP="00736351">
      <w:pPr>
        <w:spacing w:before="120" w:after="120" w:line="276" w:lineRule="auto"/>
        <w:outlineLvl w:val="1"/>
        <w:rPr>
          <w:rFonts w:ascii="Franklin Gothic Book" w:eastAsia="MS Mincho" w:hAnsi="Franklin Gothic Book" w:cs="Calibri"/>
          <w:color w:val="342568"/>
          <w:lang w:val="en-GB" w:eastAsia="ja-JP"/>
        </w:rPr>
      </w:pPr>
      <w:r>
        <w:rPr>
          <w:rFonts w:ascii="Franklin Gothic Book" w:eastAsia="MS Mincho" w:hAnsi="Franklin Gothic Book" w:cs="Calibri"/>
          <w:color w:val="342568"/>
          <w:lang w:val="en-GB" w:eastAsia="ja-JP"/>
        </w:rPr>
        <w:t>Unit 2</w:t>
      </w:r>
      <w:r w:rsidRPr="00D770E8">
        <w:rPr>
          <w:rFonts w:ascii="Franklin Gothic Book" w:eastAsia="MS Mincho" w:hAnsi="Franklin Gothic Book" w:cs="Calibri"/>
          <w:color w:val="342568"/>
          <w:lang w:val="en-GB" w:eastAsia="ja-JP"/>
        </w:rPr>
        <w:t xml:space="preserve"> </w:t>
      </w:r>
      <w:r w:rsidR="00044CD1" w:rsidRPr="00044CD1">
        <w:rPr>
          <w:rFonts w:ascii="Franklin Gothic Book" w:eastAsia="MS Mincho" w:hAnsi="Franklin Gothic Book" w:cs="Calibri"/>
          <w:color w:val="342568"/>
          <w:lang w:val="en-GB" w:eastAsia="ja-JP"/>
        </w:rPr>
        <w:t>–</w:t>
      </w:r>
      <w:r w:rsidR="00044CD1">
        <w:rPr>
          <w:rFonts w:ascii="Franklin Gothic Book" w:eastAsia="MS Mincho" w:hAnsi="Franklin Gothic Book" w:cs="Calibri"/>
          <w:color w:val="342568"/>
          <w:lang w:val="en-GB" w:eastAsia="ja-JP"/>
        </w:rPr>
        <w:t xml:space="preserve"> </w:t>
      </w:r>
      <w:r>
        <w:rPr>
          <w:rFonts w:ascii="Franklin Gothic Book" w:eastAsia="MS Mincho" w:hAnsi="Franklin Gothic Book" w:cs="Calibri"/>
          <w:color w:val="342568"/>
          <w:lang w:val="en-GB" w:eastAsia="ja-JP"/>
        </w:rPr>
        <w:t>Molecular interactions and reactions</w:t>
      </w:r>
    </w:p>
    <w:p w:rsidR="00736351" w:rsidRPr="00AA491A" w:rsidRDefault="00736351" w:rsidP="00736351">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eastAsia="ja-JP"/>
        </w:rPr>
        <w:t>Science Inquiry Skills</w:t>
      </w:r>
    </w:p>
    <w:p w:rsidR="00736351" w:rsidRDefault="00736351" w:rsidP="00736351">
      <w:pPr>
        <w:spacing w:after="120"/>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736351" w:rsidRPr="00AA491A" w:rsidRDefault="00736351" w:rsidP="00736351">
      <w:pPr>
        <w:spacing w:after="120"/>
        <w:rPr>
          <w:rFonts w:asciiTheme="minorHAnsi" w:hAnsiTheme="minorHAnsi" w:cstheme="minorHAnsi"/>
          <w:b/>
          <w:sz w:val="22"/>
          <w:szCs w:val="22"/>
          <w:lang w:eastAsia="ja-JP"/>
        </w:rPr>
      </w:pPr>
      <w:r w:rsidRPr="00AA491A">
        <w:rPr>
          <w:rFonts w:asciiTheme="minorHAnsi" w:hAnsiTheme="minorHAnsi" w:cstheme="minorHAnsi"/>
          <w:b/>
          <w:sz w:val="22"/>
          <w:szCs w:val="22"/>
          <w:lang w:val="en-GB" w:eastAsia="ja-JP"/>
        </w:rPr>
        <w:t xml:space="preserve">Unit </w:t>
      </w:r>
      <w:r>
        <w:rPr>
          <w:rFonts w:asciiTheme="minorHAnsi" w:hAnsiTheme="minorHAnsi" w:cstheme="minorHAnsi"/>
          <w:b/>
          <w:sz w:val="22"/>
          <w:szCs w:val="22"/>
          <w:lang w:val="en-GB" w:eastAsia="ja-JP"/>
        </w:rPr>
        <w:t>2</w:t>
      </w:r>
      <w:r w:rsidRPr="00AA491A">
        <w:rPr>
          <w:rFonts w:asciiTheme="minorHAnsi" w:hAnsiTheme="minorHAnsi" w:cstheme="minorHAnsi"/>
          <w:b/>
          <w:sz w:val="22"/>
          <w:szCs w:val="22"/>
          <w:lang w:val="en-GB" w:eastAsia="ja-JP"/>
        </w:rPr>
        <w:t xml:space="preserve"> </w:t>
      </w:r>
      <w:r w:rsidRPr="00AA491A">
        <w:rPr>
          <w:rFonts w:asciiTheme="minorHAnsi" w:hAnsiTheme="minorHAnsi" w:cstheme="minorHAnsi"/>
          <w:b/>
          <w:sz w:val="22"/>
          <w:szCs w:val="22"/>
          <w:lang w:eastAsia="ja-JP"/>
        </w:rPr>
        <w:t>Science Inquiry Skills</w:t>
      </w:r>
    </w:p>
    <w:p w:rsidR="00736351" w:rsidRPr="00550108" w:rsidRDefault="00736351" w:rsidP="00736351">
      <w:pPr>
        <w:pStyle w:val="ListItem"/>
        <w:spacing w:before="0" w:after="0" w:line="240" w:lineRule="auto"/>
        <w:ind w:left="357" w:hanging="357"/>
      </w:pPr>
      <w:r>
        <w:t>i</w:t>
      </w:r>
      <w:r w:rsidRPr="00550108">
        <w:t>dentify, research and refine questions for investigation; propose hypotheses</w:t>
      </w:r>
      <w:r>
        <w:t>; and predict possible outcomes</w:t>
      </w:r>
    </w:p>
    <w:p w:rsidR="00736351" w:rsidRPr="00550108" w:rsidRDefault="00736351" w:rsidP="00736351">
      <w:pPr>
        <w:pStyle w:val="ListItem"/>
        <w:spacing w:before="0" w:after="0" w:line="240" w:lineRule="auto"/>
        <w:ind w:left="357" w:hanging="357"/>
      </w:pPr>
      <w:r>
        <w:t>d</w:t>
      </w:r>
      <w:r w:rsidRPr="00550108">
        <w:t xml:space="preserve">esign </w:t>
      </w:r>
      <w:r>
        <w:t>investigations and consider research ethics</w:t>
      </w:r>
    </w:p>
    <w:p w:rsidR="00736351" w:rsidRPr="00550108" w:rsidRDefault="00736351" w:rsidP="00736351">
      <w:pPr>
        <w:pStyle w:val="ListItem"/>
        <w:spacing w:before="0" w:after="0" w:line="240" w:lineRule="auto"/>
        <w:ind w:left="357" w:hanging="357"/>
      </w:pPr>
      <w:r>
        <w:t>c</w:t>
      </w:r>
      <w:r w:rsidRPr="00550108">
        <w:t>onduct investigations safely, competently a</w:t>
      </w:r>
      <w:r>
        <w:t>nd methodically</w:t>
      </w:r>
    </w:p>
    <w:p w:rsidR="00736351" w:rsidRPr="00550108" w:rsidRDefault="00736351" w:rsidP="00736351">
      <w:pPr>
        <w:pStyle w:val="ListItem"/>
        <w:spacing w:before="0" w:after="0" w:line="240" w:lineRule="auto"/>
        <w:ind w:left="357" w:hanging="357"/>
      </w:pPr>
      <w:r>
        <w:t>r</w:t>
      </w:r>
      <w:r w:rsidRPr="00550108">
        <w:t>epresent dat</w:t>
      </w:r>
      <w:r>
        <w:t>a in meaningful and useful ways</w:t>
      </w:r>
      <w:r w:rsidRPr="00550108">
        <w:t>; identify trends, patterns and relationships; identify sources of random and systematic error</w:t>
      </w:r>
      <w:r>
        <w:t xml:space="preserve">; </w:t>
      </w:r>
      <w:r w:rsidRPr="00441FF9">
        <w:t>identify anomalous data; estimate the effect of error on measured results;</w:t>
      </w:r>
      <w:r>
        <w:t xml:space="preserve"> and select,</w:t>
      </w:r>
      <w:r w:rsidRPr="00550108">
        <w:t xml:space="preserve"> synthesise and use evidence to make and </w:t>
      </w:r>
      <w:r>
        <w:t>justify conclusions</w:t>
      </w:r>
    </w:p>
    <w:p w:rsidR="00736351" w:rsidRPr="004A00B9" w:rsidRDefault="00736351" w:rsidP="00736351">
      <w:pPr>
        <w:pStyle w:val="ListItem"/>
        <w:spacing w:before="0" w:after="0" w:line="240" w:lineRule="auto"/>
        <w:ind w:left="357" w:hanging="357"/>
        <w:rPr>
          <w:rFonts w:asciiTheme="minorHAnsi" w:hAnsiTheme="minorHAnsi" w:cstheme="minorHAnsi"/>
          <w:lang w:val="en-GB" w:eastAsia="ja-JP"/>
        </w:rPr>
      </w:pPr>
      <w:r>
        <w:t>i</w:t>
      </w:r>
      <w:r w:rsidRPr="00550108">
        <w:t>nterpret a range of scientific and media texts, and evaluate processes, claims and conclusions by considering the quality of available evidence; and use reasoning to</w:t>
      </w:r>
      <w:r>
        <w:t xml:space="preserve"> construct scientific arguments</w:t>
      </w:r>
    </w:p>
    <w:p w:rsidR="00736351" w:rsidRPr="00993D7D" w:rsidRDefault="00736351" w:rsidP="000B7327">
      <w:pPr>
        <w:pStyle w:val="ListItem"/>
        <w:spacing w:before="0" w:after="240" w:line="240" w:lineRule="auto"/>
        <w:ind w:left="357" w:hanging="357"/>
        <w:rPr>
          <w:rFonts w:asciiTheme="minorHAnsi" w:hAnsiTheme="minorHAnsi" w:cstheme="minorHAnsi"/>
          <w:lang w:val="en-GB" w:eastAsia="ja-JP"/>
        </w:rPr>
      </w:pPr>
      <w:r>
        <w:t>c</w:t>
      </w:r>
      <w:r w:rsidRPr="00550108">
        <w:t xml:space="preserve">ommunicate to specific audiences and for specific purposes </w:t>
      </w:r>
    </w:p>
    <w:tbl>
      <w:tblPr>
        <w:tblStyle w:val="TableGrid"/>
        <w:tblW w:w="9356" w:type="dxa"/>
        <w:tblInd w:w="-34" w:type="dxa"/>
        <w:tblBorders>
          <w:top w:val="single" w:sz="4" w:space="0" w:color="D7C5E2" w:themeColor="accent4" w:themeTint="99"/>
          <w:left w:val="single" w:sz="4" w:space="0" w:color="D7C5E2" w:themeColor="accent4" w:themeTint="99"/>
          <w:bottom w:val="single" w:sz="4" w:space="0" w:color="D7C5E2" w:themeColor="accent4" w:themeTint="99"/>
          <w:right w:val="single" w:sz="4" w:space="0" w:color="D7C5E2" w:themeColor="accent4" w:themeTint="99"/>
          <w:insideH w:val="single" w:sz="4" w:space="0" w:color="D7C5E2" w:themeColor="accent4" w:themeTint="99"/>
          <w:insideV w:val="single" w:sz="4" w:space="0" w:color="D7C5E2"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177EC7" w:rsidRPr="00D770E8" w:rsidTr="0034740B">
        <w:trPr>
          <w:tblHeader/>
        </w:trPr>
        <w:tc>
          <w:tcPr>
            <w:tcW w:w="993" w:type="dxa"/>
            <w:tcBorders>
              <w:right w:val="single" w:sz="4" w:space="0" w:color="FFFFFF" w:themeColor="background1"/>
            </w:tcBorders>
            <w:shd w:val="clear" w:color="auto" w:fill="BD9FCF" w:themeFill="accent4"/>
            <w:vAlign w:val="center"/>
            <w:hideMark/>
          </w:tcPr>
          <w:p w:rsidR="00177EC7" w:rsidRPr="005A7D5B" w:rsidRDefault="00177EC7" w:rsidP="0034740B">
            <w:pPr>
              <w:spacing w:before="120" w:after="120"/>
              <w:jc w:val="center"/>
              <w:rPr>
                <w:rFonts w:asciiTheme="minorHAnsi" w:hAnsiTheme="minorHAnsi" w:cs="Arial"/>
                <w:b/>
                <w:color w:val="FFFFFF" w:themeColor="background1"/>
                <w:sz w:val="20"/>
                <w:szCs w:val="20"/>
                <w:lang w:eastAsia="en-US"/>
              </w:rPr>
            </w:pPr>
            <w:r w:rsidRPr="005A7D5B">
              <w:rPr>
                <w:rFonts w:asciiTheme="minorHAnsi" w:hAnsiTheme="minorHAnsi" w:cs="Arial"/>
                <w:b/>
                <w:color w:val="FFFFFF" w:themeColor="background1"/>
                <w:sz w:val="20"/>
                <w:szCs w:val="20"/>
                <w:lang w:eastAsia="en-US"/>
              </w:rPr>
              <w:t>Week</w:t>
            </w:r>
          </w:p>
        </w:tc>
        <w:tc>
          <w:tcPr>
            <w:tcW w:w="8363" w:type="dxa"/>
            <w:tcBorders>
              <w:left w:val="single" w:sz="4" w:space="0" w:color="FFFFFF" w:themeColor="background1"/>
            </w:tcBorders>
            <w:shd w:val="clear" w:color="auto" w:fill="BD9FCF" w:themeFill="accent4"/>
            <w:vAlign w:val="center"/>
            <w:hideMark/>
          </w:tcPr>
          <w:p w:rsidR="00177EC7" w:rsidRPr="005A7D5B" w:rsidRDefault="00177EC7" w:rsidP="0034740B">
            <w:pPr>
              <w:spacing w:before="120" w:after="120"/>
              <w:jc w:val="center"/>
              <w:rPr>
                <w:rFonts w:asciiTheme="minorHAnsi" w:hAnsiTheme="minorHAnsi" w:cs="Arial"/>
                <w:b/>
                <w:color w:val="FFFFFF" w:themeColor="background1"/>
                <w:sz w:val="20"/>
                <w:szCs w:val="20"/>
                <w:lang w:eastAsia="en-US"/>
              </w:rPr>
            </w:pPr>
            <w:r w:rsidRPr="005A7D5B">
              <w:rPr>
                <w:rFonts w:asciiTheme="minorHAnsi" w:hAnsiTheme="minorHAnsi" w:cs="Arial"/>
                <w:b/>
                <w:color w:val="FFFFFF" w:themeColor="background1"/>
                <w:sz w:val="20"/>
                <w:szCs w:val="20"/>
                <w:lang w:eastAsia="en-US"/>
              </w:rPr>
              <w:t>Key teaching points</w:t>
            </w:r>
          </w:p>
        </w:tc>
      </w:tr>
      <w:tr w:rsidR="00177EC7" w:rsidRPr="00D770E8" w:rsidTr="0034740B">
        <w:tc>
          <w:tcPr>
            <w:tcW w:w="993" w:type="dxa"/>
            <w:shd w:val="clear" w:color="auto" w:fill="E4D8EB" w:themeFill="accent4" w:themeFillTint="66"/>
            <w:vAlign w:val="center"/>
            <w:hideMark/>
          </w:tcPr>
          <w:p w:rsidR="00177EC7" w:rsidRPr="00D770E8" w:rsidRDefault="000B7327" w:rsidP="0034740B">
            <w:pPr>
              <w:jc w:val="center"/>
              <w:rPr>
                <w:rFonts w:asciiTheme="minorHAnsi" w:hAnsiTheme="minorHAnsi" w:cs="Arial"/>
                <w:sz w:val="20"/>
                <w:szCs w:val="20"/>
                <w:lang w:eastAsia="en-US"/>
              </w:rPr>
            </w:pPr>
            <w:r>
              <w:rPr>
                <w:rFonts w:asciiTheme="minorHAnsi" w:hAnsiTheme="minorHAnsi" w:cs="Arial"/>
                <w:sz w:val="20"/>
                <w:szCs w:val="20"/>
                <w:lang w:eastAsia="en-US"/>
              </w:rPr>
              <w:t>1–3</w:t>
            </w:r>
          </w:p>
        </w:tc>
        <w:tc>
          <w:tcPr>
            <w:tcW w:w="8363" w:type="dxa"/>
          </w:tcPr>
          <w:p w:rsidR="00177EC7" w:rsidRPr="00D770E8" w:rsidRDefault="00177EC7" w:rsidP="0034740B">
            <w:pPr>
              <w:rPr>
                <w:rFonts w:asciiTheme="minorHAnsi" w:hAnsiTheme="minorHAnsi" w:cs="Arial"/>
                <w:sz w:val="20"/>
                <w:szCs w:val="20"/>
                <w:lang w:eastAsia="en-US"/>
              </w:rPr>
            </w:pPr>
            <w:r w:rsidRPr="00D770E8">
              <w:rPr>
                <w:rFonts w:asciiTheme="minorHAnsi" w:hAnsiTheme="minorHAnsi" w:cs="Arial"/>
                <w:sz w:val="20"/>
                <w:szCs w:val="20"/>
                <w:lang w:eastAsia="en-US"/>
              </w:rPr>
              <w:t>Intermolecular forces and gases</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physical properties of covalent molecular substances and their relationship to intermolecular forces</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the valence shell electron pair repulsion (VSEPR) theory, Lewis structure diagrams and the shapes of molecules</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polarity of molecules as explained by shape, symmetry and bond polarity</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polarity of molecules and nature and strength of intermolecular forces</w:t>
            </w:r>
          </w:p>
          <w:p w:rsidR="00177EC7"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data from chromatography techniques to determine the composition and purity of substances</w:t>
            </w:r>
          </w:p>
          <w:p w:rsidR="00177EC7" w:rsidRDefault="00177EC7" w:rsidP="0034740B">
            <w:pPr>
              <w:pStyle w:val="ListParagraph"/>
              <w:numPr>
                <w:ilvl w:val="0"/>
                <w:numId w:val="11"/>
              </w:numPr>
              <w:ind w:left="459"/>
              <w:rPr>
                <w:rFonts w:asciiTheme="minorHAnsi" w:hAnsiTheme="minorHAnsi" w:cs="Arial"/>
                <w:sz w:val="20"/>
                <w:szCs w:val="20"/>
                <w:lang w:eastAsia="en-US"/>
              </w:rPr>
            </w:pPr>
            <w:r w:rsidRPr="00ED6056">
              <w:rPr>
                <w:rFonts w:asciiTheme="minorHAnsi" w:hAnsiTheme="minorHAnsi" w:cs="Arial"/>
                <w:sz w:val="20"/>
                <w:szCs w:val="20"/>
                <w:lang w:eastAsia="en-US"/>
              </w:rPr>
              <w:t xml:space="preserve">conduct investigations </w:t>
            </w:r>
            <w:r>
              <w:rPr>
                <w:rFonts w:asciiTheme="minorHAnsi" w:hAnsiTheme="minorHAnsi" w:cs="Arial"/>
                <w:sz w:val="20"/>
                <w:szCs w:val="20"/>
                <w:lang w:eastAsia="en-US"/>
              </w:rPr>
              <w:t>on chromatography (SIS)</w:t>
            </w:r>
          </w:p>
          <w:p w:rsidR="00177EC7" w:rsidRPr="00993952" w:rsidRDefault="00AB46EB" w:rsidP="0034740B">
            <w:pPr>
              <w:pStyle w:val="ListParagraph"/>
              <w:numPr>
                <w:ilvl w:val="0"/>
                <w:numId w:val="11"/>
              </w:numPr>
              <w:ind w:left="459"/>
              <w:rPr>
                <w:rFonts w:asciiTheme="minorHAnsi" w:hAnsiTheme="minorHAnsi" w:cs="Arial"/>
                <w:sz w:val="20"/>
                <w:szCs w:val="20"/>
                <w:lang w:eastAsia="en-US"/>
              </w:rPr>
            </w:pPr>
            <w:r>
              <w:rPr>
                <w:rFonts w:asciiTheme="minorHAnsi" w:hAnsiTheme="minorHAnsi" w:cs="Arial"/>
                <w:sz w:val="20"/>
                <w:szCs w:val="20"/>
                <w:lang w:eastAsia="en-US"/>
              </w:rPr>
              <w:t>c</w:t>
            </w:r>
            <w:r w:rsidR="00177EC7" w:rsidRPr="00A34674">
              <w:rPr>
                <w:rFonts w:asciiTheme="minorHAnsi" w:hAnsiTheme="minorHAnsi" w:cs="Arial"/>
                <w:sz w:val="20"/>
                <w:szCs w:val="20"/>
                <w:lang w:eastAsia="en-US"/>
              </w:rPr>
              <w:t>hromatographic techniques</w:t>
            </w:r>
            <w:r w:rsidR="00177EC7">
              <w:rPr>
                <w:rFonts w:asciiTheme="minorHAnsi" w:hAnsiTheme="minorHAnsi" w:cs="Arial"/>
                <w:sz w:val="20"/>
                <w:szCs w:val="20"/>
                <w:lang w:eastAsia="en-US"/>
              </w:rPr>
              <w:t xml:space="preserve"> </w:t>
            </w:r>
            <w:r w:rsidR="00177EC7" w:rsidRPr="00A34674">
              <w:rPr>
                <w:rFonts w:asciiTheme="minorHAnsi" w:hAnsiTheme="minorHAnsi" w:cs="Arial"/>
                <w:sz w:val="20"/>
                <w:szCs w:val="20"/>
                <w:lang w:eastAsia="en-US"/>
              </w:rPr>
              <w:t>are used to determine the components of a wide range of mixtures in various settings. The decision to use a particular chromatographic technique depends on a number of factors. Chromatographic techniques have a wide range of analytical and forensic applications</w:t>
            </w:r>
            <w:r w:rsidR="00177EC7">
              <w:rPr>
                <w:rFonts w:asciiTheme="minorHAnsi" w:hAnsiTheme="minorHAnsi" w:cs="Arial"/>
                <w:sz w:val="20"/>
                <w:szCs w:val="20"/>
                <w:lang w:eastAsia="en-US"/>
              </w:rPr>
              <w:t xml:space="preserve"> (SHE)</w:t>
            </w:r>
          </w:p>
        </w:tc>
      </w:tr>
      <w:tr w:rsidR="00177EC7" w:rsidRPr="00D770E8" w:rsidTr="0034740B">
        <w:tc>
          <w:tcPr>
            <w:tcW w:w="993" w:type="dxa"/>
            <w:shd w:val="clear" w:color="auto" w:fill="E4D8EB" w:themeFill="accent4" w:themeFillTint="66"/>
            <w:vAlign w:val="center"/>
          </w:tcPr>
          <w:p w:rsidR="00177EC7" w:rsidRPr="00D770E8" w:rsidRDefault="000B7327" w:rsidP="0034740B">
            <w:pPr>
              <w:jc w:val="center"/>
              <w:rPr>
                <w:rFonts w:asciiTheme="minorHAnsi" w:hAnsiTheme="minorHAnsi" w:cs="Arial"/>
                <w:sz w:val="20"/>
                <w:szCs w:val="20"/>
                <w:lang w:eastAsia="en-US"/>
              </w:rPr>
            </w:pPr>
            <w:r>
              <w:rPr>
                <w:rFonts w:asciiTheme="minorHAnsi" w:hAnsiTheme="minorHAnsi" w:cs="Arial"/>
                <w:sz w:val="20"/>
                <w:szCs w:val="20"/>
                <w:lang w:eastAsia="en-US"/>
              </w:rPr>
              <w:t>4–5</w:t>
            </w:r>
          </w:p>
        </w:tc>
        <w:tc>
          <w:tcPr>
            <w:tcW w:w="8363" w:type="dxa"/>
          </w:tcPr>
          <w:p w:rsidR="00177EC7" w:rsidRPr="00D770E8" w:rsidRDefault="00177EC7" w:rsidP="0034740B">
            <w:pPr>
              <w:rPr>
                <w:rFonts w:asciiTheme="minorHAnsi" w:hAnsiTheme="minorHAnsi" w:cs="Arial"/>
                <w:sz w:val="20"/>
                <w:szCs w:val="20"/>
                <w:lang w:eastAsia="en-US"/>
              </w:rPr>
            </w:pPr>
            <w:r w:rsidRPr="00D770E8">
              <w:rPr>
                <w:rFonts w:asciiTheme="minorHAnsi" w:hAnsiTheme="minorHAnsi" w:cs="Arial"/>
                <w:sz w:val="20"/>
                <w:szCs w:val="20"/>
                <w:lang w:eastAsia="en-US"/>
              </w:rPr>
              <w:t>Intermolecular forces and gases</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the behaviour of an ideal gas as explained by the Kinetic Theory</w:t>
            </w:r>
          </w:p>
          <w:p w:rsidR="00177EC7" w:rsidRPr="00914606"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the mole concept to calculate the mass of substances and volume of gases (at STP) involved in a chemical reaction</w:t>
            </w:r>
          </w:p>
        </w:tc>
      </w:tr>
      <w:tr w:rsidR="00177EC7" w:rsidRPr="00D770E8" w:rsidTr="0034740B">
        <w:tc>
          <w:tcPr>
            <w:tcW w:w="993" w:type="dxa"/>
            <w:shd w:val="clear" w:color="auto" w:fill="E4D8EB" w:themeFill="accent4" w:themeFillTint="66"/>
            <w:vAlign w:val="center"/>
          </w:tcPr>
          <w:p w:rsidR="00177EC7" w:rsidRPr="00D770E8" w:rsidRDefault="000B7327" w:rsidP="0034740B">
            <w:pPr>
              <w:jc w:val="center"/>
              <w:rPr>
                <w:rFonts w:asciiTheme="minorHAnsi" w:hAnsiTheme="minorHAnsi" w:cs="Arial"/>
                <w:sz w:val="20"/>
                <w:szCs w:val="20"/>
                <w:lang w:eastAsia="en-US"/>
              </w:rPr>
            </w:pPr>
            <w:r>
              <w:rPr>
                <w:rFonts w:asciiTheme="minorHAnsi" w:hAnsiTheme="minorHAnsi" w:cs="Arial"/>
                <w:sz w:val="20"/>
                <w:szCs w:val="20"/>
                <w:lang w:eastAsia="en-US"/>
              </w:rPr>
              <w:t>6–7</w:t>
            </w:r>
          </w:p>
        </w:tc>
        <w:tc>
          <w:tcPr>
            <w:tcW w:w="8363" w:type="dxa"/>
          </w:tcPr>
          <w:p w:rsidR="00177EC7" w:rsidRPr="00D770E8" w:rsidRDefault="00177EC7" w:rsidP="0034740B">
            <w:pPr>
              <w:rPr>
                <w:rFonts w:asciiTheme="minorHAnsi" w:hAnsiTheme="minorHAnsi" w:cs="Arial"/>
                <w:sz w:val="20"/>
                <w:szCs w:val="20"/>
                <w:lang w:eastAsia="en-US"/>
              </w:rPr>
            </w:pPr>
            <w:r w:rsidRPr="00D770E8">
              <w:rPr>
                <w:rFonts w:asciiTheme="minorHAnsi" w:hAnsiTheme="minorHAnsi" w:cs="Arial"/>
                <w:sz w:val="20"/>
                <w:szCs w:val="20"/>
                <w:lang w:eastAsia="en-US"/>
              </w:rPr>
              <w:t>Aqueous solutions and acidity</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the unique physical properties of water as explained by its molecular shape and hydrogen bonding between molecules</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saturated, unsaturated or supersaturated solutions and the concentration of a solution</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identification of specific ions in solution – flame tests and various types of chemical reactions</w:t>
            </w:r>
          </w:p>
          <w:p w:rsidR="00177EC7"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the solubility of substances in water</w:t>
            </w:r>
          </w:p>
          <w:p w:rsidR="00177EC7" w:rsidRDefault="00177EC7" w:rsidP="0034740B">
            <w:pPr>
              <w:pStyle w:val="ListParagraph"/>
              <w:numPr>
                <w:ilvl w:val="0"/>
                <w:numId w:val="11"/>
              </w:numPr>
              <w:ind w:left="459"/>
              <w:rPr>
                <w:rFonts w:asciiTheme="minorHAnsi" w:hAnsiTheme="minorHAnsi" w:cs="Arial"/>
                <w:sz w:val="20"/>
                <w:szCs w:val="20"/>
                <w:lang w:eastAsia="en-US"/>
              </w:rPr>
            </w:pPr>
            <w:r w:rsidRPr="00C82074">
              <w:rPr>
                <w:rFonts w:asciiTheme="minorHAnsi" w:hAnsiTheme="minorHAnsi" w:cs="Arial"/>
                <w:sz w:val="20"/>
                <w:szCs w:val="20"/>
                <w:lang w:eastAsia="en-US"/>
              </w:rPr>
              <w:t xml:space="preserve">conduct investigations </w:t>
            </w:r>
            <w:r>
              <w:rPr>
                <w:rFonts w:asciiTheme="minorHAnsi" w:hAnsiTheme="minorHAnsi" w:cs="Arial"/>
                <w:sz w:val="20"/>
                <w:szCs w:val="20"/>
                <w:lang w:eastAsia="en-US"/>
              </w:rPr>
              <w:t>to</w:t>
            </w:r>
            <w:r w:rsidRPr="00C82074">
              <w:rPr>
                <w:rFonts w:asciiTheme="minorHAnsi" w:hAnsiTheme="minorHAnsi" w:cs="Arial"/>
                <w:sz w:val="20"/>
                <w:szCs w:val="20"/>
                <w:lang w:eastAsia="en-US"/>
              </w:rPr>
              <w:t xml:space="preserve"> determin</w:t>
            </w:r>
            <w:r>
              <w:rPr>
                <w:rFonts w:asciiTheme="minorHAnsi" w:hAnsiTheme="minorHAnsi" w:cs="Arial"/>
                <w:sz w:val="20"/>
                <w:szCs w:val="20"/>
                <w:lang w:eastAsia="en-US"/>
              </w:rPr>
              <w:t>e</w:t>
            </w:r>
            <w:r w:rsidRPr="00C82074">
              <w:rPr>
                <w:rFonts w:asciiTheme="minorHAnsi" w:hAnsiTheme="minorHAnsi" w:cs="Arial"/>
                <w:sz w:val="20"/>
                <w:szCs w:val="20"/>
                <w:lang w:eastAsia="en-US"/>
              </w:rPr>
              <w:t xml:space="preserve"> solubilities of ionic compounds to recognise patterns in solubility</w:t>
            </w:r>
            <w:r>
              <w:rPr>
                <w:rFonts w:asciiTheme="minorHAnsi" w:hAnsiTheme="minorHAnsi" w:cs="Arial"/>
                <w:sz w:val="20"/>
                <w:szCs w:val="20"/>
                <w:lang w:eastAsia="en-US"/>
              </w:rPr>
              <w:t xml:space="preserve"> (SIS)</w:t>
            </w:r>
          </w:p>
          <w:p w:rsidR="00177EC7" w:rsidRPr="00993952" w:rsidRDefault="00AB46EB" w:rsidP="00AB46EB">
            <w:pPr>
              <w:pStyle w:val="ListParagraph"/>
              <w:numPr>
                <w:ilvl w:val="0"/>
                <w:numId w:val="11"/>
              </w:numPr>
              <w:ind w:left="459"/>
              <w:rPr>
                <w:rFonts w:asciiTheme="minorHAnsi" w:hAnsiTheme="minorHAnsi" w:cs="Arial"/>
                <w:sz w:val="20"/>
                <w:szCs w:val="20"/>
                <w:lang w:eastAsia="en-US"/>
              </w:rPr>
            </w:pPr>
            <w:r>
              <w:rPr>
                <w:rFonts w:asciiTheme="minorHAnsi" w:hAnsiTheme="minorHAnsi" w:cs="Arial"/>
                <w:sz w:val="20"/>
                <w:szCs w:val="20"/>
                <w:lang w:eastAsia="en-US"/>
              </w:rPr>
              <w:t>t</w:t>
            </w:r>
            <w:r w:rsidR="00177EC7" w:rsidRPr="00A6348E">
              <w:rPr>
                <w:rFonts w:asciiTheme="minorHAnsi" w:hAnsiTheme="minorHAnsi" w:cs="Arial"/>
                <w:sz w:val="20"/>
                <w:szCs w:val="20"/>
                <w:lang w:eastAsia="en-US"/>
              </w:rPr>
              <w:t xml:space="preserve">he supply of potable drinking water is an extremely important issue for both Australia and countries in the Asian region. Water sourced from groundwater and seawater undergoes a number of purification and treatment processes before it is delivered into the supply system. Chemists monitor drinking water quality to ensure that it meets the regulations for safe levels </w:t>
            </w:r>
            <w:r w:rsidR="00177EC7" w:rsidRPr="00A6348E">
              <w:rPr>
                <w:rFonts w:asciiTheme="minorHAnsi" w:hAnsiTheme="minorHAnsi" w:cs="Arial"/>
                <w:sz w:val="20"/>
                <w:szCs w:val="20"/>
                <w:lang w:eastAsia="en-US"/>
              </w:rPr>
              <w:lastRenderedPageBreak/>
              <w:t xml:space="preserve">of solutes. Heavy metal contamination in ground water is monitored to ensure that concentrations are at acceptable levels </w:t>
            </w:r>
            <w:r w:rsidR="00177EC7">
              <w:rPr>
                <w:rFonts w:asciiTheme="minorHAnsi" w:hAnsiTheme="minorHAnsi" w:cs="Arial"/>
                <w:sz w:val="20"/>
                <w:szCs w:val="20"/>
                <w:lang w:eastAsia="en-US"/>
              </w:rPr>
              <w:t>(SHE)</w:t>
            </w:r>
          </w:p>
        </w:tc>
      </w:tr>
      <w:tr w:rsidR="00177EC7" w:rsidRPr="00D770E8" w:rsidTr="0034740B">
        <w:tc>
          <w:tcPr>
            <w:tcW w:w="993" w:type="dxa"/>
            <w:shd w:val="clear" w:color="auto" w:fill="E4D8EB" w:themeFill="accent4" w:themeFillTint="66"/>
            <w:vAlign w:val="center"/>
            <w:hideMark/>
          </w:tcPr>
          <w:p w:rsidR="00177EC7" w:rsidRPr="00D770E8" w:rsidRDefault="000B7327" w:rsidP="0034740B">
            <w:pPr>
              <w:jc w:val="center"/>
              <w:rPr>
                <w:rFonts w:asciiTheme="minorHAnsi" w:hAnsiTheme="minorHAnsi" w:cs="Arial"/>
                <w:sz w:val="20"/>
                <w:szCs w:val="20"/>
                <w:lang w:eastAsia="en-US"/>
              </w:rPr>
            </w:pPr>
            <w:r>
              <w:rPr>
                <w:rFonts w:asciiTheme="minorHAnsi" w:hAnsiTheme="minorHAnsi" w:cs="Arial"/>
                <w:sz w:val="20"/>
                <w:szCs w:val="20"/>
                <w:lang w:eastAsia="en-US"/>
              </w:rPr>
              <w:lastRenderedPageBreak/>
              <w:t>8–11</w:t>
            </w:r>
          </w:p>
        </w:tc>
        <w:tc>
          <w:tcPr>
            <w:tcW w:w="8363" w:type="dxa"/>
          </w:tcPr>
          <w:p w:rsidR="00177EC7" w:rsidRPr="00D770E8" w:rsidRDefault="00177EC7" w:rsidP="0034740B">
            <w:pPr>
              <w:rPr>
                <w:rFonts w:asciiTheme="minorHAnsi" w:hAnsiTheme="minorHAnsi" w:cs="Arial"/>
                <w:sz w:val="20"/>
                <w:szCs w:val="20"/>
                <w:lang w:eastAsia="en-US"/>
              </w:rPr>
            </w:pPr>
            <w:r w:rsidRPr="00D770E8">
              <w:rPr>
                <w:rFonts w:asciiTheme="minorHAnsi" w:hAnsiTheme="minorHAnsi" w:cs="Arial"/>
                <w:sz w:val="20"/>
                <w:szCs w:val="20"/>
                <w:lang w:eastAsia="en-US"/>
              </w:rPr>
              <w:t>Aqueous solutions and acidity</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the Arrhenius model to explain the behaviour of strong and weak acids and bases in aqueous solutions</w:t>
            </w:r>
          </w:p>
          <w:p w:rsidR="00177EC7"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indicator colour and the pH scale</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C82074">
              <w:rPr>
                <w:rFonts w:asciiTheme="minorHAnsi" w:hAnsiTheme="minorHAnsi" w:cs="Arial"/>
                <w:sz w:val="20"/>
                <w:szCs w:val="20"/>
                <w:lang w:eastAsia="en-US"/>
              </w:rPr>
              <w:t xml:space="preserve">conduct investigations </w:t>
            </w:r>
            <w:r>
              <w:rPr>
                <w:rFonts w:asciiTheme="minorHAnsi" w:hAnsiTheme="minorHAnsi" w:cs="Arial"/>
                <w:sz w:val="20"/>
                <w:szCs w:val="20"/>
                <w:lang w:eastAsia="en-US"/>
              </w:rPr>
              <w:t>to measure pH (SIS)</w:t>
            </w:r>
          </w:p>
          <w:p w:rsidR="00177EC7"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patterns of the reactions of acids and bases</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C82074">
              <w:rPr>
                <w:rFonts w:asciiTheme="minorHAnsi" w:hAnsiTheme="minorHAnsi" w:cs="Arial"/>
                <w:sz w:val="20"/>
                <w:szCs w:val="20"/>
                <w:lang w:eastAsia="en-US"/>
              </w:rPr>
              <w:t xml:space="preserve">conduct investigations </w:t>
            </w:r>
            <w:r>
              <w:rPr>
                <w:rFonts w:asciiTheme="minorHAnsi" w:hAnsiTheme="minorHAnsi" w:cs="Arial"/>
                <w:sz w:val="20"/>
                <w:szCs w:val="20"/>
                <w:lang w:eastAsia="en-US"/>
              </w:rPr>
              <w:t>to</w:t>
            </w:r>
            <w:r w:rsidRPr="00C82074">
              <w:rPr>
                <w:rFonts w:asciiTheme="minorHAnsi" w:hAnsiTheme="minorHAnsi" w:cs="Arial"/>
                <w:sz w:val="20"/>
                <w:szCs w:val="20"/>
                <w:lang w:eastAsia="en-US"/>
              </w:rPr>
              <w:t xml:space="preserve"> </w:t>
            </w:r>
            <w:r>
              <w:rPr>
                <w:rFonts w:asciiTheme="minorHAnsi" w:hAnsiTheme="minorHAnsi" w:cs="Arial"/>
                <w:sz w:val="20"/>
                <w:szCs w:val="20"/>
                <w:lang w:eastAsia="en-US"/>
              </w:rPr>
              <w:t xml:space="preserve">identify </w:t>
            </w:r>
            <w:r w:rsidRPr="00C82074">
              <w:rPr>
                <w:rFonts w:asciiTheme="minorHAnsi" w:hAnsiTheme="minorHAnsi" w:cs="Arial"/>
                <w:sz w:val="20"/>
                <w:szCs w:val="20"/>
                <w:lang w:eastAsia="en-US"/>
              </w:rPr>
              <w:t>the products of reac</w:t>
            </w:r>
            <w:r>
              <w:rPr>
                <w:rFonts w:asciiTheme="minorHAnsi" w:hAnsiTheme="minorHAnsi" w:cs="Arial"/>
                <w:sz w:val="20"/>
                <w:szCs w:val="20"/>
                <w:lang w:eastAsia="en-US"/>
              </w:rPr>
              <w:t>tions (SIS)</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the mole concept to calculate the mass of solute, and solution concentrations and volumes involved in a chemical reaction</w:t>
            </w:r>
          </w:p>
          <w:p w:rsidR="00177EC7" w:rsidRPr="00D770E8" w:rsidRDefault="00177EC7" w:rsidP="0034740B">
            <w:pPr>
              <w:rPr>
                <w:rFonts w:asciiTheme="minorHAnsi" w:hAnsiTheme="minorHAnsi" w:cs="Arial"/>
                <w:sz w:val="20"/>
                <w:szCs w:val="20"/>
                <w:lang w:eastAsia="en-US"/>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9</w:t>
            </w:r>
            <w:r w:rsidRPr="00C63D25">
              <w:rPr>
                <w:rFonts w:asciiTheme="minorHAnsi" w:hAnsiTheme="minorHAnsi" w:cs="Arial"/>
                <w:b/>
                <w:sz w:val="20"/>
                <w:szCs w:val="20"/>
                <w:lang w:eastAsia="en-US"/>
              </w:rPr>
              <w:t xml:space="preserve">: </w:t>
            </w:r>
            <w:r w:rsidRPr="00745ED6">
              <w:rPr>
                <w:rFonts w:asciiTheme="minorHAnsi" w:hAnsiTheme="minorHAnsi" w:cs="Arial"/>
                <w:sz w:val="20"/>
                <w:szCs w:val="20"/>
                <w:lang w:eastAsia="en-US"/>
              </w:rPr>
              <w:t>Practical test</w:t>
            </w:r>
            <w:r w:rsidRPr="00D770E8">
              <w:rPr>
                <w:rFonts w:asciiTheme="minorHAnsi" w:hAnsiTheme="minorHAnsi" w:cs="Arial"/>
                <w:sz w:val="20"/>
                <w:szCs w:val="20"/>
                <w:lang w:eastAsia="en-US"/>
              </w:rPr>
              <w:t xml:space="preserve"> – Identification of unknown white powders </w:t>
            </w:r>
          </w:p>
          <w:p w:rsidR="00177EC7" w:rsidRPr="00D770E8" w:rsidRDefault="00177EC7" w:rsidP="0034740B">
            <w:pPr>
              <w:rPr>
                <w:rFonts w:asciiTheme="minorHAnsi" w:hAnsiTheme="minorHAnsi" w:cs="Arial"/>
                <w:sz w:val="20"/>
                <w:szCs w:val="20"/>
                <w:lang w:eastAsia="en-US"/>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10</w:t>
            </w:r>
            <w:r w:rsidRPr="00C63D25">
              <w:rPr>
                <w:rFonts w:asciiTheme="minorHAnsi" w:hAnsiTheme="minorHAnsi" w:cs="Arial"/>
                <w:b/>
                <w:sz w:val="20"/>
                <w:szCs w:val="20"/>
                <w:lang w:eastAsia="en-US"/>
              </w:rPr>
              <w:t xml:space="preserve">: </w:t>
            </w:r>
            <w:r w:rsidRPr="00745ED6">
              <w:rPr>
                <w:rFonts w:asciiTheme="minorHAnsi" w:hAnsiTheme="minorHAnsi" w:cs="Arial"/>
                <w:sz w:val="20"/>
                <w:szCs w:val="20"/>
                <w:lang w:eastAsia="en-US"/>
              </w:rPr>
              <w:t>Extended response</w:t>
            </w:r>
            <w:r w:rsidRPr="00D770E8">
              <w:rPr>
                <w:rFonts w:asciiTheme="minorHAnsi" w:hAnsiTheme="minorHAnsi" w:cs="Arial"/>
                <w:sz w:val="20"/>
                <w:szCs w:val="20"/>
                <w:lang w:eastAsia="en-US"/>
              </w:rPr>
              <w:t xml:space="preserve"> – Sources of acid rain and its effects on natural and built environments</w:t>
            </w:r>
          </w:p>
          <w:p w:rsidR="00177EC7" w:rsidRPr="00C63D25" w:rsidRDefault="00177EC7" w:rsidP="0034740B">
            <w:pPr>
              <w:rPr>
                <w:rFonts w:asciiTheme="minorHAnsi" w:hAnsiTheme="minorHAnsi" w:cs="Arial"/>
                <w:b/>
                <w:sz w:val="20"/>
                <w:szCs w:val="20"/>
                <w:lang w:eastAsia="en-US"/>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11</w:t>
            </w:r>
            <w:r w:rsidRPr="00C63D25">
              <w:rPr>
                <w:rFonts w:asciiTheme="minorHAnsi" w:hAnsiTheme="minorHAnsi" w:cs="Arial"/>
                <w:b/>
                <w:sz w:val="20"/>
                <w:szCs w:val="20"/>
                <w:lang w:eastAsia="en-US"/>
              </w:rPr>
              <w:t xml:space="preserve">: </w:t>
            </w:r>
            <w:r w:rsidRPr="00745ED6">
              <w:rPr>
                <w:rFonts w:asciiTheme="minorHAnsi" w:hAnsiTheme="minorHAnsi" w:cs="Arial"/>
                <w:sz w:val="20"/>
                <w:szCs w:val="20"/>
                <w:lang w:eastAsia="en-US"/>
              </w:rPr>
              <w:t>Test</w:t>
            </w:r>
          </w:p>
        </w:tc>
      </w:tr>
      <w:tr w:rsidR="00177EC7" w:rsidRPr="00D770E8" w:rsidTr="0034740B">
        <w:tc>
          <w:tcPr>
            <w:tcW w:w="993" w:type="dxa"/>
            <w:shd w:val="clear" w:color="auto" w:fill="E4D8EB" w:themeFill="accent4" w:themeFillTint="66"/>
            <w:vAlign w:val="center"/>
          </w:tcPr>
          <w:p w:rsidR="00177EC7" w:rsidRPr="00D770E8" w:rsidRDefault="000B7327" w:rsidP="0034740B">
            <w:pPr>
              <w:jc w:val="center"/>
              <w:rPr>
                <w:rFonts w:asciiTheme="minorHAnsi" w:hAnsiTheme="minorHAnsi" w:cs="Arial"/>
                <w:sz w:val="20"/>
                <w:szCs w:val="20"/>
                <w:lang w:eastAsia="en-US"/>
              </w:rPr>
            </w:pPr>
            <w:r>
              <w:rPr>
                <w:rFonts w:asciiTheme="minorHAnsi" w:hAnsiTheme="minorHAnsi" w:cs="Arial"/>
                <w:sz w:val="20"/>
                <w:szCs w:val="20"/>
                <w:lang w:eastAsia="en-US"/>
              </w:rPr>
              <w:t>12–14</w:t>
            </w:r>
          </w:p>
        </w:tc>
        <w:tc>
          <w:tcPr>
            <w:tcW w:w="8363" w:type="dxa"/>
          </w:tcPr>
          <w:p w:rsidR="00177EC7" w:rsidRPr="00D770E8" w:rsidRDefault="00177EC7" w:rsidP="0034740B">
            <w:pPr>
              <w:rPr>
                <w:rFonts w:asciiTheme="minorHAnsi" w:hAnsiTheme="minorHAnsi" w:cs="Arial"/>
                <w:sz w:val="20"/>
                <w:szCs w:val="20"/>
                <w:lang w:eastAsia="en-US"/>
              </w:rPr>
            </w:pPr>
            <w:r w:rsidRPr="00D770E8">
              <w:rPr>
                <w:rFonts w:asciiTheme="minorHAnsi" w:hAnsiTheme="minorHAnsi" w:cs="Arial"/>
                <w:sz w:val="20"/>
                <w:szCs w:val="20"/>
                <w:lang w:eastAsia="en-US"/>
              </w:rPr>
              <w:t>Rates of chemical reactions</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varying the conditions under which chemical reactions occur can affect the rate of the reaction</w:t>
            </w:r>
          </w:p>
          <w:p w:rsidR="00177EC7"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the rate of chemical reactions can be quantified by measuring the rate of formation of products or the depletion of reactants</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AA6C6F">
              <w:rPr>
                <w:rFonts w:asciiTheme="minorHAnsi" w:hAnsiTheme="minorHAnsi" w:cs="Arial"/>
                <w:sz w:val="20"/>
                <w:szCs w:val="20"/>
                <w:lang w:eastAsia="en-US"/>
              </w:rPr>
              <w:t xml:space="preserve">conduct investigations </w:t>
            </w:r>
            <w:r>
              <w:rPr>
                <w:rFonts w:asciiTheme="minorHAnsi" w:hAnsiTheme="minorHAnsi" w:cs="Arial"/>
                <w:sz w:val="20"/>
                <w:szCs w:val="20"/>
                <w:lang w:eastAsia="en-US"/>
              </w:rPr>
              <w:t>to observe effects of factors on</w:t>
            </w:r>
            <w:r w:rsidRPr="00AA6C6F">
              <w:rPr>
                <w:rFonts w:asciiTheme="minorHAnsi" w:hAnsiTheme="minorHAnsi" w:cs="Arial"/>
                <w:sz w:val="20"/>
                <w:szCs w:val="20"/>
                <w:lang w:eastAsia="en-US"/>
              </w:rPr>
              <w:t xml:space="preserve"> rate of reaction</w:t>
            </w:r>
            <w:r>
              <w:rPr>
                <w:rFonts w:asciiTheme="minorHAnsi" w:hAnsiTheme="minorHAnsi" w:cs="Arial"/>
                <w:sz w:val="20"/>
                <w:szCs w:val="20"/>
                <w:lang w:eastAsia="en-US"/>
              </w:rPr>
              <w:t xml:space="preserve"> (SIS)</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collision theory</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the activation energy and its influence on the rate of a chemical reaction</w:t>
            </w:r>
          </w:p>
          <w:p w:rsidR="00177EC7" w:rsidRPr="00D770E8"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energy profile diagrams</w:t>
            </w:r>
          </w:p>
          <w:p w:rsidR="00177EC7" w:rsidRDefault="00177EC7" w:rsidP="0034740B">
            <w:pPr>
              <w:pStyle w:val="ListParagraph"/>
              <w:numPr>
                <w:ilvl w:val="0"/>
                <w:numId w:val="11"/>
              </w:numPr>
              <w:ind w:left="459"/>
              <w:rPr>
                <w:rFonts w:asciiTheme="minorHAnsi" w:hAnsiTheme="minorHAnsi" w:cs="Arial"/>
                <w:sz w:val="20"/>
                <w:szCs w:val="20"/>
                <w:lang w:eastAsia="en-US"/>
              </w:rPr>
            </w:pPr>
            <w:r w:rsidRPr="00D770E8">
              <w:rPr>
                <w:rFonts w:asciiTheme="minorHAnsi" w:hAnsiTheme="minorHAnsi" w:cs="Arial"/>
                <w:sz w:val="20"/>
                <w:szCs w:val="20"/>
                <w:lang w:eastAsia="en-US"/>
              </w:rPr>
              <w:t>the role of a catalyst and its effect on reaction rate</w:t>
            </w:r>
          </w:p>
          <w:p w:rsidR="00177EC7" w:rsidRPr="00D770E8" w:rsidRDefault="00AB46EB" w:rsidP="0034740B">
            <w:pPr>
              <w:pStyle w:val="ListParagraph"/>
              <w:numPr>
                <w:ilvl w:val="0"/>
                <w:numId w:val="11"/>
              </w:numPr>
              <w:ind w:left="459"/>
              <w:rPr>
                <w:rFonts w:asciiTheme="minorHAnsi" w:hAnsiTheme="minorHAnsi" w:cs="Arial"/>
                <w:sz w:val="20"/>
                <w:szCs w:val="20"/>
                <w:lang w:eastAsia="en-US"/>
              </w:rPr>
            </w:pPr>
            <w:r>
              <w:rPr>
                <w:rFonts w:asciiTheme="minorHAnsi" w:hAnsiTheme="minorHAnsi" w:cs="Arial"/>
                <w:sz w:val="20"/>
                <w:szCs w:val="20"/>
                <w:lang w:eastAsia="en-US"/>
              </w:rPr>
              <w:t>c</w:t>
            </w:r>
            <w:r w:rsidR="00177EC7" w:rsidRPr="00FD23B3">
              <w:rPr>
                <w:rFonts w:asciiTheme="minorHAnsi" w:hAnsiTheme="minorHAnsi" w:cs="Arial"/>
                <w:sz w:val="20"/>
                <w:szCs w:val="20"/>
                <w:lang w:eastAsia="en-US"/>
              </w:rPr>
              <w:t xml:space="preserve">atalysts are used in many industrial processes in order to increase the rates of reactions that would otherwise be uneconomically slow. Catalysts are also used to reduce the emission of pollutants produced by car engines </w:t>
            </w:r>
            <w:r w:rsidR="00177EC7">
              <w:rPr>
                <w:rFonts w:asciiTheme="minorHAnsi" w:hAnsiTheme="minorHAnsi" w:cs="Arial"/>
                <w:sz w:val="20"/>
                <w:szCs w:val="20"/>
                <w:lang w:eastAsia="en-US"/>
              </w:rPr>
              <w:t>(SHE)</w:t>
            </w:r>
          </w:p>
          <w:p w:rsidR="00177EC7" w:rsidRPr="00D770E8" w:rsidRDefault="00177EC7" w:rsidP="0034740B">
            <w:pPr>
              <w:rPr>
                <w:rFonts w:asciiTheme="minorHAnsi" w:hAnsiTheme="minorHAnsi" w:cs="Arial"/>
                <w:sz w:val="20"/>
                <w:szCs w:val="20"/>
                <w:lang w:eastAsia="en-US"/>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12</w:t>
            </w:r>
            <w:r w:rsidRPr="00C63D25">
              <w:rPr>
                <w:rFonts w:asciiTheme="minorHAnsi" w:hAnsiTheme="minorHAnsi" w:cs="Arial"/>
                <w:b/>
                <w:sz w:val="20"/>
                <w:szCs w:val="20"/>
                <w:lang w:eastAsia="en-US"/>
              </w:rPr>
              <w:t xml:space="preserve">: </w:t>
            </w:r>
            <w:r w:rsidRPr="00745ED6">
              <w:rPr>
                <w:rFonts w:asciiTheme="minorHAnsi" w:hAnsiTheme="minorHAnsi" w:cs="Arial"/>
                <w:sz w:val="20"/>
                <w:szCs w:val="20"/>
                <w:lang w:eastAsia="en-US"/>
              </w:rPr>
              <w:t>Practical investigation</w:t>
            </w:r>
            <w:r w:rsidRPr="00D770E8">
              <w:rPr>
                <w:rFonts w:asciiTheme="minorHAnsi" w:hAnsiTheme="minorHAnsi" w:cs="Arial"/>
                <w:sz w:val="20"/>
                <w:szCs w:val="20"/>
                <w:lang w:eastAsia="en-US"/>
              </w:rPr>
              <w:t xml:space="preserve"> – Rates of reaction of acids with metal carbonates</w:t>
            </w:r>
          </w:p>
          <w:p w:rsidR="00177EC7" w:rsidRPr="00C63D25" w:rsidRDefault="00177EC7" w:rsidP="0034740B">
            <w:pPr>
              <w:rPr>
                <w:rFonts w:asciiTheme="minorHAnsi" w:hAnsiTheme="minorHAnsi" w:cs="Arial"/>
                <w:b/>
                <w:sz w:val="20"/>
                <w:szCs w:val="20"/>
                <w:lang w:eastAsia="en-US"/>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13</w:t>
            </w:r>
            <w:r w:rsidRPr="00C63D25">
              <w:rPr>
                <w:rFonts w:asciiTheme="minorHAnsi" w:hAnsiTheme="minorHAnsi" w:cs="Arial"/>
                <w:b/>
                <w:sz w:val="20"/>
                <w:szCs w:val="20"/>
                <w:lang w:eastAsia="en-US"/>
              </w:rPr>
              <w:t xml:space="preserve">: </w:t>
            </w:r>
            <w:r w:rsidRPr="00745ED6">
              <w:rPr>
                <w:rFonts w:asciiTheme="minorHAnsi" w:hAnsiTheme="minorHAnsi" w:cs="Arial"/>
                <w:sz w:val="20"/>
                <w:szCs w:val="20"/>
                <w:lang w:eastAsia="en-US"/>
              </w:rPr>
              <w:t>Test</w:t>
            </w:r>
          </w:p>
        </w:tc>
      </w:tr>
      <w:tr w:rsidR="00177EC7" w:rsidRPr="00D770E8" w:rsidTr="0034740B">
        <w:tc>
          <w:tcPr>
            <w:tcW w:w="993" w:type="dxa"/>
            <w:shd w:val="clear" w:color="auto" w:fill="E4D8EB" w:themeFill="accent4" w:themeFillTint="66"/>
            <w:vAlign w:val="center"/>
            <w:hideMark/>
          </w:tcPr>
          <w:p w:rsidR="00177EC7" w:rsidRPr="00D770E8" w:rsidRDefault="000B7327" w:rsidP="0034740B">
            <w:pPr>
              <w:jc w:val="center"/>
              <w:rPr>
                <w:rFonts w:asciiTheme="minorHAnsi" w:hAnsiTheme="minorHAnsi" w:cs="Arial"/>
                <w:sz w:val="20"/>
                <w:szCs w:val="20"/>
                <w:lang w:eastAsia="en-US"/>
              </w:rPr>
            </w:pPr>
            <w:r>
              <w:rPr>
                <w:rFonts w:asciiTheme="minorHAnsi" w:hAnsiTheme="minorHAnsi" w:cs="Arial"/>
                <w:sz w:val="20"/>
                <w:szCs w:val="20"/>
                <w:lang w:eastAsia="en-US"/>
              </w:rPr>
              <w:t>15</w:t>
            </w:r>
          </w:p>
        </w:tc>
        <w:tc>
          <w:tcPr>
            <w:tcW w:w="8363" w:type="dxa"/>
          </w:tcPr>
          <w:p w:rsidR="00177EC7" w:rsidRPr="00D770E8" w:rsidRDefault="00177EC7" w:rsidP="0034740B">
            <w:pPr>
              <w:rPr>
                <w:rFonts w:asciiTheme="minorHAnsi" w:hAnsiTheme="minorHAnsi" w:cs="Arial"/>
                <w:sz w:val="20"/>
                <w:szCs w:val="20"/>
                <w:lang w:eastAsia="en-US"/>
              </w:rPr>
            </w:pPr>
            <w:r w:rsidRPr="00D770E8">
              <w:rPr>
                <w:rFonts w:asciiTheme="minorHAnsi" w:hAnsiTheme="minorHAnsi" w:cs="Arial"/>
                <w:sz w:val="20"/>
                <w:szCs w:val="20"/>
                <w:lang w:eastAsia="en-US"/>
              </w:rPr>
              <w:t>Exam revision</w:t>
            </w:r>
          </w:p>
        </w:tc>
      </w:tr>
      <w:tr w:rsidR="00177EC7" w:rsidRPr="00D770E8" w:rsidTr="0034740B">
        <w:tc>
          <w:tcPr>
            <w:tcW w:w="993" w:type="dxa"/>
            <w:shd w:val="clear" w:color="auto" w:fill="E4D8EB" w:themeFill="accent4" w:themeFillTint="66"/>
            <w:vAlign w:val="center"/>
            <w:hideMark/>
          </w:tcPr>
          <w:p w:rsidR="00177EC7" w:rsidRPr="00D770E8" w:rsidRDefault="000B7327" w:rsidP="0034740B">
            <w:pPr>
              <w:jc w:val="center"/>
              <w:rPr>
                <w:rFonts w:asciiTheme="minorHAnsi" w:hAnsiTheme="minorHAnsi" w:cs="Arial"/>
                <w:sz w:val="20"/>
                <w:szCs w:val="20"/>
                <w:lang w:eastAsia="en-US"/>
              </w:rPr>
            </w:pPr>
            <w:r>
              <w:rPr>
                <w:rFonts w:asciiTheme="minorHAnsi" w:hAnsiTheme="minorHAnsi" w:cs="Arial"/>
                <w:sz w:val="20"/>
                <w:szCs w:val="20"/>
                <w:lang w:eastAsia="en-US"/>
              </w:rPr>
              <w:t>16</w:t>
            </w:r>
          </w:p>
        </w:tc>
        <w:tc>
          <w:tcPr>
            <w:tcW w:w="8363" w:type="dxa"/>
          </w:tcPr>
          <w:p w:rsidR="00177EC7" w:rsidRPr="00C63D25" w:rsidRDefault="00177EC7" w:rsidP="0034740B">
            <w:pPr>
              <w:rPr>
                <w:rFonts w:asciiTheme="minorHAnsi" w:hAnsiTheme="minorHAnsi" w:cs="Arial"/>
                <w:b/>
                <w:sz w:val="20"/>
                <w:szCs w:val="20"/>
                <w:lang w:eastAsia="en-US"/>
              </w:rPr>
            </w:pPr>
            <w:r w:rsidRPr="00C63D25">
              <w:rPr>
                <w:rFonts w:asciiTheme="minorHAnsi" w:hAnsiTheme="minorHAnsi" w:cs="Arial"/>
                <w:b/>
                <w:sz w:val="20"/>
                <w:szCs w:val="20"/>
                <w:lang w:eastAsia="en-US"/>
              </w:rPr>
              <w:t xml:space="preserve">Task </w:t>
            </w:r>
            <w:r>
              <w:rPr>
                <w:rFonts w:asciiTheme="minorHAnsi" w:hAnsiTheme="minorHAnsi" w:cs="Arial"/>
                <w:b/>
                <w:sz w:val="20"/>
                <w:szCs w:val="20"/>
                <w:lang w:eastAsia="en-US"/>
              </w:rPr>
              <w:t>14</w:t>
            </w:r>
            <w:r w:rsidRPr="00C63D25">
              <w:rPr>
                <w:rFonts w:asciiTheme="minorHAnsi" w:hAnsiTheme="minorHAnsi" w:cs="Arial"/>
                <w:b/>
                <w:sz w:val="20"/>
                <w:szCs w:val="20"/>
                <w:lang w:eastAsia="en-US"/>
              </w:rPr>
              <w:t>:</w:t>
            </w:r>
            <w:r w:rsidRPr="00745ED6">
              <w:rPr>
                <w:rFonts w:asciiTheme="minorHAnsi" w:hAnsiTheme="minorHAnsi" w:cs="Arial"/>
                <w:sz w:val="20"/>
                <w:szCs w:val="20"/>
                <w:lang w:eastAsia="en-US"/>
              </w:rPr>
              <w:t xml:space="preserve"> Examination</w:t>
            </w:r>
          </w:p>
        </w:tc>
      </w:tr>
    </w:tbl>
    <w:p w:rsidR="0002695F" w:rsidRPr="00015571" w:rsidRDefault="0002695F" w:rsidP="000A01AB">
      <w:pPr>
        <w:rPr>
          <w:rFonts w:ascii="Calibri" w:hAnsi="Calibri" w:cs="Calibri"/>
          <w:sz w:val="20"/>
          <w:szCs w:val="20"/>
        </w:rPr>
      </w:pPr>
      <w:bookmarkStart w:id="0" w:name="_GoBack"/>
      <w:bookmarkEnd w:id="0"/>
    </w:p>
    <w:sectPr w:rsidR="0002695F" w:rsidRPr="00015571" w:rsidSect="00EA0098">
      <w:headerReference w:type="even" r:id="rId12"/>
      <w:footerReference w:type="even" r:id="rId13"/>
      <w:headerReference w:type="first" r:id="rId14"/>
      <w:footerReference w:type="first" r:id="rId15"/>
      <w:pgSz w:w="11906" w:h="16838" w:code="9"/>
      <w:pgMar w:top="1440" w:right="849"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3D25" w:rsidRDefault="00C63D25" w:rsidP="00DB14C9">
      <w:r>
        <w:separator/>
      </w:r>
    </w:p>
  </w:endnote>
  <w:endnote w:type="continuationSeparator" w:id="0">
    <w:p w:rsidR="00C63D25" w:rsidRDefault="00C63D25" w:rsidP="00DB14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25" w:rsidRPr="00EA0098" w:rsidRDefault="00C63D25" w:rsidP="00661D04">
    <w:pPr>
      <w:pStyle w:val="Footer"/>
      <w:pBdr>
        <w:top w:val="single" w:sz="4" w:space="4" w:color="5C815C"/>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4C3AF0">
      <w:rPr>
        <w:rFonts w:ascii="Franklin Gothic Book" w:hAnsi="Franklin Gothic Book"/>
        <w:noProof/>
        <w:color w:val="342568"/>
        <w:sz w:val="16"/>
        <w:szCs w:val="16"/>
      </w:rPr>
      <w:t>16045v5</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25" w:rsidRPr="00DE34C4" w:rsidRDefault="00C63D25" w:rsidP="00C63D25">
    <w:pPr>
      <w:pStyle w:val="Footer"/>
      <w:pBdr>
        <w:top w:val="single" w:sz="4" w:space="4" w:color="774A92" w:themeColor="accent3" w:themeShade="BF"/>
      </w:pBdr>
      <w:tabs>
        <w:tab w:val="clear" w:pos="4513"/>
        <w:tab w:val="clear" w:pos="9026"/>
      </w:tabs>
      <w:rPr>
        <w:rFonts w:ascii="Franklin Gothic Book" w:hAnsi="Franklin Gothic Book"/>
        <w:color w:val="342568"/>
        <w:sz w:val="16"/>
        <w:szCs w:val="16"/>
      </w:rPr>
    </w:pPr>
    <w:r w:rsidRPr="00507F00">
      <w:rPr>
        <w:rFonts w:ascii="Franklin Gothic Book" w:hAnsi="Franklin Gothic Book"/>
        <w:noProof/>
        <w:color w:val="342568"/>
        <w:sz w:val="16"/>
        <w:szCs w:val="16"/>
      </w:rPr>
      <w:t>2014/</w:t>
    </w:r>
    <w:r w:rsidR="004C66FE">
      <w:rPr>
        <w:rFonts w:ascii="Franklin Gothic Book" w:hAnsi="Franklin Gothic Book"/>
        <w:noProof/>
        <w:color w:val="342568"/>
        <w:sz w:val="16"/>
        <w:szCs w:val="16"/>
      </w:rPr>
      <w:t>10315v5</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25" w:rsidRPr="00EA0098" w:rsidRDefault="00C63D25" w:rsidP="00661D04">
    <w:pPr>
      <w:pStyle w:val="Footer"/>
      <w:pBdr>
        <w:top w:val="single" w:sz="4" w:space="4" w:color="5C815C"/>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Chemistry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25" w:rsidRPr="00EA0098" w:rsidRDefault="00C63D25" w:rsidP="00661D04">
    <w:pPr>
      <w:pStyle w:val="Footer"/>
      <w:pBdr>
        <w:top w:val="single" w:sz="4" w:space="4" w:color="5C815C"/>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Chemistry</w:t>
    </w:r>
    <w:r w:rsidRPr="00D41604">
      <w:rPr>
        <w:rFonts w:ascii="Franklin Gothic Book" w:hAnsi="Franklin Gothic Book"/>
        <w:b/>
        <w:noProof/>
        <w:color w:val="342568"/>
        <w:sz w:val="18"/>
        <w:szCs w:val="18"/>
      </w:rPr>
      <w:t xml:space="preserve"> | </w:t>
    </w:r>
    <w:r>
      <w:rPr>
        <w:rFonts w:ascii="Franklin Gothic Book" w:hAnsi="Franklin Gothic Book"/>
        <w:b/>
        <w:noProof/>
        <w:color w:val="342568"/>
        <w:sz w:val="18"/>
        <w:szCs w:val="18"/>
      </w:rPr>
      <w:t>ATAR</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 xml:space="preserve">Year 11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3D25" w:rsidRDefault="00C63D25" w:rsidP="00DB14C9">
      <w:r>
        <w:separator/>
      </w:r>
    </w:p>
  </w:footnote>
  <w:footnote w:type="continuationSeparator" w:id="0">
    <w:p w:rsidR="00C63D25" w:rsidRDefault="00C63D25" w:rsidP="00DB14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25" w:rsidRDefault="00C63D25" w:rsidP="00EB5A0C">
    <w:pPr>
      <w:pStyle w:val="Header"/>
      <w:ind w:left="-567"/>
    </w:pPr>
    <w:r>
      <w:rPr>
        <w:noProof/>
        <w:lang w:val="en-GB" w:eastAsia="en-GB"/>
      </w:rPr>
      <w:drawing>
        <wp:inline distT="0" distB="0" distL="0" distR="0" wp14:anchorId="45256E36" wp14:editId="4801E7AE">
          <wp:extent cx="4529130" cy="702000"/>
          <wp:effectExtent l="0" t="0" r="508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SA_and_Government_WA_purple.jpg"/>
                  <pic:cNvPicPr/>
                </pic:nvPicPr>
                <pic:blipFill>
                  <a:blip r:embed="rId1">
                    <a:extLst>
                      <a:ext uri="{28A0092B-C50C-407E-A947-70E740481C1C}">
                        <a14:useLocalDpi xmlns:a14="http://schemas.microsoft.com/office/drawing/2010/main" val="0"/>
                      </a:ext>
                    </a:extLst>
                  </a:blip>
                  <a:stretch>
                    <a:fillRect/>
                  </a:stretch>
                </pic:blipFill>
                <pic:spPr>
                  <a:xfrm>
                    <a:off x="0" y="0"/>
                    <a:ext cx="4529130" cy="702000"/>
                  </a:xfrm>
                  <a:prstGeom prst="rect">
                    <a:avLst/>
                  </a:prstGeom>
                </pic:spPr>
              </pic:pic>
            </a:graphicData>
          </a:graphic>
        </wp:inline>
      </w:drawing>
    </w:r>
  </w:p>
  <w:p w:rsidR="00C63D25" w:rsidRDefault="00C63D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25" w:rsidRPr="001B3981" w:rsidRDefault="00C63D25" w:rsidP="00661D04">
    <w:pPr>
      <w:pStyle w:val="Header"/>
      <w:pBdr>
        <w:bottom w:val="single" w:sz="8" w:space="1" w:color="5C815C"/>
      </w:pBdr>
      <w:tabs>
        <w:tab w:val="clear" w:pos="4513"/>
        <w:tab w:val="clear" w:pos="9026"/>
      </w:tabs>
      <w:ind w:left="-1276" w:right="9901"/>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66FE">
      <w:rPr>
        <w:rFonts w:ascii="Franklin Gothic Book" w:hAnsi="Franklin Gothic Book"/>
        <w:b/>
        <w:noProof/>
        <w:color w:val="46328C"/>
        <w:sz w:val="32"/>
      </w:rPr>
      <w:t>2</w:t>
    </w:r>
    <w:r w:rsidRPr="001B3981">
      <w:rPr>
        <w:rFonts w:ascii="Franklin Gothic Book" w:hAnsi="Franklin Gothic Book"/>
        <w:b/>
        <w:noProof/>
        <w:color w:val="46328C"/>
        <w:sz w:val="3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3D25" w:rsidRPr="001B3981" w:rsidRDefault="00C63D25" w:rsidP="00661D04">
    <w:pPr>
      <w:pStyle w:val="Header"/>
      <w:pBdr>
        <w:bottom w:val="single" w:sz="8" w:space="1" w:color="5C815C"/>
      </w:pBdr>
      <w:tabs>
        <w:tab w:val="clear" w:pos="4513"/>
        <w:tab w:val="clear" w:pos="9026"/>
      </w:tabs>
      <w:ind w:left="9356" w:right="-731"/>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4C66FE">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C63D25" w:rsidRPr="00D770E8" w:rsidRDefault="00C63D25" w:rsidP="00D770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C10FB"/>
    <w:multiLevelType w:val="hybridMultilevel"/>
    <w:tmpl w:val="2BB05B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2C073AB"/>
    <w:multiLevelType w:val="hybridMultilevel"/>
    <w:tmpl w:val="4BD0F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286E6B"/>
    <w:multiLevelType w:val="hybridMultilevel"/>
    <w:tmpl w:val="6E78517E"/>
    <w:lvl w:ilvl="0" w:tplc="CA7A47DE">
      <w:start w:val="1"/>
      <w:numFmt w:val="bullet"/>
      <w:lvlText w:val=""/>
      <w:lvlJc w:val="left"/>
      <w:pPr>
        <w:ind w:left="360" w:hanging="360"/>
      </w:pPr>
      <w:rPr>
        <w:rFonts w:ascii="Symbol" w:hAnsi="Symbol" w:hint="default"/>
        <w:sz w:val="18"/>
        <w:szCs w:val="18"/>
      </w:rPr>
    </w:lvl>
    <w:lvl w:ilvl="1" w:tplc="04090005">
      <w:start w:val="1"/>
      <w:numFmt w:val="bullet"/>
      <w:lvlText w:val=""/>
      <w:lvlJc w:val="left"/>
      <w:pPr>
        <w:ind w:left="1080" w:hanging="360"/>
      </w:pPr>
      <w:rPr>
        <w:rFonts w:ascii="Wingdings" w:hAnsi="Wingdings"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3" w15:restartNumberingAfterBreak="0">
    <w:nsid w:val="19F32457"/>
    <w:multiLevelType w:val="hybridMultilevel"/>
    <w:tmpl w:val="BEEAA4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B815AA0"/>
    <w:multiLevelType w:val="hybridMultilevel"/>
    <w:tmpl w:val="CC349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C502289"/>
    <w:multiLevelType w:val="hybridMultilevel"/>
    <w:tmpl w:val="362A32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354172"/>
    <w:multiLevelType w:val="hybridMultilevel"/>
    <w:tmpl w:val="E19A9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4AB3068"/>
    <w:multiLevelType w:val="hybridMultilevel"/>
    <w:tmpl w:val="6B505B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6B87333"/>
    <w:multiLevelType w:val="hybridMultilevel"/>
    <w:tmpl w:val="989AF5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C6A766D"/>
    <w:multiLevelType w:val="hybridMultilevel"/>
    <w:tmpl w:val="09567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4261635"/>
    <w:multiLevelType w:val="hybridMultilevel"/>
    <w:tmpl w:val="FEE64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C88512C"/>
    <w:multiLevelType w:val="hybridMultilevel"/>
    <w:tmpl w:val="8BC0AF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5D45EC6"/>
    <w:multiLevelType w:val="hybridMultilevel"/>
    <w:tmpl w:val="6186D284"/>
    <w:lvl w:ilvl="0" w:tplc="CCEADFFC">
      <w:start w:val="1"/>
      <w:numFmt w:val="bullet"/>
      <w:lvlText w:val=""/>
      <w:lvlJc w:val="left"/>
      <w:pPr>
        <w:tabs>
          <w:tab w:val="num" w:pos="360"/>
        </w:tabs>
        <w:ind w:left="360" w:hanging="360"/>
      </w:pPr>
      <w:rPr>
        <w:rFonts w:ascii="Symbol" w:hAnsi="Symbol" w:hint="default"/>
        <w:sz w:val="18"/>
        <w:szCs w:val="18"/>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start w:val="1"/>
      <w:numFmt w:val="bullet"/>
      <w:lvlText w:val=""/>
      <w:lvlJc w:val="left"/>
      <w:pPr>
        <w:tabs>
          <w:tab w:val="num" w:pos="1800"/>
        </w:tabs>
        <w:ind w:left="1800" w:hanging="360"/>
      </w:pPr>
      <w:rPr>
        <w:rFonts w:ascii="Wingdings" w:hAnsi="Wingdings" w:hint="default"/>
      </w:rPr>
    </w:lvl>
    <w:lvl w:ilvl="3" w:tplc="0C090001">
      <w:start w:val="1"/>
      <w:numFmt w:val="bullet"/>
      <w:lvlText w:val=""/>
      <w:lvlJc w:val="left"/>
      <w:pPr>
        <w:tabs>
          <w:tab w:val="num" w:pos="2520"/>
        </w:tabs>
        <w:ind w:left="2520" w:hanging="360"/>
      </w:pPr>
      <w:rPr>
        <w:rFonts w:ascii="Symbol" w:hAnsi="Symbol" w:hint="default"/>
      </w:rPr>
    </w:lvl>
    <w:lvl w:ilvl="4" w:tplc="0C090003">
      <w:start w:val="1"/>
      <w:numFmt w:val="bullet"/>
      <w:lvlText w:val="o"/>
      <w:lvlJc w:val="left"/>
      <w:pPr>
        <w:tabs>
          <w:tab w:val="num" w:pos="3240"/>
        </w:tabs>
        <w:ind w:left="3240" w:hanging="360"/>
      </w:pPr>
      <w:rPr>
        <w:rFonts w:ascii="Courier New" w:hAnsi="Courier New" w:cs="Courier New" w:hint="default"/>
      </w:rPr>
    </w:lvl>
    <w:lvl w:ilvl="5" w:tplc="0C090005">
      <w:start w:val="1"/>
      <w:numFmt w:val="bullet"/>
      <w:lvlText w:val=""/>
      <w:lvlJc w:val="left"/>
      <w:pPr>
        <w:tabs>
          <w:tab w:val="num" w:pos="3960"/>
        </w:tabs>
        <w:ind w:left="3960" w:hanging="360"/>
      </w:pPr>
      <w:rPr>
        <w:rFonts w:ascii="Wingdings" w:hAnsi="Wingdings" w:hint="default"/>
      </w:rPr>
    </w:lvl>
    <w:lvl w:ilvl="6" w:tplc="0C090001">
      <w:start w:val="1"/>
      <w:numFmt w:val="bullet"/>
      <w:lvlText w:val=""/>
      <w:lvlJc w:val="left"/>
      <w:pPr>
        <w:tabs>
          <w:tab w:val="num" w:pos="4680"/>
        </w:tabs>
        <w:ind w:left="4680" w:hanging="360"/>
      </w:pPr>
      <w:rPr>
        <w:rFonts w:ascii="Symbol" w:hAnsi="Symbol" w:hint="default"/>
      </w:rPr>
    </w:lvl>
    <w:lvl w:ilvl="7" w:tplc="0C090003">
      <w:start w:val="1"/>
      <w:numFmt w:val="bullet"/>
      <w:lvlText w:val="o"/>
      <w:lvlJc w:val="left"/>
      <w:pPr>
        <w:tabs>
          <w:tab w:val="num" w:pos="5400"/>
        </w:tabs>
        <w:ind w:left="5400" w:hanging="360"/>
      </w:pPr>
      <w:rPr>
        <w:rFonts w:ascii="Courier New" w:hAnsi="Courier New" w:cs="Courier New" w:hint="default"/>
      </w:rPr>
    </w:lvl>
    <w:lvl w:ilvl="8" w:tplc="0C090005">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16642CD"/>
    <w:multiLevelType w:val="hybridMultilevel"/>
    <w:tmpl w:val="F0D6D0CC"/>
    <w:lvl w:ilvl="0" w:tplc="92A2CE38">
      <w:numFmt w:val="bullet"/>
      <w:pStyle w:val="csbullet"/>
      <w:lvlText w:val=""/>
      <w:lvlJc w:val="left"/>
      <w:pPr>
        <w:tabs>
          <w:tab w:val="num" w:pos="170"/>
        </w:tabs>
        <w:ind w:left="170" w:hanging="170"/>
      </w:pPr>
      <w:rPr>
        <w:rFonts w:ascii="Symbol" w:hAnsi="Symbol" w:hint="default"/>
        <w:color w:val="auto"/>
      </w:rPr>
    </w:lvl>
    <w:lvl w:ilvl="1" w:tplc="B6102C9E">
      <w:numFmt w:val="bullet"/>
      <w:lvlText w:val=""/>
      <w:lvlJc w:val="left"/>
      <w:pPr>
        <w:tabs>
          <w:tab w:val="num" w:pos="737"/>
        </w:tabs>
        <w:ind w:left="737" w:hanging="283"/>
      </w:pPr>
      <w:rPr>
        <w:rFonts w:ascii="Wingdings" w:hAnsi="Wingdings" w:hint="default"/>
        <w:color w:val="auto"/>
        <w:sz w:val="20"/>
        <w:szCs w:val="20"/>
      </w:rPr>
    </w:lvl>
    <w:lvl w:ilvl="2" w:tplc="04090005">
      <w:start w:val="1"/>
      <w:numFmt w:val="bullet"/>
      <w:lvlText w:val=""/>
      <w:lvlJc w:val="left"/>
      <w:pPr>
        <w:tabs>
          <w:tab w:val="num" w:pos="4919"/>
        </w:tabs>
        <w:ind w:left="4919" w:hanging="360"/>
      </w:pPr>
      <w:rPr>
        <w:rFonts w:ascii="Wingdings" w:hAnsi="Wingdings" w:hint="default"/>
      </w:rPr>
    </w:lvl>
    <w:lvl w:ilvl="3" w:tplc="04090001">
      <w:start w:val="1"/>
      <w:numFmt w:val="bullet"/>
      <w:lvlText w:val=""/>
      <w:lvlJc w:val="left"/>
      <w:pPr>
        <w:tabs>
          <w:tab w:val="num" w:pos="5639"/>
        </w:tabs>
        <w:ind w:left="5639" w:hanging="360"/>
      </w:pPr>
      <w:rPr>
        <w:rFonts w:ascii="Symbol" w:hAnsi="Symbol" w:hint="default"/>
      </w:rPr>
    </w:lvl>
    <w:lvl w:ilvl="4" w:tplc="04090003">
      <w:start w:val="1"/>
      <w:numFmt w:val="bullet"/>
      <w:lvlText w:val="o"/>
      <w:lvlJc w:val="left"/>
      <w:pPr>
        <w:tabs>
          <w:tab w:val="num" w:pos="6359"/>
        </w:tabs>
        <w:ind w:left="6359" w:hanging="360"/>
      </w:pPr>
      <w:rPr>
        <w:rFonts w:ascii="Courier New" w:hAnsi="Courier New" w:cs="Times New Roman" w:hint="default"/>
      </w:rPr>
    </w:lvl>
    <w:lvl w:ilvl="5" w:tplc="04090005">
      <w:start w:val="1"/>
      <w:numFmt w:val="bullet"/>
      <w:lvlText w:val=""/>
      <w:lvlJc w:val="left"/>
      <w:pPr>
        <w:tabs>
          <w:tab w:val="num" w:pos="7079"/>
        </w:tabs>
        <w:ind w:left="7079" w:hanging="360"/>
      </w:pPr>
      <w:rPr>
        <w:rFonts w:ascii="Wingdings" w:hAnsi="Wingdings" w:hint="default"/>
      </w:rPr>
    </w:lvl>
    <w:lvl w:ilvl="6" w:tplc="04090001">
      <w:start w:val="1"/>
      <w:numFmt w:val="bullet"/>
      <w:lvlText w:val=""/>
      <w:lvlJc w:val="left"/>
      <w:pPr>
        <w:tabs>
          <w:tab w:val="num" w:pos="7799"/>
        </w:tabs>
        <w:ind w:left="7799" w:hanging="360"/>
      </w:pPr>
      <w:rPr>
        <w:rFonts w:ascii="Symbol" w:hAnsi="Symbol" w:hint="default"/>
      </w:rPr>
    </w:lvl>
    <w:lvl w:ilvl="7" w:tplc="04090003">
      <w:start w:val="1"/>
      <w:numFmt w:val="bullet"/>
      <w:lvlText w:val="o"/>
      <w:lvlJc w:val="left"/>
      <w:pPr>
        <w:tabs>
          <w:tab w:val="num" w:pos="8519"/>
        </w:tabs>
        <w:ind w:left="8519" w:hanging="360"/>
      </w:pPr>
      <w:rPr>
        <w:rFonts w:ascii="Courier New" w:hAnsi="Courier New" w:cs="Times New Roman" w:hint="default"/>
      </w:rPr>
    </w:lvl>
    <w:lvl w:ilvl="8" w:tplc="04090005">
      <w:start w:val="1"/>
      <w:numFmt w:val="bullet"/>
      <w:lvlText w:val=""/>
      <w:lvlJc w:val="left"/>
      <w:pPr>
        <w:tabs>
          <w:tab w:val="num" w:pos="9239"/>
        </w:tabs>
        <w:ind w:left="9239" w:hanging="360"/>
      </w:pPr>
      <w:rPr>
        <w:rFonts w:ascii="Wingdings" w:hAnsi="Wingdings" w:hint="default"/>
      </w:rPr>
    </w:lvl>
  </w:abstractNum>
  <w:abstractNum w:abstractNumId="14" w15:restartNumberingAfterBreak="0">
    <w:nsid w:val="61FF4262"/>
    <w:multiLevelType w:val="hybridMultilevel"/>
    <w:tmpl w:val="D40C65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6CBF2513"/>
    <w:multiLevelType w:val="hybridMultilevel"/>
    <w:tmpl w:val="3412EB66"/>
    <w:lvl w:ilvl="0" w:tplc="2F10FF66">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73670B0D"/>
    <w:multiLevelType w:val="hybridMultilevel"/>
    <w:tmpl w:val="39E6A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41D4553"/>
    <w:multiLevelType w:val="hybridMultilevel"/>
    <w:tmpl w:val="9C503A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4"/>
  </w:num>
  <w:num w:numId="5">
    <w:abstractNumId w:val="1"/>
  </w:num>
  <w:num w:numId="6">
    <w:abstractNumId w:val="7"/>
  </w:num>
  <w:num w:numId="7">
    <w:abstractNumId w:val="11"/>
  </w:num>
  <w:num w:numId="8">
    <w:abstractNumId w:val="6"/>
  </w:num>
  <w:num w:numId="9">
    <w:abstractNumId w:val="14"/>
  </w:num>
  <w:num w:numId="10">
    <w:abstractNumId w:val="5"/>
  </w:num>
  <w:num w:numId="11">
    <w:abstractNumId w:val="17"/>
  </w:num>
  <w:num w:numId="12">
    <w:abstractNumId w:val="8"/>
  </w:num>
  <w:num w:numId="13">
    <w:abstractNumId w:val="9"/>
  </w:num>
  <w:num w:numId="14">
    <w:abstractNumId w:val="16"/>
  </w:num>
  <w:num w:numId="15">
    <w:abstractNumId w:val="3"/>
  </w:num>
  <w:num w:numId="16">
    <w:abstractNumId w:val="0"/>
  </w:num>
  <w:num w:numId="17">
    <w:abstractNumId w:val="10"/>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evenAndOddHeaders/>
  <w:drawingGridHorizontalSpacing w:val="110"/>
  <w:drawingGridVerticalSpacing w:val="163"/>
  <w:displayHorizontalDrawingGridEvery w:val="0"/>
  <w:displayVerticalDrawingGridEvery w:val="2"/>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722"/>
    <w:rsid w:val="00015571"/>
    <w:rsid w:val="0002695F"/>
    <w:rsid w:val="00044490"/>
    <w:rsid w:val="00044CD1"/>
    <w:rsid w:val="00063A59"/>
    <w:rsid w:val="000A01AB"/>
    <w:rsid w:val="000A3ED3"/>
    <w:rsid w:val="000B7327"/>
    <w:rsid w:val="000E2F2D"/>
    <w:rsid w:val="0012166C"/>
    <w:rsid w:val="001228B6"/>
    <w:rsid w:val="00177EC7"/>
    <w:rsid w:val="00192AB4"/>
    <w:rsid w:val="001A065F"/>
    <w:rsid w:val="001A2418"/>
    <w:rsid w:val="001B0923"/>
    <w:rsid w:val="001C4945"/>
    <w:rsid w:val="001D242A"/>
    <w:rsid w:val="00200C9F"/>
    <w:rsid w:val="00230913"/>
    <w:rsid w:val="00232B13"/>
    <w:rsid w:val="00240545"/>
    <w:rsid w:val="002421B1"/>
    <w:rsid w:val="00251AA2"/>
    <w:rsid w:val="00266EC9"/>
    <w:rsid w:val="00270AF8"/>
    <w:rsid w:val="00285E71"/>
    <w:rsid w:val="00292B55"/>
    <w:rsid w:val="002A6598"/>
    <w:rsid w:val="002B5CE2"/>
    <w:rsid w:val="002D58E1"/>
    <w:rsid w:val="002D701E"/>
    <w:rsid w:val="0030052A"/>
    <w:rsid w:val="00301906"/>
    <w:rsid w:val="00313D38"/>
    <w:rsid w:val="00315B1A"/>
    <w:rsid w:val="003265B0"/>
    <w:rsid w:val="00326D54"/>
    <w:rsid w:val="003356D5"/>
    <w:rsid w:val="00346091"/>
    <w:rsid w:val="00364FFF"/>
    <w:rsid w:val="0038676B"/>
    <w:rsid w:val="00390F1A"/>
    <w:rsid w:val="0039578A"/>
    <w:rsid w:val="003B4E85"/>
    <w:rsid w:val="003C5A53"/>
    <w:rsid w:val="003E6476"/>
    <w:rsid w:val="00402D7F"/>
    <w:rsid w:val="00457F75"/>
    <w:rsid w:val="004814F0"/>
    <w:rsid w:val="004863E5"/>
    <w:rsid w:val="00490B27"/>
    <w:rsid w:val="004A6E1C"/>
    <w:rsid w:val="004C3AF0"/>
    <w:rsid w:val="004C66FE"/>
    <w:rsid w:val="004E1286"/>
    <w:rsid w:val="00516694"/>
    <w:rsid w:val="00550F6A"/>
    <w:rsid w:val="005738FB"/>
    <w:rsid w:val="005A40AB"/>
    <w:rsid w:val="005A7D5B"/>
    <w:rsid w:val="005C61D2"/>
    <w:rsid w:val="005E10F3"/>
    <w:rsid w:val="0060295A"/>
    <w:rsid w:val="00613D53"/>
    <w:rsid w:val="00615AD5"/>
    <w:rsid w:val="00633912"/>
    <w:rsid w:val="00640816"/>
    <w:rsid w:val="0065192D"/>
    <w:rsid w:val="00661D04"/>
    <w:rsid w:val="0067636F"/>
    <w:rsid w:val="006B3A33"/>
    <w:rsid w:val="006C0247"/>
    <w:rsid w:val="00731954"/>
    <w:rsid w:val="00736351"/>
    <w:rsid w:val="00742B1D"/>
    <w:rsid w:val="007455C2"/>
    <w:rsid w:val="00745ED6"/>
    <w:rsid w:val="007571ED"/>
    <w:rsid w:val="007865AB"/>
    <w:rsid w:val="007941CA"/>
    <w:rsid w:val="007A6370"/>
    <w:rsid w:val="007B4C46"/>
    <w:rsid w:val="007D4B6B"/>
    <w:rsid w:val="007D7C15"/>
    <w:rsid w:val="007E3CE0"/>
    <w:rsid w:val="007F26C1"/>
    <w:rsid w:val="00807E7E"/>
    <w:rsid w:val="00823905"/>
    <w:rsid w:val="00840722"/>
    <w:rsid w:val="008901FB"/>
    <w:rsid w:val="008A0604"/>
    <w:rsid w:val="008E03C1"/>
    <w:rsid w:val="008F2817"/>
    <w:rsid w:val="008F5CE6"/>
    <w:rsid w:val="00911E6D"/>
    <w:rsid w:val="00930FD4"/>
    <w:rsid w:val="00952D80"/>
    <w:rsid w:val="00961042"/>
    <w:rsid w:val="00993D7D"/>
    <w:rsid w:val="009C2611"/>
    <w:rsid w:val="009C4550"/>
    <w:rsid w:val="009C4A50"/>
    <w:rsid w:val="00A57719"/>
    <w:rsid w:val="00AA5FB7"/>
    <w:rsid w:val="00AB46EB"/>
    <w:rsid w:val="00AE5B9A"/>
    <w:rsid w:val="00AF317D"/>
    <w:rsid w:val="00AF32CF"/>
    <w:rsid w:val="00B54769"/>
    <w:rsid w:val="00B628AE"/>
    <w:rsid w:val="00B86FF7"/>
    <w:rsid w:val="00BB6996"/>
    <w:rsid w:val="00BB7840"/>
    <w:rsid w:val="00BC64C8"/>
    <w:rsid w:val="00BD7C4A"/>
    <w:rsid w:val="00BE07A4"/>
    <w:rsid w:val="00BE4306"/>
    <w:rsid w:val="00C13394"/>
    <w:rsid w:val="00C629AF"/>
    <w:rsid w:val="00C63D25"/>
    <w:rsid w:val="00C65F99"/>
    <w:rsid w:val="00CA32F6"/>
    <w:rsid w:val="00CC1F21"/>
    <w:rsid w:val="00CC23AC"/>
    <w:rsid w:val="00CD5513"/>
    <w:rsid w:val="00CE25DA"/>
    <w:rsid w:val="00D00110"/>
    <w:rsid w:val="00D07594"/>
    <w:rsid w:val="00D27C5A"/>
    <w:rsid w:val="00D3715A"/>
    <w:rsid w:val="00D43BB9"/>
    <w:rsid w:val="00D47F40"/>
    <w:rsid w:val="00D5047C"/>
    <w:rsid w:val="00D66518"/>
    <w:rsid w:val="00D770E8"/>
    <w:rsid w:val="00DB14C9"/>
    <w:rsid w:val="00DC1DA4"/>
    <w:rsid w:val="00DC53F5"/>
    <w:rsid w:val="00DF0D78"/>
    <w:rsid w:val="00DF4C0D"/>
    <w:rsid w:val="00DF584F"/>
    <w:rsid w:val="00E12CD2"/>
    <w:rsid w:val="00E2385E"/>
    <w:rsid w:val="00E25F72"/>
    <w:rsid w:val="00E510AD"/>
    <w:rsid w:val="00E75F7D"/>
    <w:rsid w:val="00E76C6F"/>
    <w:rsid w:val="00EA0098"/>
    <w:rsid w:val="00EB5A0C"/>
    <w:rsid w:val="00EF27C3"/>
    <w:rsid w:val="00F11C59"/>
    <w:rsid w:val="00F14592"/>
    <w:rsid w:val="00F3072B"/>
    <w:rsid w:val="00F53533"/>
    <w:rsid w:val="00F667AA"/>
    <w:rsid w:val="00F7346B"/>
    <w:rsid w:val="00F834B0"/>
    <w:rsid w:val="00F853E0"/>
    <w:rsid w:val="00FC4E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2BFF950E"/>
  <w15:docId w15:val="{12B8211D-7EBD-4375-8F72-994D0C706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2"/>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722"/>
    <w:pPr>
      <w:spacing w:after="0" w:line="240" w:lineRule="auto"/>
    </w:pPr>
    <w:rPr>
      <w:rFonts w:ascii="Times New Roman" w:eastAsia="Times New Roman" w:hAnsi="Times New Roman" w:cs="Times New Roman"/>
      <w:sz w:val="24"/>
      <w:lang w:val="en-AU" w:eastAsia="en-AU"/>
    </w:rPr>
  </w:style>
  <w:style w:type="paragraph" w:styleId="Heading1">
    <w:name w:val="heading 1"/>
    <w:basedOn w:val="Normal"/>
    <w:next w:val="Normal"/>
    <w:link w:val="Heading1Char"/>
    <w:uiPriority w:val="9"/>
    <w:qFormat/>
    <w:rsid w:val="00D770E8"/>
    <w:pPr>
      <w:spacing w:before="120" w:after="120" w:line="276" w:lineRule="auto"/>
      <w:outlineLvl w:val="0"/>
    </w:pPr>
    <w:rPr>
      <w:rFonts w:ascii="Franklin Gothic Book" w:eastAsia="MS Mincho" w:hAnsi="Franklin Gothic Book" w:cs="Calibri"/>
      <w:color w:val="342568"/>
      <w:sz w:val="28"/>
      <w:szCs w:val="28"/>
      <w:lang w:val="en-GB" w:eastAsia="ja-JP"/>
    </w:rPr>
  </w:style>
  <w:style w:type="paragraph" w:styleId="Heading2">
    <w:name w:val="heading 2"/>
    <w:basedOn w:val="Normal"/>
    <w:next w:val="Normal"/>
    <w:link w:val="Heading2Char"/>
    <w:uiPriority w:val="9"/>
    <w:unhideWhenUsed/>
    <w:qFormat/>
    <w:rsid w:val="00D770E8"/>
    <w:pPr>
      <w:spacing w:before="120" w:after="240" w:line="276" w:lineRule="auto"/>
      <w:outlineLvl w:val="1"/>
    </w:pPr>
    <w:rPr>
      <w:rFonts w:ascii="Franklin Gothic Book" w:eastAsia="MS Mincho" w:hAnsi="Franklin Gothic Book" w:cs="Calibri"/>
      <w:color w:val="342568"/>
      <w:lang w:val="en-GB" w:eastAsia="ja-JP"/>
    </w:rPr>
  </w:style>
  <w:style w:type="paragraph" w:styleId="Heading4">
    <w:name w:val="heading 4"/>
    <w:basedOn w:val="Normal"/>
    <w:next w:val="Normal"/>
    <w:link w:val="Heading4Char"/>
    <w:uiPriority w:val="9"/>
    <w:semiHidden/>
    <w:unhideWhenUsed/>
    <w:qFormat/>
    <w:rsid w:val="00D770E8"/>
    <w:pPr>
      <w:keepNext/>
      <w:keepLines/>
      <w:spacing w:before="200"/>
      <w:outlineLvl w:val="3"/>
    </w:pPr>
    <w:rPr>
      <w:rFonts w:asciiTheme="majorHAnsi" w:eastAsiaTheme="majorEastAsia" w:hAnsiTheme="majorHAnsi" w:cstheme="majorBidi"/>
      <w:b/>
      <w:bCs/>
      <w:i/>
      <w:iCs/>
      <w:color w:val="29193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0722"/>
    <w:pPr>
      <w:ind w:left="720"/>
      <w:contextualSpacing/>
    </w:pPr>
  </w:style>
  <w:style w:type="paragraph" w:customStyle="1" w:styleId="csbullet">
    <w:name w:val="csbullet"/>
    <w:basedOn w:val="Normal"/>
    <w:rsid w:val="00840722"/>
    <w:pPr>
      <w:numPr>
        <w:numId w:val="1"/>
      </w:numPr>
      <w:tabs>
        <w:tab w:val="left" w:pos="-851"/>
      </w:tabs>
      <w:spacing w:before="120" w:after="120" w:line="280" w:lineRule="exact"/>
    </w:pPr>
    <w:rPr>
      <w:sz w:val="22"/>
      <w:szCs w:val="20"/>
      <w:lang w:eastAsia="en-US"/>
    </w:rPr>
  </w:style>
  <w:style w:type="table" w:styleId="TableGrid">
    <w:name w:val="Table Grid"/>
    <w:basedOn w:val="TableNormal"/>
    <w:uiPriority w:val="59"/>
    <w:rsid w:val="00840722"/>
    <w:pPr>
      <w:spacing w:after="0" w:line="240" w:lineRule="auto"/>
    </w:pPr>
    <w:rPr>
      <w:rFonts w:eastAsia="Times New Roman"/>
      <w:sz w:val="20"/>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B14C9"/>
    <w:pPr>
      <w:tabs>
        <w:tab w:val="center" w:pos="4513"/>
        <w:tab w:val="right" w:pos="9026"/>
      </w:tabs>
    </w:pPr>
  </w:style>
  <w:style w:type="character" w:customStyle="1" w:styleId="HeaderChar">
    <w:name w:val="Header Char"/>
    <w:basedOn w:val="DefaultParagraphFont"/>
    <w:link w:val="Header"/>
    <w:uiPriority w:val="99"/>
    <w:rsid w:val="00DB14C9"/>
    <w:rPr>
      <w:rFonts w:ascii="Times New Roman" w:eastAsia="Times New Roman" w:hAnsi="Times New Roman" w:cs="Times New Roman"/>
      <w:sz w:val="24"/>
      <w:lang w:val="en-AU" w:eastAsia="en-AU"/>
    </w:rPr>
  </w:style>
  <w:style w:type="paragraph" w:styleId="Footer">
    <w:name w:val="footer"/>
    <w:basedOn w:val="Normal"/>
    <w:link w:val="FooterChar"/>
    <w:uiPriority w:val="99"/>
    <w:unhideWhenUsed/>
    <w:rsid w:val="00DB14C9"/>
    <w:pPr>
      <w:tabs>
        <w:tab w:val="center" w:pos="4513"/>
        <w:tab w:val="right" w:pos="9026"/>
      </w:tabs>
    </w:pPr>
  </w:style>
  <w:style w:type="character" w:customStyle="1" w:styleId="FooterChar">
    <w:name w:val="Footer Char"/>
    <w:basedOn w:val="DefaultParagraphFont"/>
    <w:link w:val="Footer"/>
    <w:uiPriority w:val="99"/>
    <w:rsid w:val="00DB14C9"/>
    <w:rPr>
      <w:rFonts w:ascii="Times New Roman" w:eastAsia="Times New Roman" w:hAnsi="Times New Roman" w:cs="Times New Roman"/>
      <w:sz w:val="24"/>
      <w:lang w:val="en-AU" w:eastAsia="en-AU"/>
    </w:rPr>
  </w:style>
  <w:style w:type="paragraph" w:styleId="BalloonText">
    <w:name w:val="Balloon Text"/>
    <w:basedOn w:val="Normal"/>
    <w:link w:val="BalloonTextChar"/>
    <w:uiPriority w:val="99"/>
    <w:semiHidden/>
    <w:unhideWhenUsed/>
    <w:rsid w:val="00DB14C9"/>
    <w:rPr>
      <w:rFonts w:ascii="Tahoma" w:hAnsi="Tahoma" w:cs="Tahoma"/>
      <w:sz w:val="16"/>
      <w:szCs w:val="16"/>
    </w:rPr>
  </w:style>
  <w:style w:type="character" w:customStyle="1" w:styleId="BalloonTextChar">
    <w:name w:val="Balloon Text Char"/>
    <w:basedOn w:val="DefaultParagraphFont"/>
    <w:link w:val="BalloonText"/>
    <w:uiPriority w:val="99"/>
    <w:semiHidden/>
    <w:rsid w:val="00DB14C9"/>
    <w:rPr>
      <w:rFonts w:ascii="Tahoma" w:eastAsia="Times New Roman" w:hAnsi="Tahoma" w:cs="Tahoma"/>
      <w:sz w:val="16"/>
      <w:szCs w:val="16"/>
      <w:lang w:val="en-AU" w:eastAsia="en-AU"/>
    </w:rPr>
  </w:style>
  <w:style w:type="character" w:customStyle="1" w:styleId="Heading1Char">
    <w:name w:val="Heading 1 Char"/>
    <w:basedOn w:val="DefaultParagraphFont"/>
    <w:link w:val="Heading1"/>
    <w:uiPriority w:val="9"/>
    <w:rsid w:val="00D770E8"/>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D770E8"/>
    <w:rPr>
      <w:rFonts w:ascii="Franklin Gothic Book" w:eastAsia="MS Mincho" w:hAnsi="Franklin Gothic Book" w:cs="Calibri"/>
      <w:color w:val="342568"/>
      <w:sz w:val="24"/>
      <w:lang w:val="en-GB" w:eastAsia="ja-JP"/>
    </w:rPr>
  </w:style>
  <w:style w:type="character" w:customStyle="1" w:styleId="Heading4Char">
    <w:name w:val="Heading 4 Char"/>
    <w:basedOn w:val="DefaultParagraphFont"/>
    <w:link w:val="Heading4"/>
    <w:uiPriority w:val="9"/>
    <w:semiHidden/>
    <w:rsid w:val="00D770E8"/>
    <w:rPr>
      <w:rFonts w:asciiTheme="majorHAnsi" w:eastAsiaTheme="majorEastAsia" w:hAnsiTheme="majorHAnsi" w:cstheme="majorBidi"/>
      <w:b/>
      <w:bCs/>
      <w:i/>
      <w:iCs/>
      <w:color w:val="291933" w:themeColor="accent1"/>
      <w:sz w:val="24"/>
      <w:lang w:val="en-AU" w:eastAsia="en-AU"/>
    </w:rPr>
  </w:style>
  <w:style w:type="paragraph" w:customStyle="1" w:styleId="ListItem">
    <w:name w:val="List Item"/>
    <w:basedOn w:val="Normal"/>
    <w:link w:val="ListItemChar"/>
    <w:qFormat/>
    <w:rsid w:val="00315B1A"/>
    <w:pPr>
      <w:numPr>
        <w:numId w:val="18"/>
      </w:numPr>
      <w:spacing w:before="120" w:after="120" w:line="276" w:lineRule="auto"/>
    </w:pPr>
    <w:rPr>
      <w:rFonts w:ascii="Calibri" w:eastAsiaTheme="minorHAnsi" w:hAnsi="Calibri" w:cs="Calibri"/>
      <w:iCs/>
      <w:sz w:val="22"/>
      <w:szCs w:val="22"/>
    </w:rPr>
  </w:style>
  <w:style w:type="character" w:customStyle="1" w:styleId="ListItemChar">
    <w:name w:val="List Item Char"/>
    <w:basedOn w:val="DefaultParagraphFont"/>
    <w:link w:val="ListItem"/>
    <w:rsid w:val="00315B1A"/>
    <w:rPr>
      <w:rFonts w:ascii="Calibri" w:hAnsi="Calibri" w:cs="Calibri"/>
      <w:iCs/>
      <w:szCs w:val="22"/>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080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1529</Words>
  <Characters>8720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Giles</dc:creator>
  <cp:keywords/>
  <dc:description/>
  <cp:lastModifiedBy>Jordana Halden</cp:lastModifiedBy>
  <cp:revision>32</cp:revision>
  <cp:lastPrinted>2019-08-27T02:13:00Z</cp:lastPrinted>
  <dcterms:created xsi:type="dcterms:W3CDTF">2014-05-05T02:25:00Z</dcterms:created>
  <dcterms:modified xsi:type="dcterms:W3CDTF">2019-08-27T02:24:00Z</dcterms:modified>
</cp:coreProperties>
</file>