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5EBD9CF1" w:rsidR="00A93F91" w:rsidRDefault="00103478" w:rsidP="00227D40">
      <w:pPr>
        <w:pStyle w:val="SCSATitle1"/>
        <w:rPr>
          <w:rFonts w:ascii="Calibri" w:hAnsi="Calibri"/>
          <w:sz w:val="28"/>
          <w:szCs w:val="28"/>
        </w:rPr>
      </w:pPr>
      <w:r w:rsidRPr="00444B2F">
        <w:rPr>
          <w:noProof/>
        </w:rPr>
        <w:drawing>
          <wp:anchor distT="0" distB="0" distL="114300" distR="114300" simplePos="0" relativeHeight="251659264" behindDoc="1" locked="0" layoutInCell="1" allowOverlap="1" wp14:anchorId="46F3D630" wp14:editId="76BD97A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0847BF">
        <w:rPr>
          <w:noProof/>
        </w:rPr>
        <w:t>Careers and Employability</w:t>
      </w:r>
    </w:p>
    <w:p w14:paraId="48A9D027" w14:textId="246BC0E0" w:rsidR="00AA2B0D" w:rsidRPr="00A93F91" w:rsidRDefault="00717735" w:rsidP="00227D40">
      <w:pPr>
        <w:pStyle w:val="SCSATitle2"/>
      </w:pPr>
      <w:r w:rsidRPr="000847BF">
        <w:t>G</w:t>
      </w:r>
      <w:r w:rsidR="001956AF" w:rsidRPr="000847BF">
        <w:t>eneral</w:t>
      </w:r>
      <w:r w:rsidR="00AA2B0D" w:rsidRPr="00A93F91">
        <w:t xml:space="preserve"> course</w:t>
      </w:r>
    </w:p>
    <w:p w14:paraId="48E1D5DD" w14:textId="5C267B78" w:rsidR="001F2E53" w:rsidRDefault="00326EAC" w:rsidP="00227D40">
      <w:pPr>
        <w:pStyle w:val="SCSATitle3"/>
      </w:pPr>
      <w:r w:rsidRPr="00B41296">
        <w:t xml:space="preserve">Year </w:t>
      </w:r>
      <w:r w:rsidRPr="000847BF">
        <w:t>1</w:t>
      </w:r>
      <w:r w:rsidR="00CE64BF">
        <w:t>2</w:t>
      </w:r>
      <w:r w:rsidRPr="00B41296">
        <w:t xml:space="preserve"> </w:t>
      </w:r>
      <w:r w:rsidR="00FC77F4">
        <w:t>s</w:t>
      </w:r>
      <w:r w:rsidRPr="00B41296">
        <w:t xml:space="preserve">yllabus </w:t>
      </w:r>
      <w:r w:rsidR="00FE6119">
        <w:t xml:space="preserve">– What’s changing: General capabilities </w:t>
      </w:r>
    </w:p>
    <w:p w14:paraId="35A356C3" w14:textId="14D9DB1F" w:rsidR="002C05E5" w:rsidRPr="00B41296" w:rsidRDefault="001F2E53" w:rsidP="00227D40">
      <w:pPr>
        <w:pStyle w:val="SCSATitle3"/>
      </w:pPr>
      <w:bookmarkStart w:id="0" w:name="_Hlk197502329"/>
      <w:r>
        <w:t xml:space="preserve">For teaching in </w:t>
      </w:r>
      <w:r w:rsidRPr="000847BF">
        <w:t>202</w:t>
      </w:r>
      <w:bookmarkEnd w:id="0"/>
      <w:r w:rsidR="00CE64BF">
        <w:t>7</w:t>
      </w:r>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37C7C177" w14:textId="77777777" w:rsidR="00AF3D3A" w:rsidRPr="00E31C3D" w:rsidRDefault="00AF3D3A" w:rsidP="00AF3D3A">
      <w:pPr>
        <w:rPr>
          <w:rFonts w:eastAsia="Calibri" w:cs="Iskoola Pota"/>
          <w:b/>
          <w:lang w:val="en-US" w:eastAsia="zh-CN"/>
        </w:rPr>
      </w:pPr>
      <w:r>
        <w:rPr>
          <w:rFonts w:eastAsia="Calibri" w:cs="Iskoola Pota"/>
          <w:b/>
          <w:lang w:val="en-US" w:eastAsia="zh-CN"/>
        </w:rPr>
        <w:t>Background</w:t>
      </w:r>
    </w:p>
    <w:p w14:paraId="19F625BC" w14:textId="77777777" w:rsidR="00C64C36" w:rsidRPr="00DD5198" w:rsidRDefault="00C64C36" w:rsidP="00C64C36">
      <w:pPr>
        <w:rPr>
          <w:rFonts w:ascii="Calibri" w:hAnsi="Calibri" w:cs="Calibri"/>
        </w:rPr>
      </w:pPr>
      <w:r w:rsidRPr="00DD5198">
        <w:rPr>
          <w:rFonts w:ascii="Calibri" w:hAnsi="Calibri" w:cs="Calibri"/>
        </w:rPr>
        <w:t xml:space="preserve">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 </w:t>
      </w:r>
    </w:p>
    <w:p w14:paraId="744B29D0" w14:textId="5694B164" w:rsidR="000358C4" w:rsidRDefault="00C64C36" w:rsidP="00C64C36">
      <w:pPr>
        <w:spacing w:after="1080"/>
        <w:rPr>
          <w:rFonts w:cs="Calibri"/>
          <w:b/>
        </w:rPr>
      </w:pPr>
      <w:r w:rsidRPr="00DD5198">
        <w:rPr>
          <w:rFonts w:ascii="Calibri" w:hAnsi="Calibri" w:cs="Calibri"/>
        </w:rPr>
        <w:t xml:space="preserve">The Authority has mapped the general capabilities through the unit content and assessment types </w:t>
      </w:r>
      <w:r>
        <w:rPr>
          <w:rFonts w:ascii="Calibri" w:hAnsi="Calibri" w:cs="Calibri"/>
        </w:rPr>
        <w:t>for</w:t>
      </w:r>
      <w:r w:rsidRPr="00DD5198">
        <w:rPr>
          <w:rFonts w:ascii="Calibri" w:hAnsi="Calibri" w:cs="Calibri"/>
        </w:rPr>
        <w:t xml:space="preserve"> each of the WACE courses. Students will have the opportunity to develop the general capabilities identified in the course through the teaching, learning and assessment programs. These general capabilities will be reflected on the WASSA</w:t>
      </w:r>
      <w:r w:rsidR="00977698">
        <w:rPr>
          <w:rFonts w:cs="Calibri"/>
        </w:rPr>
        <w:t>.</w:t>
      </w:r>
    </w:p>
    <w:p w14:paraId="4BFDFC99" w14:textId="77777777" w:rsidR="00C64C36" w:rsidRPr="00DD5198" w:rsidRDefault="00C64C36" w:rsidP="00C64C36">
      <w:pPr>
        <w:rPr>
          <w:rFonts w:ascii="Calibri" w:hAnsi="Calibri" w:cs="Calibri"/>
          <w:b/>
          <w:bCs/>
          <w:sz w:val="20"/>
          <w:szCs w:val="20"/>
        </w:rPr>
      </w:pPr>
      <w:r w:rsidRPr="00DD5198">
        <w:rPr>
          <w:rFonts w:ascii="Calibri" w:hAnsi="Calibri" w:cs="Calibri"/>
          <w:b/>
          <w:bCs/>
          <w:sz w:val="20"/>
          <w:szCs w:val="20"/>
        </w:rPr>
        <w:t xml:space="preserve">Important information </w:t>
      </w:r>
    </w:p>
    <w:p w14:paraId="69D06015" w14:textId="77777777" w:rsidR="00C64C36" w:rsidRPr="00DD5198" w:rsidRDefault="00C64C36" w:rsidP="00C64C36">
      <w:pPr>
        <w:rPr>
          <w:rFonts w:ascii="Calibri" w:hAnsi="Calibri" w:cs="Calibri"/>
          <w:b/>
          <w:bCs/>
          <w:sz w:val="20"/>
          <w:szCs w:val="20"/>
        </w:rPr>
      </w:pPr>
      <w:r w:rsidRPr="00DD5198">
        <w:rPr>
          <w:rFonts w:ascii="Calibri" w:hAnsi="Calibri" w:cs="Calibri"/>
          <w:b/>
          <w:bCs/>
          <w:sz w:val="20"/>
          <w:szCs w:val="20"/>
        </w:rPr>
        <w:t xml:space="preserve">WACE Refreshment: Investigating the assessment and reporting of the general capabilities on the Western Australian Statement of Student Achievement (WASSA) </w:t>
      </w:r>
    </w:p>
    <w:p w14:paraId="7A02F20C" w14:textId="77777777" w:rsidR="00C64C36" w:rsidRPr="00DD5198" w:rsidRDefault="00C64C36" w:rsidP="00C64C36">
      <w:pPr>
        <w:rPr>
          <w:rFonts w:ascii="Calibri" w:hAnsi="Calibri" w:cs="Calibri"/>
          <w:sz w:val="20"/>
          <w:szCs w:val="20"/>
        </w:rPr>
      </w:pPr>
      <w:r w:rsidRPr="00DD5198">
        <w:rPr>
          <w:rFonts w:ascii="Calibri" w:hAnsi="Calibri" w:cs="Calibri"/>
          <w:sz w:val="20"/>
          <w:szCs w:val="20"/>
        </w:rPr>
        <w:t xml:space="preserve">This document contains information that will be included in the syllabus effective from 1 January 2027. </w:t>
      </w:r>
    </w:p>
    <w:p w14:paraId="5E0CB031" w14:textId="77777777" w:rsidR="00C64C36" w:rsidRPr="00DD5198" w:rsidRDefault="00C64C36" w:rsidP="00C64C36">
      <w:pPr>
        <w:rPr>
          <w:rFonts w:ascii="Calibri" w:hAnsi="Calibri" w:cs="Calibri"/>
          <w:sz w:val="20"/>
          <w:szCs w:val="20"/>
        </w:rPr>
      </w:pPr>
      <w:r w:rsidRPr="00DD5198">
        <w:rPr>
          <w:rFonts w:ascii="Calibri" w:hAnsi="Calibri" w:cs="Calibri"/>
          <w:sz w:val="20"/>
          <w:szCs w:val="20"/>
        </w:rPr>
        <w:t xml:space="preserve">Users of the syllabus are responsible for checking its currency. </w:t>
      </w:r>
    </w:p>
    <w:p w14:paraId="27D02F21" w14:textId="77777777" w:rsidR="00C64C36" w:rsidRPr="00DD5198" w:rsidRDefault="00C64C36" w:rsidP="00C64C36">
      <w:pPr>
        <w:rPr>
          <w:rFonts w:ascii="Calibri" w:hAnsi="Calibri" w:cs="Calibri"/>
          <w:sz w:val="20"/>
          <w:szCs w:val="20"/>
        </w:rPr>
      </w:pPr>
      <w:r w:rsidRPr="00DD5198">
        <w:rPr>
          <w:rFonts w:ascii="Calibri" w:hAnsi="Calibri" w:cs="Calibri"/>
          <w:sz w:val="20"/>
          <w:szCs w:val="20"/>
        </w:rPr>
        <w:t xml:space="preserve">Syllabuses are formally reviewed by the Authority on a cyclical basis, typically every five years. </w:t>
      </w:r>
    </w:p>
    <w:p w14:paraId="78ACCAF8" w14:textId="77777777" w:rsidR="00C64C36" w:rsidRPr="00B43F1E" w:rsidRDefault="00C64C36" w:rsidP="00C64C36">
      <w:pPr>
        <w:jc w:val="both"/>
        <w:rPr>
          <w:rFonts w:ascii="Calibri" w:hAnsi="Calibri" w:cs="Calibri"/>
          <w:b/>
          <w:sz w:val="20"/>
          <w:szCs w:val="20"/>
        </w:rPr>
      </w:pPr>
      <w:r w:rsidRPr="00B43F1E">
        <w:rPr>
          <w:rFonts w:ascii="Calibri" w:hAnsi="Calibri" w:cs="Calibri"/>
          <w:b/>
          <w:sz w:val="20"/>
          <w:szCs w:val="20"/>
        </w:rPr>
        <w:t>Copyright</w:t>
      </w:r>
    </w:p>
    <w:p w14:paraId="17F37EF6" w14:textId="77777777" w:rsidR="00C64C36" w:rsidRPr="00B43F1E" w:rsidRDefault="00C64C36" w:rsidP="00C64C36">
      <w:pPr>
        <w:jc w:val="both"/>
        <w:rPr>
          <w:rFonts w:ascii="Calibri" w:hAnsi="Calibri" w:cs="Calibri"/>
          <w:sz w:val="20"/>
          <w:szCs w:val="20"/>
          <w:lang w:val="en-GB"/>
        </w:rPr>
      </w:pPr>
      <w:r w:rsidRPr="00B43F1E">
        <w:rPr>
          <w:rFonts w:ascii="Calibri" w:hAnsi="Calibri" w:cs="Calibri"/>
          <w:sz w:val="20"/>
          <w:szCs w:val="20"/>
          <w:lang w:val="en-GB"/>
        </w:rPr>
        <w:t>© School Curriculum and Standards Authority, 2025</w:t>
      </w:r>
    </w:p>
    <w:p w14:paraId="735A6860" w14:textId="77777777" w:rsidR="00C64C36" w:rsidRPr="00B43F1E" w:rsidRDefault="00C64C36" w:rsidP="00C64C36">
      <w:pPr>
        <w:rPr>
          <w:rFonts w:ascii="Calibri" w:hAnsi="Calibri" w:cs="Calibri"/>
          <w:sz w:val="20"/>
          <w:szCs w:val="20"/>
        </w:rPr>
      </w:pPr>
      <w:r w:rsidRPr="00B43F1E">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6E630FE0" w14:textId="77777777" w:rsidR="00C64C36" w:rsidRPr="00B43F1E" w:rsidRDefault="00C64C36" w:rsidP="00C64C36">
      <w:pPr>
        <w:rPr>
          <w:rFonts w:ascii="Calibri" w:hAnsi="Calibri" w:cs="Calibri"/>
          <w:sz w:val="20"/>
          <w:szCs w:val="20"/>
        </w:rPr>
      </w:pPr>
      <w:r w:rsidRPr="00B43F1E">
        <w:rPr>
          <w:rFonts w:ascii="Calibri" w:hAnsi="Calibri" w:cs="Calibri"/>
          <w:sz w:val="20"/>
          <w:szCs w:val="20"/>
        </w:rPr>
        <w:t>Copying or communication for any other purpose can be done only within the terms of the</w:t>
      </w:r>
      <w:r w:rsidRPr="00B43F1E">
        <w:rPr>
          <w:rFonts w:ascii="Calibri" w:hAnsi="Calibri" w:cs="Calibri"/>
          <w:i/>
          <w:iCs/>
          <w:sz w:val="20"/>
          <w:szCs w:val="20"/>
        </w:rPr>
        <w:t xml:space="preserve"> Copyright Act 1968</w:t>
      </w:r>
      <w:r w:rsidRPr="00B43F1E">
        <w:rPr>
          <w:rFonts w:ascii="Calibri" w:hAnsi="Calibri" w:cs="Calibri"/>
          <w:sz w:val="20"/>
          <w:szCs w:val="20"/>
        </w:rPr>
        <w:t xml:space="preserve"> or with prior written permission of the Authority. Copying or communication of any third-party copyright material can be done only within the terms of the </w:t>
      </w:r>
      <w:r w:rsidRPr="00B43F1E">
        <w:rPr>
          <w:rFonts w:ascii="Calibri" w:hAnsi="Calibri" w:cs="Calibri"/>
          <w:i/>
          <w:iCs/>
          <w:sz w:val="20"/>
          <w:szCs w:val="20"/>
        </w:rPr>
        <w:t>Copyright Act 1968</w:t>
      </w:r>
      <w:r w:rsidRPr="00B43F1E">
        <w:rPr>
          <w:rFonts w:ascii="Calibri" w:hAnsi="Calibri" w:cs="Calibri"/>
          <w:sz w:val="20"/>
          <w:szCs w:val="20"/>
        </w:rPr>
        <w:t xml:space="preserve"> or with permission of the copyright owners.</w:t>
      </w:r>
    </w:p>
    <w:p w14:paraId="63999305" w14:textId="6964FEE1" w:rsidR="007E1AFD" w:rsidRPr="005D1726" w:rsidRDefault="00C64C36" w:rsidP="00C64C36">
      <w:pPr>
        <w:rPr>
          <w:rFonts w:cstheme="minorHAnsi"/>
          <w:sz w:val="20"/>
          <w:szCs w:val="20"/>
        </w:rPr>
      </w:pPr>
      <w:r w:rsidRPr="00B43F1E">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B43F1E">
          <w:rPr>
            <w:rFonts w:ascii="Calibri" w:hAnsi="Calibri" w:cs="Calibri"/>
            <w:color w:val="580F8B"/>
            <w:sz w:val="20"/>
            <w:szCs w:val="20"/>
            <w:u w:val="single"/>
          </w:rPr>
          <w:t>Creative Commons Attribution 4.0 International licence</w:t>
        </w:r>
      </w:hyperlink>
      <w:r w:rsidR="007E1AFD" w:rsidRPr="005D1726">
        <w:rPr>
          <w:rFonts w:cstheme="minorHAnsi"/>
          <w:sz w:val="20"/>
          <w:szCs w:val="20"/>
        </w:rPr>
        <w:t>.</w:t>
      </w:r>
    </w:p>
    <w:p w14:paraId="56FE8065" w14:textId="77777777" w:rsidR="00AC28E1" w:rsidRPr="00A93F91" w:rsidRDefault="00AC28E1" w:rsidP="006E2558">
      <w:pPr>
        <w:rPr>
          <w:sz w:val="14"/>
        </w:rPr>
        <w:sectPr w:rsidR="00AC28E1" w:rsidRPr="00A93F91" w:rsidSect="00E5409D">
          <w:footerReference w:type="even" r:id="rId10"/>
          <w:pgSz w:w="11906" w:h="16838"/>
          <w:pgMar w:top="1644" w:right="1418" w:bottom="1276" w:left="1418" w:header="680" w:footer="567" w:gutter="0"/>
          <w:cols w:space="708"/>
          <w:titlePg/>
          <w:docGrid w:linePitch="360"/>
        </w:sectPr>
      </w:pPr>
    </w:p>
    <w:p w14:paraId="1404858C" w14:textId="3E776027" w:rsidR="00CB0B33" w:rsidRPr="006054A2" w:rsidRDefault="00CB0B33" w:rsidP="007A5272">
      <w:pPr>
        <w:pStyle w:val="SCSAHeading2"/>
      </w:pPr>
      <w:bookmarkStart w:id="1" w:name="_Toc110421313"/>
      <w:bookmarkStart w:id="2" w:name="_Toc347908213"/>
      <w:r w:rsidRPr="006054A2">
        <w:lastRenderedPageBreak/>
        <w:t xml:space="preserve">Representation of </w:t>
      </w:r>
      <w:r w:rsidR="000D5DBB" w:rsidRPr="006054A2">
        <w:t xml:space="preserve">the </w:t>
      </w:r>
      <w:r w:rsidRPr="006054A2">
        <w:t>general capabilities</w:t>
      </w:r>
      <w:bookmarkEnd w:id="1"/>
      <w:r w:rsidR="004143F8">
        <w:t xml:space="preserve"> </w:t>
      </w:r>
    </w:p>
    <w:p w14:paraId="2524049B" w14:textId="615C3AB3" w:rsidR="006054A2" w:rsidRPr="009C3CBD" w:rsidRDefault="006054A2" w:rsidP="009C3CBD">
      <w:r w:rsidRPr="009C3CBD">
        <w:t xml:space="preserve">The general capabilities encompass the knowledge, skills, behaviours and dispositions that will assist students to live and work successfully in the twenty-first century. Teachers should find opportunities to incorporate the following capabilities into the teaching and learning program for the </w:t>
      </w:r>
      <w:bookmarkStart w:id="3" w:name="_Hlk197498480"/>
      <w:r w:rsidR="00F8605B">
        <w:t>Careers and Employability</w:t>
      </w:r>
      <w:r w:rsidR="00163C64" w:rsidRPr="009C3CBD">
        <w:t xml:space="preserve"> </w:t>
      </w:r>
      <w:r w:rsidR="00163C64" w:rsidRPr="003B2C4C">
        <w:t>General</w:t>
      </w:r>
      <w:r w:rsidRPr="009C3CBD">
        <w:t xml:space="preserve"> </w:t>
      </w:r>
      <w:bookmarkEnd w:id="3"/>
      <w:r w:rsidRPr="009C3CBD">
        <w:t>course. The general capabilities are not assessed unless they are identified within the specified unit content.</w:t>
      </w:r>
    </w:p>
    <w:p w14:paraId="682740AD" w14:textId="77777777" w:rsidR="00AD0DE1" w:rsidRPr="009C3CBD" w:rsidRDefault="00AD0DE1" w:rsidP="00AD0DE1">
      <w:pPr>
        <w:pStyle w:val="SCSAHeading3"/>
      </w:pPr>
      <w:r w:rsidRPr="009C3CBD">
        <w:t>Critical and creative thinking</w:t>
      </w:r>
    </w:p>
    <w:p w14:paraId="44E91C57" w14:textId="69901A6F" w:rsidR="00AD0DE1" w:rsidRPr="00C96E55" w:rsidRDefault="00AD0DE1" w:rsidP="00AD0DE1">
      <w:r w:rsidRPr="00C96E55">
        <w:t xml:space="preserve">Students develop </w:t>
      </w:r>
      <w:r>
        <w:t xml:space="preserve">capability in </w:t>
      </w:r>
      <w:r w:rsidRPr="00C96E55">
        <w:t xml:space="preserve">critical and creative thinking </w:t>
      </w:r>
      <w:r>
        <w:t xml:space="preserve">as they learn to </w:t>
      </w:r>
      <w:r w:rsidRPr="00C96E55">
        <w:t>generat</w:t>
      </w:r>
      <w:r>
        <w:t>e and</w:t>
      </w:r>
      <w:r w:rsidRPr="00C96E55">
        <w:t xml:space="preserve"> evaluat</w:t>
      </w:r>
      <w:r>
        <w:t>e</w:t>
      </w:r>
      <w:r w:rsidRPr="00C96E55">
        <w:t xml:space="preserve"> </w:t>
      </w:r>
      <w:r>
        <w:t>knowledge</w:t>
      </w:r>
      <w:r w:rsidRPr="00C96E55">
        <w:t xml:space="preserve">, </w:t>
      </w:r>
      <w:r>
        <w:t>clarity</w:t>
      </w:r>
      <w:r w:rsidRPr="00C96E55">
        <w:t xml:space="preserve"> concepts</w:t>
      </w:r>
      <w:r>
        <w:t xml:space="preserve"> and ideas, seek possibilities, consider alternatives</w:t>
      </w:r>
      <w:r w:rsidRPr="00C96E55">
        <w:t xml:space="preserve"> and solv</w:t>
      </w:r>
      <w:r>
        <w:t>e</w:t>
      </w:r>
      <w:r w:rsidRPr="00C96E55">
        <w:t xml:space="preserve"> problems. </w:t>
      </w:r>
      <w:r>
        <w:t xml:space="preserve">Critical and creative thinking </w:t>
      </w:r>
      <w:r w:rsidR="001E5FC2">
        <w:t>is</w:t>
      </w:r>
      <w:r>
        <w:t xml:space="preserve"> integral to activities that require students to think broadly and deeply, using skills, behaviours and dispositions, such as reason,</w:t>
      </w:r>
      <w:r w:rsidRPr="00C96E55">
        <w:t xml:space="preserve"> logic, resourcefulness, imagination and innovation, </w:t>
      </w:r>
      <w:r>
        <w:t>in all learning areas at school and in their lives beyond school</w:t>
      </w:r>
      <w:r w:rsidRPr="00C96E55">
        <w:t>.</w:t>
      </w:r>
    </w:p>
    <w:p w14:paraId="3DF11A3C" w14:textId="0329335A" w:rsidR="00AD0DE1" w:rsidRPr="00C96E55" w:rsidRDefault="005F3E60" w:rsidP="00AD0DE1">
      <w:r>
        <w:t>S</w:t>
      </w:r>
      <w:r w:rsidR="00AD0DE1" w:rsidRPr="00C96E55">
        <w:t xml:space="preserve">tudents </w:t>
      </w:r>
      <w:r w:rsidR="00AD0DE1">
        <w:t xml:space="preserve">apply research skills to collect reliable information. They will develop the skills to </w:t>
      </w:r>
      <w:r w:rsidR="00AD0DE1" w:rsidRPr="00C96E55">
        <w:t>analyse</w:t>
      </w:r>
      <w:r w:rsidR="00AD0DE1">
        <w:t>, compare and evaluate information to create solutions to given tasks.</w:t>
      </w:r>
      <w:r w:rsidR="00AD0DE1" w:rsidRPr="00C96E55">
        <w:t xml:space="preserve"> </w:t>
      </w:r>
      <w:r w:rsidR="00AD0DE1">
        <w:t>Students will also build capacity to use open and closed questioning techniques to determine the nature of a situation, generate potential solutions, and apply decision</w:t>
      </w:r>
      <w:r w:rsidR="00351F4F">
        <w:noBreakHyphen/>
      </w:r>
      <w:r w:rsidR="00AD0DE1">
        <w:t>making models to plan, implement and evaluate solutions.</w:t>
      </w:r>
    </w:p>
    <w:p w14:paraId="4111EDE7" w14:textId="77777777" w:rsidR="00AD0DE1" w:rsidRPr="009C3CBD" w:rsidRDefault="00AD0DE1" w:rsidP="00AD0DE1">
      <w:pPr>
        <w:pStyle w:val="SCSAHeading3"/>
      </w:pPr>
      <w:r w:rsidRPr="009C3CBD">
        <w:t>Digital literacy</w:t>
      </w:r>
    </w:p>
    <w:p w14:paraId="67E09C12" w14:textId="77777777" w:rsidR="00AD0DE1" w:rsidRPr="00C96E55" w:rsidRDefault="00AD0DE1" w:rsidP="00AD0DE1">
      <w:r w:rsidRPr="00C96E55">
        <w:t xml:space="preserve">Students develop digital literacy skills </w:t>
      </w:r>
      <w:r>
        <w:t>as they</w:t>
      </w:r>
      <w:r w:rsidRPr="00C96E55">
        <w:t xml:space="preserve"> learn to use digital technologies effectively </w:t>
      </w:r>
      <w:r>
        <w:t xml:space="preserve">and appropriately to </w:t>
      </w:r>
      <w:r w:rsidRPr="00C96E55">
        <w:t>access, creat</w:t>
      </w:r>
      <w:r>
        <w:t>e</w:t>
      </w:r>
      <w:r w:rsidRPr="00C96E55">
        <w:t xml:space="preserve"> and communicat</w:t>
      </w:r>
      <w:r>
        <w:t>e</w:t>
      </w:r>
      <w:r w:rsidRPr="00C96E55">
        <w:t xml:space="preserve"> information</w:t>
      </w:r>
      <w:r>
        <w:t xml:space="preserve"> and ideas</w:t>
      </w:r>
      <w:r w:rsidRPr="00C96E55">
        <w:t>, solv</w:t>
      </w:r>
      <w:r>
        <w:t>e</w:t>
      </w:r>
      <w:r w:rsidRPr="00C96E55">
        <w:t xml:space="preserve"> problems, and </w:t>
      </w:r>
      <w:r>
        <w:t xml:space="preserve">work </w:t>
      </w:r>
      <w:r w:rsidRPr="00C96E55">
        <w:t>collaborat</w:t>
      </w:r>
      <w:r>
        <w:t>ively, both</w:t>
      </w:r>
      <w:r w:rsidRPr="00C96E55">
        <w:t xml:space="preserve"> </w:t>
      </w:r>
      <w:r>
        <w:t>with</w:t>
      </w:r>
      <w:r w:rsidRPr="00C96E55">
        <w:t xml:space="preserve">in school and </w:t>
      </w:r>
      <w:r>
        <w:t>in their lives beyond school</w:t>
      </w:r>
      <w:r w:rsidRPr="00C96E55">
        <w:t xml:space="preserve">. </w:t>
      </w:r>
      <w:r>
        <w:t>The capability involves students learning to make the most of digital technologies available to them, adapting to new ways of doing things as technologies</w:t>
      </w:r>
      <w:r w:rsidRPr="00C96E55">
        <w:t xml:space="preserve"> evolv</w:t>
      </w:r>
      <w:r>
        <w:t>e,</w:t>
      </w:r>
      <w:r w:rsidRPr="00C96E55">
        <w:t xml:space="preserve"> </w:t>
      </w:r>
      <w:r>
        <w:t xml:space="preserve">and limiting the </w:t>
      </w:r>
      <w:r w:rsidRPr="00C96E55">
        <w:t xml:space="preserve">risks </w:t>
      </w:r>
      <w:r>
        <w:t xml:space="preserve">to themselves and others </w:t>
      </w:r>
      <w:r w:rsidRPr="00C96E55">
        <w:t xml:space="preserve">in a digital environment. </w:t>
      </w:r>
    </w:p>
    <w:p w14:paraId="2ED0409F" w14:textId="53BEA386" w:rsidR="00AD0DE1" w:rsidRDefault="005F3E60" w:rsidP="00AD0DE1">
      <w:pPr>
        <w:rPr>
          <w:b/>
          <w:bCs/>
        </w:rPr>
      </w:pPr>
      <w:r>
        <w:t>S</w:t>
      </w:r>
      <w:r w:rsidR="00AD0DE1" w:rsidRPr="00C96E55">
        <w:t xml:space="preserve">tudents </w:t>
      </w:r>
      <w:r w:rsidR="00AD0DE1">
        <w:t>learn</w:t>
      </w:r>
      <w:r w:rsidR="00AD0DE1" w:rsidRPr="00C96E55">
        <w:t xml:space="preserve"> to navigate the internet to </w:t>
      </w:r>
      <w:r w:rsidR="00AD0DE1">
        <w:t>locate</w:t>
      </w:r>
      <w:r w:rsidR="00AD0DE1" w:rsidRPr="00C96E55">
        <w:t xml:space="preserve"> reliable sources of information and apply online safety measures to protect their digital footprint and </w:t>
      </w:r>
      <w:r w:rsidR="00AD0DE1">
        <w:t>reduced their exposure</w:t>
      </w:r>
      <w:r w:rsidR="00AD0DE1" w:rsidRPr="00C96E55">
        <w:t xml:space="preserve"> cyber risks. They learn to </w:t>
      </w:r>
      <w:r w:rsidR="00AD0DE1">
        <w:t xml:space="preserve">effectively use </w:t>
      </w:r>
      <w:r w:rsidR="00AD0DE1" w:rsidRPr="00C96E55">
        <w:t xml:space="preserve">electronic media </w:t>
      </w:r>
      <w:r w:rsidR="00AD0DE1">
        <w:t>to communicate information via</w:t>
      </w:r>
      <w:r w:rsidR="00AD0DE1" w:rsidRPr="00C96E55">
        <w:t xml:space="preserve"> email, text messages, video calls and webinars. Additionally, they develop </w:t>
      </w:r>
      <w:r w:rsidR="00AD0DE1">
        <w:t>capacity to use</w:t>
      </w:r>
      <w:r w:rsidR="00AD0DE1" w:rsidRPr="00C96E55">
        <w:t xml:space="preserve"> work-related software applications to create documents, presentations and spreadsheets.</w:t>
      </w:r>
    </w:p>
    <w:p w14:paraId="3F8850AC" w14:textId="386DF5C7" w:rsidR="00426B9A" w:rsidRPr="009C3CBD" w:rsidRDefault="00426B9A" w:rsidP="007A5272">
      <w:pPr>
        <w:pStyle w:val="SCSAHeading3"/>
      </w:pPr>
      <w:r w:rsidRPr="009C3CBD">
        <w:t>Literacy</w:t>
      </w:r>
    </w:p>
    <w:p w14:paraId="10CB6761" w14:textId="2FB00B01" w:rsidR="00ED4D50" w:rsidRPr="00C96E55" w:rsidRDefault="00ED4D50" w:rsidP="00C96E55">
      <w:r w:rsidRPr="00C96E55">
        <w:t xml:space="preserve">Students </w:t>
      </w:r>
      <w:r w:rsidR="00D75B75">
        <w:t>become</w:t>
      </w:r>
      <w:r w:rsidR="00D75B75" w:rsidRPr="00C96E55">
        <w:t xml:space="preserve"> </w:t>
      </w:r>
      <w:r w:rsidRPr="00C96E55">
        <w:t>litera</w:t>
      </w:r>
      <w:r w:rsidR="00D75B75">
        <w:t>te</w:t>
      </w:r>
      <w:r w:rsidRPr="00C96E55">
        <w:t xml:space="preserve"> </w:t>
      </w:r>
      <w:r w:rsidR="00D75B75">
        <w:t>as they develop</w:t>
      </w:r>
      <w:r w:rsidRPr="00C96E55">
        <w:t xml:space="preserve"> the knowledge, skills and </w:t>
      </w:r>
      <w:r w:rsidR="00D75B75">
        <w:t>dispositions</w:t>
      </w:r>
      <w:r w:rsidR="00D75B75" w:rsidRPr="00C96E55">
        <w:t xml:space="preserve"> </w:t>
      </w:r>
      <w:r w:rsidRPr="00C96E55">
        <w:t>to</w:t>
      </w:r>
      <w:r w:rsidR="00D75B75">
        <w:t xml:space="preserve"> interpret and </w:t>
      </w:r>
      <w:r w:rsidRPr="00C96E55">
        <w:t xml:space="preserve"> use language </w:t>
      </w:r>
      <w:r w:rsidR="00D75B75">
        <w:t>confidently</w:t>
      </w:r>
      <w:r w:rsidR="00D75B75" w:rsidRPr="00C96E55">
        <w:t xml:space="preserve"> </w:t>
      </w:r>
      <w:r w:rsidRPr="00C96E55">
        <w:t>for learning</w:t>
      </w:r>
      <w:r w:rsidR="00D75B75">
        <w:t xml:space="preserve"> and</w:t>
      </w:r>
      <w:r w:rsidRPr="00C96E55">
        <w:t xml:space="preserve"> communicati</w:t>
      </w:r>
      <w:r w:rsidR="00D75B75">
        <w:t>ng</w:t>
      </w:r>
      <w:r w:rsidRPr="00C96E55">
        <w:t xml:space="preserve"> in </w:t>
      </w:r>
      <w:r w:rsidR="00D75B75">
        <w:t xml:space="preserve">and out of school and for participating effectively in </w:t>
      </w:r>
      <w:r w:rsidRPr="00C96E55">
        <w:t xml:space="preserve">society. Literacy </w:t>
      </w:r>
      <w:r w:rsidR="00D75B75">
        <w:t>involves</w:t>
      </w:r>
      <w:r w:rsidR="00D75B75" w:rsidRPr="00C96E55">
        <w:t xml:space="preserve"> </w:t>
      </w:r>
      <w:r w:rsidRPr="00C96E55">
        <w:t>listening</w:t>
      </w:r>
      <w:r w:rsidR="00D75B75">
        <w:t xml:space="preserve"> to</w:t>
      </w:r>
      <w:r w:rsidRPr="00C96E55">
        <w:t>, reading, viewing, speaking, writing and creating multimodal texts</w:t>
      </w:r>
      <w:r w:rsidR="00D75B75">
        <w:t xml:space="preserve"> to develop the knowledge and skills required for</w:t>
      </w:r>
      <w:r w:rsidRPr="00C96E55">
        <w:t xml:space="preserve"> the modern</w:t>
      </w:r>
      <w:r w:rsidR="00D75B75">
        <w:t>-day</w:t>
      </w:r>
      <w:r w:rsidRPr="00C96E55">
        <w:t xml:space="preserve"> workplace</w:t>
      </w:r>
      <w:r w:rsidR="00D75B75">
        <w:t xml:space="preserve"> and to manage their own careers</w:t>
      </w:r>
      <w:r w:rsidRPr="00C96E55">
        <w:t xml:space="preserve">. </w:t>
      </w:r>
      <w:r w:rsidR="00D75B75">
        <w:t>Students develop an understanding and make use of career-related terms to communicate ideas associated with self-management, career building and learning experiences</w:t>
      </w:r>
      <w:r w:rsidRPr="00C96E55">
        <w:t>.</w:t>
      </w:r>
    </w:p>
    <w:p w14:paraId="58AE310D" w14:textId="2733DC09" w:rsidR="00F6722F" w:rsidRPr="00C96E55" w:rsidRDefault="00D75B75" w:rsidP="00C96E55">
      <w:r>
        <w:t>Career options and success in the workplace are improved through well-developed literacy skills.</w:t>
      </w:r>
      <w:r w:rsidR="00ED4D50" w:rsidRPr="00C96E55">
        <w:t xml:space="preserve"> </w:t>
      </w:r>
      <w:r>
        <w:t>Students will</w:t>
      </w:r>
      <w:r w:rsidRPr="00C96E55">
        <w:t xml:space="preserve"> </w:t>
      </w:r>
      <w:r w:rsidR="00ED4D50" w:rsidRPr="00C96E55">
        <w:t xml:space="preserve">learn to use appropriate terminology, spelling and grammar to convey information </w:t>
      </w:r>
      <w:r>
        <w:t>effectively and clearly</w:t>
      </w:r>
      <w:r w:rsidR="00ED4D50" w:rsidRPr="00C96E55">
        <w:t xml:space="preserve">. They also develop written and verbal communication skills </w:t>
      </w:r>
      <w:r>
        <w:t>to communicate</w:t>
      </w:r>
      <w:r w:rsidR="00ED4D50" w:rsidRPr="00C96E55">
        <w:t xml:space="preserve"> messages </w:t>
      </w:r>
      <w:r>
        <w:t>for an intended</w:t>
      </w:r>
      <w:r w:rsidR="00ED4D50" w:rsidRPr="00C96E55">
        <w:t xml:space="preserve"> purpose</w:t>
      </w:r>
      <w:r>
        <w:t xml:space="preserve"> and </w:t>
      </w:r>
      <w:r w:rsidR="00ED4D50" w:rsidRPr="00C96E55">
        <w:t>audience</w:t>
      </w:r>
      <w:r>
        <w:t>,</w:t>
      </w:r>
      <w:r w:rsidR="00ED4D50" w:rsidRPr="00C96E55">
        <w:t xml:space="preserve"> and </w:t>
      </w:r>
      <w:r>
        <w:t xml:space="preserve">in a suitable </w:t>
      </w:r>
      <w:r w:rsidR="00ED4D50" w:rsidRPr="00C96E55">
        <w:t xml:space="preserve">format. Additionally, students </w:t>
      </w:r>
      <w:r>
        <w:t xml:space="preserve">will </w:t>
      </w:r>
      <w:r>
        <w:lastRenderedPageBreak/>
        <w:t>build capacity to use</w:t>
      </w:r>
      <w:r w:rsidR="00ED4D50" w:rsidRPr="00C96E55">
        <w:t xml:space="preserve"> non-verbal communication, such as body language, facial expressions</w:t>
      </w:r>
      <w:r w:rsidR="00351F4F">
        <w:t>,</w:t>
      </w:r>
      <w:r w:rsidR="00ED4D50" w:rsidRPr="00C96E55">
        <w:t xml:space="preserve"> tone of voice </w:t>
      </w:r>
      <w:r>
        <w:t>and active listening to</w:t>
      </w:r>
      <w:r w:rsidR="00ED4D50" w:rsidRPr="00C96E55">
        <w:t xml:space="preserve"> build connections with </w:t>
      </w:r>
      <w:r>
        <w:t>a target audience</w:t>
      </w:r>
      <w:r w:rsidR="00ED4D50" w:rsidRPr="00C96E55">
        <w:t>.</w:t>
      </w:r>
    </w:p>
    <w:p w14:paraId="60389F42" w14:textId="77777777" w:rsidR="001A469E" w:rsidRDefault="001A469E" w:rsidP="007A5272">
      <w:pPr>
        <w:pStyle w:val="SCSAHeading3"/>
      </w:pPr>
      <w:r>
        <w:t>Numeracy</w:t>
      </w:r>
    </w:p>
    <w:p w14:paraId="3A8F66CE" w14:textId="2DAF2F6E" w:rsidR="00F670AA" w:rsidRPr="00C96E55" w:rsidRDefault="00F670AA" w:rsidP="00C96E55">
      <w:r w:rsidRPr="00C96E55">
        <w:t xml:space="preserve">Students </w:t>
      </w:r>
      <w:r w:rsidR="00D75B75">
        <w:t>become</w:t>
      </w:r>
      <w:r w:rsidR="00D75B75" w:rsidRPr="00C96E55">
        <w:t xml:space="preserve"> </w:t>
      </w:r>
      <w:r w:rsidRPr="00C96E55">
        <w:t>numera</w:t>
      </w:r>
      <w:r w:rsidR="00D75B75">
        <w:t>te</w:t>
      </w:r>
      <w:r w:rsidRPr="00C96E55">
        <w:t xml:space="preserve"> </w:t>
      </w:r>
      <w:r w:rsidR="00D75B75">
        <w:t>as they develop</w:t>
      </w:r>
      <w:r w:rsidRPr="00C96E55">
        <w:t xml:space="preserve"> the </w:t>
      </w:r>
      <w:r w:rsidR="00D75B75">
        <w:t xml:space="preserve">knowledge and </w:t>
      </w:r>
      <w:r w:rsidRPr="00C96E55">
        <w:t xml:space="preserve">skills to </w:t>
      </w:r>
      <w:r w:rsidR="00D75B75">
        <w:t xml:space="preserve">use </w:t>
      </w:r>
      <w:r w:rsidRPr="00C96E55">
        <w:t xml:space="preserve">mathematics </w:t>
      </w:r>
      <w:r w:rsidR="00D75B75">
        <w:t>confidently across other learning areas at school and in their lives more broadly</w:t>
      </w:r>
      <w:r w:rsidRPr="00C96E55">
        <w:t xml:space="preserve">. Numeracy includes </w:t>
      </w:r>
      <w:r w:rsidR="00D75B75">
        <w:t xml:space="preserve">students recognising and </w:t>
      </w:r>
      <w:r w:rsidRPr="00C96E55">
        <w:t xml:space="preserve">understanding </w:t>
      </w:r>
      <w:r w:rsidR="00D75B75">
        <w:t>the role of</w:t>
      </w:r>
      <w:r w:rsidR="00D75B75" w:rsidRPr="00C96E55">
        <w:t xml:space="preserve"> </w:t>
      </w:r>
      <w:r w:rsidRPr="00C96E55">
        <w:t xml:space="preserve">mathematics </w:t>
      </w:r>
      <w:r w:rsidR="00D75B75">
        <w:t>in the world</w:t>
      </w:r>
      <w:r w:rsidRPr="00C96E55">
        <w:t xml:space="preserve"> and </w:t>
      </w:r>
      <w:r w:rsidR="00D75B75">
        <w:t xml:space="preserve">having the dispositions and capacities to use mathematical knowledge and skills purposefully. </w:t>
      </w:r>
      <w:r w:rsidRPr="00C96E55">
        <w:t>Students</w:t>
      </w:r>
      <w:r w:rsidR="00D75B75">
        <w:t xml:space="preserve"> use mathematical practices and conventions to</w:t>
      </w:r>
      <w:r w:rsidRPr="00C96E55">
        <w:t xml:space="preserve"> collect, analyse and organise data to </w:t>
      </w:r>
      <w:r w:rsidR="00D75B75">
        <w:t>investigate</w:t>
      </w:r>
      <w:r w:rsidR="00D75B75" w:rsidRPr="00C96E55">
        <w:t xml:space="preserve"> </w:t>
      </w:r>
      <w:r w:rsidRPr="00C96E55">
        <w:t xml:space="preserve">labour market trends </w:t>
      </w:r>
      <w:r w:rsidR="00D75B75">
        <w:t>to</w:t>
      </w:r>
      <w:r w:rsidR="00D75B75" w:rsidRPr="00C96E55">
        <w:t xml:space="preserve"> </w:t>
      </w:r>
      <w:r w:rsidRPr="00C96E55">
        <w:t>make informed career decisions.</w:t>
      </w:r>
    </w:p>
    <w:p w14:paraId="099A9EB9" w14:textId="75285438" w:rsidR="00B65D00" w:rsidRPr="00AD0DE1" w:rsidRDefault="00F670AA" w:rsidP="00C96E55">
      <w:r w:rsidRPr="00C96E55">
        <w:t xml:space="preserve">The course </w:t>
      </w:r>
      <w:r w:rsidR="00C3343F">
        <w:t>develops</w:t>
      </w:r>
      <w:r w:rsidR="00C3343F" w:rsidRPr="00C96E55">
        <w:t xml:space="preserve"> </w:t>
      </w:r>
      <w:r w:rsidRPr="00C96E55">
        <w:t>financial literacy</w:t>
      </w:r>
      <w:r w:rsidR="00C3343F">
        <w:t xml:space="preserve"> skills through</w:t>
      </w:r>
      <w:r w:rsidRPr="00C96E55">
        <w:t xml:space="preserve"> teaching students how to manage personal finances, track income and </w:t>
      </w:r>
      <w:r w:rsidR="00C3343F">
        <w:t xml:space="preserve">spending, and </w:t>
      </w:r>
      <w:r w:rsidRPr="00C96E55">
        <w:t xml:space="preserve">budget. It also helps students interpret labour market data, identify trends in industry growth and understand </w:t>
      </w:r>
      <w:r w:rsidR="00C3343F">
        <w:t>the impact of megatrends on employment.</w:t>
      </w:r>
    </w:p>
    <w:p w14:paraId="208A0F58" w14:textId="2DD520B0" w:rsidR="00777AF3" w:rsidRPr="009C3CBD" w:rsidRDefault="00777AF3" w:rsidP="009B5D74">
      <w:pPr>
        <w:pStyle w:val="SCSAHeading3"/>
      </w:pPr>
      <w:r w:rsidRPr="009C3CBD">
        <w:t>Personal and social capability</w:t>
      </w:r>
    </w:p>
    <w:p w14:paraId="33440644" w14:textId="32800BED" w:rsidR="000F70A6" w:rsidRPr="00C96E55" w:rsidRDefault="000F70A6" w:rsidP="00C96E55">
      <w:r w:rsidRPr="00C96E55">
        <w:t xml:space="preserve">Students develop personal and social capability </w:t>
      </w:r>
      <w:r w:rsidR="00896C98">
        <w:t xml:space="preserve">as they learn to </w:t>
      </w:r>
      <w:r w:rsidRPr="00C96E55">
        <w:t xml:space="preserve">understand themselves and others, </w:t>
      </w:r>
      <w:r w:rsidR="00896C98">
        <w:t xml:space="preserve">and </w:t>
      </w:r>
      <w:r w:rsidRPr="00C96E55">
        <w:t xml:space="preserve">manage </w:t>
      </w:r>
      <w:r w:rsidR="00896C98">
        <w:t xml:space="preserve">their </w:t>
      </w:r>
      <w:r w:rsidRPr="00C96E55">
        <w:t xml:space="preserve">relationships, </w:t>
      </w:r>
      <w:r w:rsidR="00896C98">
        <w:t xml:space="preserve">lives, </w:t>
      </w:r>
      <w:r w:rsidRPr="00C96E55">
        <w:t xml:space="preserve">work and learning effectively. </w:t>
      </w:r>
      <w:r w:rsidR="00896C98">
        <w:t>The capability involves students demonstrating a range of practices, including</w:t>
      </w:r>
      <w:r w:rsidRPr="00C96E55">
        <w:t xml:space="preserve"> recognising and regulating emotions</w:t>
      </w:r>
      <w:r w:rsidR="001E5FC2">
        <w:t>;</w:t>
      </w:r>
      <w:r w:rsidRPr="00C96E55">
        <w:t xml:space="preserve"> </w:t>
      </w:r>
      <w:r w:rsidR="00896C98">
        <w:t>developing</w:t>
      </w:r>
      <w:r w:rsidR="00896C98" w:rsidRPr="00C96E55">
        <w:t xml:space="preserve"> </w:t>
      </w:r>
      <w:r w:rsidRPr="00C96E55">
        <w:t xml:space="preserve">empathy </w:t>
      </w:r>
      <w:r w:rsidR="00896C98">
        <w:t>for others and understanding relationships</w:t>
      </w:r>
      <w:r w:rsidR="001E5FC2">
        <w:t>;</w:t>
      </w:r>
      <w:r w:rsidR="00896C98">
        <w:t xml:space="preserve"> </w:t>
      </w:r>
      <w:r w:rsidRPr="00C96E55">
        <w:t xml:space="preserve">establishing </w:t>
      </w:r>
      <w:r w:rsidR="00896C98">
        <w:t xml:space="preserve">and building </w:t>
      </w:r>
      <w:r w:rsidRPr="00C96E55">
        <w:t>positive relationship</w:t>
      </w:r>
      <w:r w:rsidR="00896C98">
        <w:t>s</w:t>
      </w:r>
      <w:r w:rsidR="001E5FC2">
        <w:t>;</w:t>
      </w:r>
      <w:r w:rsidR="00896C98">
        <w:t xml:space="preserve"> making responsible decisions</w:t>
      </w:r>
      <w:r w:rsidR="001E5FC2">
        <w:t>;</w:t>
      </w:r>
      <w:r w:rsidR="00896C98">
        <w:t xml:space="preserve"> working effectively with others and handling challenging situations constructively</w:t>
      </w:r>
      <w:r w:rsidR="001E5FC2">
        <w:t>;</w:t>
      </w:r>
      <w:r w:rsidR="00896C98">
        <w:t xml:space="preserve"> and</w:t>
      </w:r>
      <w:r w:rsidRPr="00C96E55">
        <w:t xml:space="preserve"> </w:t>
      </w:r>
      <w:r w:rsidR="00896C98">
        <w:t>developing</w:t>
      </w:r>
      <w:r w:rsidRPr="00C96E55">
        <w:t xml:space="preserve"> leadership </w:t>
      </w:r>
      <w:r w:rsidR="00896C98">
        <w:t>skills</w:t>
      </w:r>
      <w:r w:rsidRPr="00C96E55">
        <w:t>.</w:t>
      </w:r>
    </w:p>
    <w:p w14:paraId="1ABF3C49" w14:textId="4A8694ED" w:rsidR="00887B69" w:rsidRPr="00C96E55" w:rsidRDefault="00896C98" w:rsidP="00C96E55">
      <w:r>
        <w:t>In t</w:t>
      </w:r>
      <w:r w:rsidR="000F70A6" w:rsidRPr="00C96E55">
        <w:t>he course</w:t>
      </w:r>
      <w:r>
        <w:t>,</w:t>
      </w:r>
      <w:r w:rsidR="000F70A6" w:rsidRPr="00C96E55">
        <w:t xml:space="preserve"> </w:t>
      </w:r>
      <w:r>
        <w:t>students explore key concepts such as a growth mindset, emotional intelligence, resilience and personal development. They learn strategies to enhance self-awareness, motivation, and social skills, helping them adapt to different personal and workplace situations. Additionally, students apply self-reflection to assess their career suitability by considering their strengths, values, skills and interests.</w:t>
      </w:r>
    </w:p>
    <w:p w14:paraId="2295A1AD" w14:textId="77777777" w:rsidR="00795FA5" w:rsidRDefault="00795FA5">
      <w:pPr>
        <w:rPr>
          <w:b/>
          <w:bCs/>
          <w:color w:val="595959" w:themeColor="text1" w:themeTint="A6"/>
          <w:kern w:val="0"/>
          <w:sz w:val="28"/>
          <w:szCs w:val="28"/>
          <w:lang w:eastAsia="en-US"/>
        </w:rPr>
      </w:pPr>
      <w:r>
        <w:br w:type="page"/>
      </w:r>
    </w:p>
    <w:p w14:paraId="2173CC5E" w14:textId="7CE2C467" w:rsidR="00426B9A" w:rsidRPr="009C3CBD" w:rsidRDefault="006054A2" w:rsidP="002C6BB2">
      <w:pPr>
        <w:pStyle w:val="SCSAHeading3"/>
      </w:pPr>
      <w:r w:rsidRPr="009C3CBD">
        <w:lastRenderedPageBreak/>
        <w:t>Addressing the other general capabilities</w:t>
      </w:r>
    </w:p>
    <w:bookmarkEnd w:id="2"/>
    <w:p w14:paraId="20DD5EA9" w14:textId="11DBDA6E" w:rsidR="006054A2" w:rsidRPr="009C3CBD" w:rsidRDefault="006054A2" w:rsidP="009C3CBD">
      <w:r w:rsidRPr="009C3CBD">
        <w:t xml:space="preserve">Although the following general capabilities have not been identified as a focus in the </w:t>
      </w:r>
      <w:r w:rsidR="0064206C">
        <w:t>Careers and Employability</w:t>
      </w:r>
      <w:r w:rsidRPr="009C3CBD">
        <w:t xml:space="preserve"> </w:t>
      </w:r>
      <w:r w:rsidR="009833D4" w:rsidRPr="0064206C">
        <w:t>General</w:t>
      </w:r>
      <w:r w:rsidRPr="009C3CBD">
        <w:t xml:space="preserve"> </w:t>
      </w:r>
      <w:r w:rsidR="00F95ACE">
        <w:t>Year 12 syllabus</w:t>
      </w:r>
      <w:r w:rsidRPr="009C3CBD">
        <w:t>, teachers may find opportunities to incorporate these capabilities into the teaching and learning program.</w:t>
      </w:r>
    </w:p>
    <w:p w14:paraId="625ED0EE" w14:textId="77777777" w:rsidR="00B030D7" w:rsidRDefault="00B030D7" w:rsidP="00B030D7">
      <w:pPr>
        <w:pStyle w:val="ListParagraph"/>
        <w:numPr>
          <w:ilvl w:val="0"/>
          <w:numId w:val="19"/>
        </w:numPr>
      </w:pPr>
      <w:r>
        <w:t>Ethical understanding</w:t>
      </w:r>
    </w:p>
    <w:p w14:paraId="039F860B" w14:textId="6A8213A0" w:rsidR="009833D4" w:rsidRPr="00B030D7" w:rsidRDefault="00B030D7" w:rsidP="00B030D7">
      <w:pPr>
        <w:pStyle w:val="ListParagraph"/>
        <w:numPr>
          <w:ilvl w:val="0"/>
          <w:numId w:val="19"/>
        </w:numPr>
      </w:pPr>
      <w:r w:rsidRPr="00B030D7">
        <w:t>Intercultural understanding</w:t>
      </w:r>
    </w:p>
    <w:p w14:paraId="0351B485" w14:textId="7E1C2EFE" w:rsidR="006054A2" w:rsidRPr="009C3CBD" w:rsidRDefault="006054A2" w:rsidP="009C3CBD">
      <w:r w:rsidRPr="009C3CBD">
        <w:t>Such opportunities may occur through the application of different contexts, pedagogical practices and/or assessment strategies that relate to the syllabus as part of the teaching and learning program.</w:t>
      </w:r>
    </w:p>
    <w:p w14:paraId="49AA4128" w14:textId="61681FDF" w:rsidR="009F5CD5" w:rsidRPr="009C3CBD" w:rsidRDefault="009F5CD5" w:rsidP="002C6BB2">
      <w:pPr>
        <w:pStyle w:val="SCSAHeading3"/>
      </w:pPr>
      <w:r w:rsidRPr="009C3CBD">
        <w:t xml:space="preserve">Summary representation of the </w:t>
      </w:r>
      <w:r w:rsidR="00CA2982">
        <w:t>g</w:t>
      </w:r>
      <w:r w:rsidRPr="009C3CBD">
        <w:t xml:space="preserve">eneral </w:t>
      </w:r>
      <w:r w:rsidR="00CA2982">
        <w:t>c</w:t>
      </w:r>
      <w:r w:rsidRPr="009C3CBD">
        <w:t xml:space="preserve">apabilities in the </w:t>
      </w:r>
      <w:r w:rsidR="00C972D1">
        <w:t>Careers and Employability</w:t>
      </w:r>
      <w:r w:rsidRPr="009C3CBD">
        <w:t xml:space="preserve"> </w:t>
      </w:r>
      <w:r w:rsidRPr="00912D88">
        <w:t>General</w:t>
      </w:r>
      <w:r w:rsidRPr="009C3CBD">
        <w:t xml:space="preserve"> course </w:t>
      </w:r>
    </w:p>
    <w:p w14:paraId="23927AC4" w14:textId="01DA7E3E" w:rsidR="009F5CD5" w:rsidRDefault="00A44A7A" w:rsidP="009C3CBD">
      <w:pPr>
        <w:rPr>
          <w:rFonts w:ascii="Calibri" w:hAnsi="Calibri" w:cs="Calibri"/>
        </w:rPr>
      </w:pPr>
      <w:r w:rsidRPr="005A3D40">
        <w:rPr>
          <w:rFonts w:ascii="Calibri" w:hAnsi="Calibri" w:cs="Calibri"/>
        </w:rPr>
        <w:t xml:space="preserve">A representation of the </w:t>
      </w:r>
      <w:r>
        <w:rPr>
          <w:rFonts w:ascii="Calibri" w:hAnsi="Calibri" w:cs="Calibri"/>
        </w:rPr>
        <w:t>g</w:t>
      </w:r>
      <w:r w:rsidRPr="005A3D40">
        <w:rPr>
          <w:rFonts w:ascii="Calibri" w:hAnsi="Calibri" w:cs="Calibri"/>
        </w:rPr>
        <w:t xml:space="preserve">eneral </w:t>
      </w:r>
      <w:r>
        <w:rPr>
          <w:rFonts w:ascii="Calibri" w:hAnsi="Calibri" w:cs="Calibri"/>
        </w:rPr>
        <w:t>c</w:t>
      </w:r>
      <w:r w:rsidRPr="005A3D40">
        <w:rPr>
          <w:rFonts w:ascii="Calibri" w:hAnsi="Calibri" w:cs="Calibri"/>
        </w:rPr>
        <w:t>apabilities </w:t>
      </w:r>
      <w:r w:rsidRPr="003154C4">
        <w:rPr>
          <w:rFonts w:ascii="Calibri" w:hAnsi="Calibri" w:cs="Calibri"/>
        </w:rPr>
        <w:t>for</w:t>
      </w:r>
      <w:r w:rsidRPr="005A3D40">
        <w:rPr>
          <w:rFonts w:ascii="Calibri" w:hAnsi="Calibri" w:cs="Calibri"/>
        </w:rPr>
        <w:t> the two years is summarised in the table below</w:t>
      </w:r>
      <w:r>
        <w:rPr>
          <w:rFonts w:ascii="Calibri" w:hAnsi="Calibri" w:cs="Calibri"/>
        </w:rPr>
        <w:t>.</w:t>
      </w:r>
    </w:p>
    <w:tbl>
      <w:tblPr>
        <w:tblStyle w:val="SCSATableclearstyle"/>
        <w:tblW w:w="5000" w:type="pct"/>
        <w:tblLayout w:type="fixed"/>
        <w:tblLook w:val="04A0" w:firstRow="1" w:lastRow="0" w:firstColumn="1" w:lastColumn="0" w:noHBand="0" w:noVBand="1"/>
      </w:tblPr>
      <w:tblGrid>
        <w:gridCol w:w="988"/>
        <w:gridCol w:w="2976"/>
        <w:gridCol w:w="993"/>
        <w:gridCol w:w="550"/>
        <w:gridCol w:w="550"/>
        <w:gridCol w:w="550"/>
        <w:gridCol w:w="550"/>
        <w:gridCol w:w="550"/>
        <w:gridCol w:w="550"/>
        <w:gridCol w:w="803"/>
      </w:tblGrid>
      <w:tr w:rsidR="00AD0DE1" w:rsidRPr="006A76EA" w14:paraId="064DF04D" w14:textId="77777777" w:rsidTr="006F4A74">
        <w:trPr>
          <w:cnfStyle w:val="100000000000" w:firstRow="1" w:lastRow="0" w:firstColumn="0" w:lastColumn="0" w:oddVBand="0" w:evenVBand="0" w:oddHBand="0" w:evenHBand="0" w:firstRowFirstColumn="0" w:firstRowLastColumn="0" w:lastRowFirstColumn="0" w:lastRowLastColumn="0"/>
          <w:trHeight w:val="261"/>
        </w:trPr>
        <w:tc>
          <w:tcPr>
            <w:tcW w:w="988" w:type="dxa"/>
            <w:vMerge w:val="restart"/>
          </w:tcPr>
          <w:p w14:paraId="3BD81A52" w14:textId="77777777" w:rsidR="00AD0DE1" w:rsidRPr="006A76EA" w:rsidRDefault="00AD0DE1" w:rsidP="006F4A74">
            <w:pPr>
              <w:spacing w:after="100" w:afterAutospacing="1"/>
              <w:rPr>
                <w:b w:val="0"/>
                <w:bCs/>
              </w:rPr>
            </w:pPr>
            <w:r w:rsidRPr="006A76EA">
              <w:rPr>
                <w:bCs/>
              </w:rPr>
              <w:t>Year</w:t>
            </w:r>
          </w:p>
        </w:tc>
        <w:tc>
          <w:tcPr>
            <w:tcW w:w="2976" w:type="dxa"/>
            <w:vMerge w:val="restart"/>
          </w:tcPr>
          <w:p w14:paraId="6C7695ED" w14:textId="77777777" w:rsidR="00AD0DE1" w:rsidRPr="006A76EA" w:rsidRDefault="00AD0DE1" w:rsidP="006F4A74">
            <w:pPr>
              <w:spacing w:after="100" w:afterAutospacing="1"/>
              <w:rPr>
                <w:b w:val="0"/>
                <w:bCs/>
              </w:rPr>
            </w:pPr>
            <w:r w:rsidRPr="006A76EA">
              <w:rPr>
                <w:bCs/>
              </w:rPr>
              <w:t>Course</w:t>
            </w:r>
          </w:p>
        </w:tc>
        <w:tc>
          <w:tcPr>
            <w:tcW w:w="993" w:type="dxa"/>
            <w:vMerge w:val="restart"/>
          </w:tcPr>
          <w:p w14:paraId="1C6292A5" w14:textId="77777777" w:rsidR="00AD0DE1" w:rsidRPr="006A76EA" w:rsidRDefault="00AD0DE1" w:rsidP="006F4A74">
            <w:pPr>
              <w:spacing w:after="100" w:afterAutospacing="1"/>
              <w:rPr>
                <w:b w:val="0"/>
                <w:bCs/>
              </w:rPr>
            </w:pPr>
            <w:r w:rsidRPr="006A76EA">
              <w:rPr>
                <w:bCs/>
              </w:rPr>
              <w:t xml:space="preserve">Course </w:t>
            </w:r>
            <w:r>
              <w:rPr>
                <w:bCs/>
              </w:rPr>
              <w:t>t</w:t>
            </w:r>
            <w:r w:rsidRPr="006A76EA">
              <w:rPr>
                <w:bCs/>
              </w:rPr>
              <w:t>ype</w:t>
            </w:r>
          </w:p>
        </w:tc>
        <w:tc>
          <w:tcPr>
            <w:tcW w:w="4103" w:type="dxa"/>
            <w:gridSpan w:val="7"/>
          </w:tcPr>
          <w:p w14:paraId="0CA08D00" w14:textId="77777777" w:rsidR="00AD0DE1" w:rsidRPr="006A76EA" w:rsidRDefault="00AD0DE1" w:rsidP="006F4A74">
            <w:pPr>
              <w:spacing w:after="100" w:afterAutospacing="1"/>
              <w:jc w:val="center"/>
              <w:rPr>
                <w:b w:val="0"/>
                <w:bCs/>
              </w:rPr>
            </w:pPr>
            <w:r w:rsidRPr="006A76EA">
              <w:rPr>
                <w:bCs/>
              </w:rPr>
              <w:t xml:space="preserve">General </w:t>
            </w:r>
            <w:r>
              <w:rPr>
                <w:bCs/>
              </w:rPr>
              <w:t>c</w:t>
            </w:r>
            <w:r w:rsidRPr="006A76EA">
              <w:rPr>
                <w:bCs/>
              </w:rPr>
              <w:t>apabilities</w:t>
            </w:r>
          </w:p>
        </w:tc>
      </w:tr>
      <w:tr w:rsidR="00AD0DE1" w:rsidRPr="006A76EA" w14:paraId="5B7E4209" w14:textId="77777777" w:rsidTr="006F4A74">
        <w:trPr>
          <w:trHeight w:val="142"/>
        </w:trPr>
        <w:tc>
          <w:tcPr>
            <w:tcW w:w="988" w:type="dxa"/>
            <w:vMerge/>
          </w:tcPr>
          <w:p w14:paraId="77086F65" w14:textId="77777777" w:rsidR="00AD0DE1" w:rsidRPr="006A76EA" w:rsidRDefault="00AD0DE1" w:rsidP="006F4A74">
            <w:pPr>
              <w:spacing w:after="100" w:afterAutospacing="1"/>
              <w:rPr>
                <w:b/>
                <w:bCs/>
              </w:rPr>
            </w:pPr>
          </w:p>
        </w:tc>
        <w:tc>
          <w:tcPr>
            <w:tcW w:w="2976" w:type="dxa"/>
            <w:vMerge/>
          </w:tcPr>
          <w:p w14:paraId="19A66317" w14:textId="77777777" w:rsidR="00AD0DE1" w:rsidRPr="006A76EA" w:rsidRDefault="00AD0DE1" w:rsidP="006F4A74">
            <w:pPr>
              <w:spacing w:after="100" w:afterAutospacing="1"/>
              <w:rPr>
                <w:b/>
                <w:bCs/>
              </w:rPr>
            </w:pPr>
          </w:p>
        </w:tc>
        <w:tc>
          <w:tcPr>
            <w:tcW w:w="993" w:type="dxa"/>
            <w:vMerge/>
          </w:tcPr>
          <w:p w14:paraId="1F342454" w14:textId="77777777" w:rsidR="00AD0DE1" w:rsidRPr="006A76EA" w:rsidRDefault="00AD0DE1" w:rsidP="006F4A74">
            <w:pPr>
              <w:spacing w:after="100" w:afterAutospacing="1"/>
              <w:rPr>
                <w:b/>
                <w:bCs/>
              </w:rPr>
            </w:pPr>
          </w:p>
        </w:tc>
        <w:tc>
          <w:tcPr>
            <w:tcW w:w="550" w:type="dxa"/>
          </w:tcPr>
          <w:p w14:paraId="2E625C1F" w14:textId="77777777" w:rsidR="00AD0DE1" w:rsidRPr="006A76EA" w:rsidRDefault="00AD0DE1" w:rsidP="006F4A74">
            <w:pPr>
              <w:spacing w:after="100" w:afterAutospacing="1"/>
              <w:jc w:val="center"/>
              <w:rPr>
                <w:b/>
                <w:bCs/>
              </w:rPr>
            </w:pPr>
            <w:r>
              <w:rPr>
                <w:b/>
                <w:bCs/>
              </w:rPr>
              <w:t>CCT</w:t>
            </w:r>
          </w:p>
        </w:tc>
        <w:tc>
          <w:tcPr>
            <w:tcW w:w="550" w:type="dxa"/>
          </w:tcPr>
          <w:p w14:paraId="0E74CE2F" w14:textId="77777777" w:rsidR="00AD0DE1" w:rsidRDefault="00AD0DE1" w:rsidP="006F4A74">
            <w:pPr>
              <w:spacing w:after="100" w:afterAutospacing="1"/>
              <w:jc w:val="center"/>
              <w:rPr>
                <w:b/>
                <w:bCs/>
              </w:rPr>
            </w:pPr>
            <w:r>
              <w:rPr>
                <w:b/>
                <w:bCs/>
              </w:rPr>
              <w:t>DL</w:t>
            </w:r>
          </w:p>
        </w:tc>
        <w:tc>
          <w:tcPr>
            <w:tcW w:w="550" w:type="dxa"/>
          </w:tcPr>
          <w:p w14:paraId="3216880A" w14:textId="77777777" w:rsidR="00AD0DE1" w:rsidRDefault="00AD0DE1" w:rsidP="006F4A74">
            <w:pPr>
              <w:spacing w:after="100" w:afterAutospacing="1"/>
              <w:jc w:val="center"/>
              <w:rPr>
                <w:b/>
                <w:bCs/>
              </w:rPr>
            </w:pPr>
            <w:r>
              <w:rPr>
                <w:b/>
                <w:bCs/>
              </w:rPr>
              <w:t>EU</w:t>
            </w:r>
          </w:p>
        </w:tc>
        <w:tc>
          <w:tcPr>
            <w:tcW w:w="550" w:type="dxa"/>
          </w:tcPr>
          <w:p w14:paraId="256DAC7E" w14:textId="77777777" w:rsidR="00AD0DE1" w:rsidRDefault="00AD0DE1" w:rsidP="006F4A74">
            <w:pPr>
              <w:spacing w:after="100" w:afterAutospacing="1"/>
              <w:jc w:val="center"/>
              <w:rPr>
                <w:b/>
                <w:bCs/>
              </w:rPr>
            </w:pPr>
            <w:r>
              <w:rPr>
                <w:b/>
                <w:bCs/>
              </w:rPr>
              <w:t>IU</w:t>
            </w:r>
          </w:p>
        </w:tc>
        <w:tc>
          <w:tcPr>
            <w:tcW w:w="550" w:type="dxa"/>
          </w:tcPr>
          <w:p w14:paraId="7B7F34D6" w14:textId="77777777" w:rsidR="00AD0DE1" w:rsidRDefault="00AD0DE1" w:rsidP="006F4A74">
            <w:pPr>
              <w:spacing w:after="100" w:afterAutospacing="1"/>
              <w:jc w:val="center"/>
              <w:rPr>
                <w:b/>
                <w:bCs/>
              </w:rPr>
            </w:pPr>
            <w:r>
              <w:rPr>
                <w:b/>
                <w:bCs/>
              </w:rPr>
              <w:t>L</w:t>
            </w:r>
          </w:p>
        </w:tc>
        <w:tc>
          <w:tcPr>
            <w:tcW w:w="550" w:type="dxa"/>
          </w:tcPr>
          <w:p w14:paraId="5A1AF87E" w14:textId="77777777" w:rsidR="00AD0DE1" w:rsidRPr="006A76EA" w:rsidRDefault="00AD0DE1" w:rsidP="006F4A74">
            <w:pPr>
              <w:spacing w:after="100" w:afterAutospacing="1"/>
              <w:jc w:val="center"/>
              <w:rPr>
                <w:b/>
                <w:bCs/>
              </w:rPr>
            </w:pPr>
            <w:r>
              <w:rPr>
                <w:b/>
                <w:bCs/>
              </w:rPr>
              <w:t>N</w:t>
            </w:r>
          </w:p>
        </w:tc>
        <w:tc>
          <w:tcPr>
            <w:tcW w:w="803" w:type="dxa"/>
          </w:tcPr>
          <w:p w14:paraId="57BBD243" w14:textId="77777777" w:rsidR="00AD0DE1" w:rsidRPr="006A76EA" w:rsidRDefault="00AD0DE1" w:rsidP="006F4A74">
            <w:pPr>
              <w:spacing w:after="100" w:afterAutospacing="1"/>
              <w:jc w:val="center"/>
              <w:rPr>
                <w:b/>
                <w:bCs/>
              </w:rPr>
            </w:pPr>
            <w:r>
              <w:rPr>
                <w:b/>
                <w:bCs/>
              </w:rPr>
              <w:t>PSC</w:t>
            </w:r>
          </w:p>
        </w:tc>
      </w:tr>
      <w:tr w:rsidR="00AD0DE1" w14:paraId="44997713" w14:textId="77777777" w:rsidTr="006F4A74">
        <w:trPr>
          <w:trHeight w:val="261"/>
        </w:trPr>
        <w:tc>
          <w:tcPr>
            <w:tcW w:w="988" w:type="dxa"/>
          </w:tcPr>
          <w:p w14:paraId="15B82A1D" w14:textId="77777777" w:rsidR="00AD0DE1" w:rsidRDefault="00AD0DE1" w:rsidP="006F4A74">
            <w:pPr>
              <w:spacing w:after="100" w:afterAutospacing="1"/>
            </w:pPr>
            <w:r>
              <w:t>Year 11</w:t>
            </w:r>
          </w:p>
        </w:tc>
        <w:tc>
          <w:tcPr>
            <w:tcW w:w="2976" w:type="dxa"/>
          </w:tcPr>
          <w:p w14:paraId="55346204" w14:textId="77777777" w:rsidR="00AD0DE1" w:rsidRDefault="00AD0DE1" w:rsidP="006F4A74">
            <w:pPr>
              <w:spacing w:after="100" w:afterAutospacing="1"/>
            </w:pPr>
            <w:r>
              <w:rPr>
                <w:rFonts w:cs="Calibri"/>
              </w:rPr>
              <w:t xml:space="preserve">Careers and Employability </w:t>
            </w:r>
            <w:r>
              <w:rPr>
                <w:rFonts w:cs="Calibri"/>
              </w:rPr>
              <w:br/>
              <w:t>(GECEM)</w:t>
            </w:r>
          </w:p>
        </w:tc>
        <w:tc>
          <w:tcPr>
            <w:tcW w:w="993" w:type="dxa"/>
          </w:tcPr>
          <w:p w14:paraId="55A1183B" w14:textId="77777777" w:rsidR="00AD0DE1" w:rsidRDefault="00AD0DE1" w:rsidP="006F4A74">
            <w:pPr>
              <w:spacing w:after="100" w:afterAutospacing="1"/>
            </w:pPr>
            <w:r>
              <w:t>General</w:t>
            </w:r>
          </w:p>
        </w:tc>
        <w:tc>
          <w:tcPr>
            <w:tcW w:w="550" w:type="dxa"/>
          </w:tcPr>
          <w:p w14:paraId="202B750A" w14:textId="77777777" w:rsidR="00AD0DE1" w:rsidRPr="007C5741" w:rsidRDefault="00AD0DE1" w:rsidP="006F4A74">
            <w:pPr>
              <w:spacing w:after="100" w:afterAutospacing="1"/>
              <w:jc w:val="center"/>
            </w:pPr>
            <w:r w:rsidRPr="007C5741">
              <w:sym w:font="Wingdings" w:char="F0FC"/>
            </w:r>
          </w:p>
        </w:tc>
        <w:tc>
          <w:tcPr>
            <w:tcW w:w="550" w:type="dxa"/>
          </w:tcPr>
          <w:p w14:paraId="3E35BFCC" w14:textId="77777777" w:rsidR="00AD0DE1" w:rsidRPr="007C5741" w:rsidRDefault="00AD0DE1" w:rsidP="006F4A74">
            <w:pPr>
              <w:spacing w:after="100" w:afterAutospacing="1"/>
              <w:jc w:val="center"/>
            </w:pPr>
            <w:r w:rsidRPr="007C5741">
              <w:sym w:font="Wingdings" w:char="F0FC"/>
            </w:r>
          </w:p>
        </w:tc>
        <w:tc>
          <w:tcPr>
            <w:tcW w:w="550" w:type="dxa"/>
            <w:shd w:val="clear" w:color="auto" w:fill="ECE7F2"/>
          </w:tcPr>
          <w:p w14:paraId="2F0BD3AC" w14:textId="77777777" w:rsidR="00AD0DE1" w:rsidRPr="007C5741" w:rsidRDefault="00AD0DE1" w:rsidP="006F4A74">
            <w:pPr>
              <w:spacing w:after="100" w:afterAutospacing="1"/>
              <w:jc w:val="center"/>
            </w:pPr>
          </w:p>
        </w:tc>
        <w:tc>
          <w:tcPr>
            <w:tcW w:w="550" w:type="dxa"/>
            <w:shd w:val="clear" w:color="auto" w:fill="ECE7F2"/>
          </w:tcPr>
          <w:p w14:paraId="73C429CC" w14:textId="77777777" w:rsidR="00AD0DE1" w:rsidRPr="007C5741" w:rsidRDefault="00AD0DE1" w:rsidP="006F4A74">
            <w:pPr>
              <w:spacing w:after="100" w:afterAutospacing="1"/>
              <w:jc w:val="center"/>
            </w:pPr>
          </w:p>
        </w:tc>
        <w:tc>
          <w:tcPr>
            <w:tcW w:w="550" w:type="dxa"/>
          </w:tcPr>
          <w:p w14:paraId="47847FC7" w14:textId="77777777" w:rsidR="00AD0DE1" w:rsidRPr="007C5741" w:rsidRDefault="00AD0DE1" w:rsidP="006F4A74">
            <w:pPr>
              <w:spacing w:after="100" w:afterAutospacing="1"/>
              <w:jc w:val="center"/>
            </w:pPr>
            <w:r w:rsidRPr="00CF7C3D">
              <w:sym w:font="Wingdings" w:char="F0FC"/>
            </w:r>
          </w:p>
        </w:tc>
        <w:tc>
          <w:tcPr>
            <w:tcW w:w="550" w:type="dxa"/>
            <w:shd w:val="clear" w:color="auto" w:fill="ECE7F2"/>
          </w:tcPr>
          <w:p w14:paraId="4126DB1F" w14:textId="77777777" w:rsidR="00AD0DE1" w:rsidRPr="007C5741" w:rsidRDefault="00AD0DE1" w:rsidP="006F4A74">
            <w:pPr>
              <w:spacing w:after="100" w:afterAutospacing="1"/>
              <w:jc w:val="center"/>
            </w:pPr>
          </w:p>
        </w:tc>
        <w:tc>
          <w:tcPr>
            <w:tcW w:w="803" w:type="dxa"/>
          </w:tcPr>
          <w:p w14:paraId="0AB10856" w14:textId="77777777" w:rsidR="00AD0DE1" w:rsidRDefault="00AD0DE1" w:rsidP="006F4A74">
            <w:pPr>
              <w:spacing w:after="100" w:afterAutospacing="1"/>
              <w:jc w:val="center"/>
            </w:pPr>
            <w:r w:rsidRPr="007C5741">
              <w:sym w:font="Wingdings" w:char="F0FC"/>
            </w:r>
          </w:p>
        </w:tc>
      </w:tr>
      <w:tr w:rsidR="00AD0DE1" w14:paraId="09E3AEDC" w14:textId="77777777" w:rsidTr="006F4A74">
        <w:trPr>
          <w:trHeight w:val="261"/>
        </w:trPr>
        <w:tc>
          <w:tcPr>
            <w:tcW w:w="988" w:type="dxa"/>
          </w:tcPr>
          <w:p w14:paraId="4E79F7B5" w14:textId="77777777" w:rsidR="00AD0DE1" w:rsidRDefault="00AD0DE1" w:rsidP="006F4A74">
            <w:pPr>
              <w:spacing w:after="100" w:afterAutospacing="1"/>
            </w:pPr>
            <w:r>
              <w:t>Year 12</w:t>
            </w:r>
          </w:p>
        </w:tc>
        <w:tc>
          <w:tcPr>
            <w:tcW w:w="2976" w:type="dxa"/>
          </w:tcPr>
          <w:p w14:paraId="3820B27F" w14:textId="77777777" w:rsidR="00AD0DE1" w:rsidRDefault="00AD0DE1" w:rsidP="006F4A74">
            <w:pPr>
              <w:spacing w:after="100" w:afterAutospacing="1"/>
            </w:pPr>
            <w:r>
              <w:rPr>
                <w:rFonts w:cs="Calibri"/>
              </w:rPr>
              <w:t xml:space="preserve">Careers and Employability </w:t>
            </w:r>
            <w:r>
              <w:rPr>
                <w:rFonts w:cs="Calibri"/>
              </w:rPr>
              <w:br/>
              <w:t>(GTCEM)</w:t>
            </w:r>
          </w:p>
        </w:tc>
        <w:tc>
          <w:tcPr>
            <w:tcW w:w="993" w:type="dxa"/>
          </w:tcPr>
          <w:p w14:paraId="596C8083" w14:textId="77777777" w:rsidR="00AD0DE1" w:rsidRDefault="00AD0DE1" w:rsidP="006F4A74">
            <w:pPr>
              <w:spacing w:after="100" w:afterAutospacing="1"/>
            </w:pPr>
            <w:r>
              <w:t>General</w:t>
            </w:r>
          </w:p>
        </w:tc>
        <w:tc>
          <w:tcPr>
            <w:tcW w:w="550" w:type="dxa"/>
          </w:tcPr>
          <w:p w14:paraId="328AFB48" w14:textId="77777777" w:rsidR="00AD0DE1" w:rsidRPr="007C5741" w:rsidRDefault="00AD0DE1" w:rsidP="006F4A74">
            <w:pPr>
              <w:spacing w:after="100" w:afterAutospacing="1"/>
              <w:jc w:val="center"/>
            </w:pPr>
            <w:r w:rsidRPr="007C5741">
              <w:sym w:font="Wingdings" w:char="F0FC"/>
            </w:r>
          </w:p>
        </w:tc>
        <w:tc>
          <w:tcPr>
            <w:tcW w:w="550" w:type="dxa"/>
          </w:tcPr>
          <w:p w14:paraId="18D6BCE5" w14:textId="77777777" w:rsidR="00AD0DE1" w:rsidRPr="007C5741" w:rsidRDefault="00AD0DE1" w:rsidP="006F4A74">
            <w:pPr>
              <w:spacing w:after="100" w:afterAutospacing="1"/>
              <w:jc w:val="center"/>
            </w:pPr>
            <w:r w:rsidRPr="007C5741">
              <w:sym w:font="Wingdings" w:char="F0FC"/>
            </w:r>
          </w:p>
        </w:tc>
        <w:tc>
          <w:tcPr>
            <w:tcW w:w="550" w:type="dxa"/>
            <w:shd w:val="clear" w:color="auto" w:fill="ECE7F2"/>
          </w:tcPr>
          <w:p w14:paraId="01195877" w14:textId="77777777" w:rsidR="00AD0DE1" w:rsidRPr="007C5741" w:rsidRDefault="00AD0DE1" w:rsidP="006F4A74">
            <w:pPr>
              <w:spacing w:after="100" w:afterAutospacing="1"/>
              <w:jc w:val="center"/>
            </w:pPr>
          </w:p>
        </w:tc>
        <w:tc>
          <w:tcPr>
            <w:tcW w:w="550" w:type="dxa"/>
            <w:shd w:val="clear" w:color="auto" w:fill="ECE7F2"/>
          </w:tcPr>
          <w:p w14:paraId="44637458" w14:textId="77777777" w:rsidR="00AD0DE1" w:rsidRPr="007C5741" w:rsidRDefault="00AD0DE1" w:rsidP="006F4A74">
            <w:pPr>
              <w:spacing w:after="100" w:afterAutospacing="1"/>
              <w:jc w:val="center"/>
            </w:pPr>
          </w:p>
        </w:tc>
        <w:tc>
          <w:tcPr>
            <w:tcW w:w="550" w:type="dxa"/>
          </w:tcPr>
          <w:p w14:paraId="367326C4" w14:textId="77777777" w:rsidR="00AD0DE1" w:rsidRPr="007C5741" w:rsidRDefault="00AD0DE1" w:rsidP="006F4A74">
            <w:pPr>
              <w:spacing w:after="100" w:afterAutospacing="1"/>
              <w:jc w:val="center"/>
            </w:pPr>
            <w:r w:rsidRPr="00CF7C3D">
              <w:sym w:font="Wingdings" w:char="F0FC"/>
            </w:r>
          </w:p>
        </w:tc>
        <w:tc>
          <w:tcPr>
            <w:tcW w:w="550" w:type="dxa"/>
          </w:tcPr>
          <w:p w14:paraId="7AA3077D" w14:textId="77777777" w:rsidR="00AD0DE1" w:rsidRPr="007C5741" w:rsidRDefault="00AD0DE1" w:rsidP="006F4A74">
            <w:pPr>
              <w:spacing w:after="100" w:afterAutospacing="1"/>
              <w:jc w:val="center"/>
            </w:pPr>
            <w:r w:rsidRPr="007C5741">
              <w:sym w:font="Wingdings" w:char="F0FC"/>
            </w:r>
          </w:p>
        </w:tc>
        <w:tc>
          <w:tcPr>
            <w:tcW w:w="803" w:type="dxa"/>
          </w:tcPr>
          <w:p w14:paraId="5B6341E4" w14:textId="77777777" w:rsidR="00AD0DE1" w:rsidRDefault="00AD0DE1" w:rsidP="006F4A74">
            <w:pPr>
              <w:spacing w:after="100" w:afterAutospacing="1"/>
              <w:jc w:val="center"/>
            </w:pPr>
            <w:r w:rsidRPr="007C5741">
              <w:sym w:font="Wingdings" w:char="F0FC"/>
            </w:r>
          </w:p>
        </w:tc>
      </w:tr>
    </w:tbl>
    <w:p w14:paraId="23D714FA" w14:textId="77777777" w:rsidR="009F5CD5" w:rsidRPr="009C3CBD" w:rsidRDefault="009F5CD5" w:rsidP="008A7111">
      <w:pPr>
        <w:spacing w:before="120" w:after="0"/>
        <w:rPr>
          <w:b/>
          <w:bCs/>
        </w:rPr>
      </w:pPr>
      <w:r w:rsidRPr="009C3CBD">
        <w:rPr>
          <w:b/>
          <w:bCs/>
        </w:rPr>
        <w:t>Key</w:t>
      </w:r>
    </w:p>
    <w:p w14:paraId="726068F5" w14:textId="77777777" w:rsidR="00E63A21" w:rsidRPr="009C3CBD" w:rsidRDefault="00E63A21" w:rsidP="00E63A21">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p>
    <w:p w14:paraId="0D4C71F9" w14:textId="6BBD00F7" w:rsidR="009F5CD5" w:rsidRPr="009C3CBD" w:rsidRDefault="009F5CD5" w:rsidP="009C3CBD"/>
    <w:sectPr w:rsidR="009F5CD5" w:rsidRPr="009C3CBD" w:rsidSect="00E5409D">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A3965" w14:textId="77777777" w:rsidR="006E0DC5" w:rsidRDefault="006E0DC5" w:rsidP="00742128">
      <w:pPr>
        <w:spacing w:after="0" w:line="240" w:lineRule="auto"/>
      </w:pPr>
      <w:r>
        <w:separator/>
      </w:r>
    </w:p>
  </w:endnote>
  <w:endnote w:type="continuationSeparator" w:id="0">
    <w:p w14:paraId="4567158B" w14:textId="77777777" w:rsidR="006E0DC5" w:rsidRDefault="006E0DC5"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7D6B4401" w:rsidR="00F86F26" w:rsidRPr="008324A6" w:rsidRDefault="00F86F26" w:rsidP="00227D40">
    <w:pPr>
      <w:pStyle w:val="SCSAFootereven"/>
    </w:pPr>
    <w:r>
      <w:rPr>
        <w:noProof/>
      </w:rPr>
      <w:t>20</w:t>
    </w:r>
    <w:r w:rsidR="00C63FF4">
      <w:rPr>
        <w:noProof/>
      </w:rPr>
      <w:t>25</w:t>
    </w:r>
    <w:r>
      <w:rPr>
        <w:noProof/>
      </w:rPr>
      <w:t>/</w:t>
    </w:r>
    <w:r w:rsidR="009E5417">
      <w:rPr>
        <w:noProof/>
      </w:rPr>
      <w:t>35292</w:t>
    </w:r>
    <w:r w:rsidR="00823F84">
      <w:rPr>
        <w:noProof/>
      </w:rPr>
      <w:t>[v</w:t>
    </w:r>
    <w:r w:rsidR="00795FA5">
      <w:rPr>
        <w:noProof/>
      </w:rPr>
      <w:t>4</w:t>
    </w:r>
    <w:r w:rsidR="00823F84">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5ADC0F36" w:rsidR="00F86F26" w:rsidRPr="00777AF3" w:rsidRDefault="00DA0643" w:rsidP="00227D40">
    <w:pPr>
      <w:pStyle w:val="SCSAFootereven"/>
    </w:pPr>
    <w:r>
      <w:rPr>
        <w:noProof/>
      </w:rPr>
      <w:t>Careers and Employability</w:t>
    </w:r>
    <w:r w:rsidR="00777AF3">
      <w:rPr>
        <w:noProof/>
      </w:rPr>
      <w:t xml:space="preserve"> | </w:t>
    </w:r>
    <w:r w:rsidR="00777AF3" w:rsidRPr="00DA0643">
      <w:rPr>
        <w:noProof/>
      </w:rPr>
      <w:t>General</w:t>
    </w:r>
    <w:r w:rsidR="00777AF3">
      <w:rPr>
        <w:noProof/>
      </w:rPr>
      <w:t xml:space="preserve"> | Year </w:t>
    </w:r>
    <w:r w:rsidR="00777AF3" w:rsidRPr="00DA0643">
      <w:rPr>
        <w:noProof/>
      </w:rPr>
      <w:t>12</w:t>
    </w:r>
    <w:r w:rsidR="00777AF3">
      <w:rPr>
        <w:noProof/>
      </w:rPr>
      <w:t xml:space="preserve"> </w:t>
    </w:r>
    <w:r w:rsidR="00C22F6F">
      <w:rPr>
        <w:noProof/>
      </w:rPr>
      <w:t>s</w:t>
    </w:r>
    <w:r w:rsidR="00777AF3">
      <w:rPr>
        <w:noProof/>
      </w:rPr>
      <w:t xml:space="preserve">yllabus </w:t>
    </w:r>
    <w:r w:rsidR="00C22F6F">
      <w:rPr>
        <w:noProof/>
      </w:rPr>
      <w:t>–</w:t>
    </w:r>
    <w:r w:rsidR="00777AF3">
      <w:rPr>
        <w:noProof/>
      </w:rPr>
      <w:t xml:space="preserve"> What’s changing: General </w:t>
    </w:r>
    <w:r w:rsidR="00C22F6F">
      <w:rPr>
        <w:noProof/>
      </w:rPr>
      <w:t>c</w:t>
    </w:r>
    <w:r w:rsidR="00777AF3">
      <w:rPr>
        <w:noProof/>
      </w:rPr>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3AE15BBF" w:rsidR="00F86F26" w:rsidRPr="00AA2B0D" w:rsidRDefault="00DA0643" w:rsidP="00227D40">
    <w:pPr>
      <w:pStyle w:val="SCSAFooterodd"/>
    </w:pPr>
    <w:r>
      <w:rPr>
        <w:noProof/>
      </w:rPr>
      <w:t>Careers and Employability</w:t>
    </w:r>
    <w:r w:rsidR="00F86F26">
      <w:rPr>
        <w:noProof/>
      </w:rPr>
      <w:t xml:space="preserve"> | </w:t>
    </w:r>
    <w:r w:rsidR="00777AF3" w:rsidRPr="00DA0643">
      <w:rPr>
        <w:noProof/>
      </w:rPr>
      <w:t>General</w:t>
    </w:r>
    <w:r w:rsidR="000C6F75">
      <w:rPr>
        <w:noProof/>
      </w:rPr>
      <w:t xml:space="preserve"> </w:t>
    </w:r>
    <w:r w:rsidR="00F86F26">
      <w:rPr>
        <w:noProof/>
      </w:rPr>
      <w:t xml:space="preserve">| Year </w:t>
    </w:r>
    <w:r w:rsidR="00777AF3" w:rsidRPr="00DA0643">
      <w:rPr>
        <w:noProof/>
      </w:rPr>
      <w:t>12</w:t>
    </w:r>
    <w:r w:rsidR="00777AF3">
      <w:rPr>
        <w:noProof/>
      </w:rPr>
      <w:t xml:space="preserve"> </w:t>
    </w:r>
    <w:r w:rsidR="00C22F6F">
      <w:rPr>
        <w:noProof/>
      </w:rPr>
      <w:t>s</w:t>
    </w:r>
    <w:r w:rsidR="00F86F26">
      <w:rPr>
        <w:noProof/>
      </w:rPr>
      <w:t xml:space="preserve">yllabus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FE27A" w14:textId="77777777" w:rsidR="006E0DC5" w:rsidRDefault="006E0DC5" w:rsidP="00742128">
      <w:pPr>
        <w:spacing w:after="0" w:line="240" w:lineRule="auto"/>
      </w:pPr>
      <w:r>
        <w:separator/>
      </w:r>
    </w:p>
  </w:footnote>
  <w:footnote w:type="continuationSeparator" w:id="0">
    <w:p w14:paraId="015B9403" w14:textId="77777777" w:rsidR="006E0DC5" w:rsidRDefault="006E0DC5"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162B00"/>
    <w:multiLevelType w:val="singleLevel"/>
    <w:tmpl w:val="FB26AA9E"/>
    <w:lvl w:ilvl="0">
      <w:numFmt w:val="decimal"/>
      <w:lvlText w:val=""/>
      <w:lvlJc w:val="left"/>
    </w:lvl>
  </w:abstractNum>
  <w:abstractNum w:abstractNumId="9"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0"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1"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8"/>
  </w:num>
  <w:num w:numId="2" w16cid:durableId="512889061">
    <w:abstractNumId w:val="18"/>
  </w:num>
  <w:num w:numId="3" w16cid:durableId="1660381090">
    <w:abstractNumId w:val="13"/>
  </w:num>
  <w:num w:numId="4" w16cid:durableId="179441877">
    <w:abstractNumId w:val="6"/>
  </w:num>
  <w:num w:numId="5" w16cid:durableId="1481263936">
    <w:abstractNumId w:val="11"/>
  </w:num>
  <w:num w:numId="6" w16cid:durableId="1809275971">
    <w:abstractNumId w:val="9"/>
  </w:num>
  <w:num w:numId="7" w16cid:durableId="634065546">
    <w:abstractNumId w:val="1"/>
  </w:num>
  <w:num w:numId="8" w16cid:durableId="810444534">
    <w:abstractNumId w:val="14"/>
  </w:num>
  <w:num w:numId="9" w16cid:durableId="1972594163">
    <w:abstractNumId w:val="15"/>
  </w:num>
  <w:num w:numId="10" w16cid:durableId="1396468084">
    <w:abstractNumId w:val="3"/>
  </w:num>
  <w:num w:numId="11" w16cid:durableId="1878735755">
    <w:abstractNumId w:val="12"/>
  </w:num>
  <w:num w:numId="12" w16cid:durableId="1507793237">
    <w:abstractNumId w:val="4"/>
  </w:num>
  <w:num w:numId="13" w16cid:durableId="1701055140">
    <w:abstractNumId w:val="7"/>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7"/>
  </w:num>
  <w:num w:numId="17" w16cid:durableId="394860004">
    <w:abstractNumId w:val="16"/>
  </w:num>
  <w:num w:numId="18" w16cid:durableId="1540387779">
    <w:abstractNumId w:val="5"/>
  </w:num>
  <w:num w:numId="19" w16cid:durableId="202605785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58C4"/>
    <w:rsid w:val="00036500"/>
    <w:rsid w:val="00044FDD"/>
    <w:rsid w:val="00047063"/>
    <w:rsid w:val="00053A6C"/>
    <w:rsid w:val="000577DF"/>
    <w:rsid w:val="00066145"/>
    <w:rsid w:val="000847BF"/>
    <w:rsid w:val="0009024C"/>
    <w:rsid w:val="0009076A"/>
    <w:rsid w:val="000926C3"/>
    <w:rsid w:val="00094E92"/>
    <w:rsid w:val="000A2437"/>
    <w:rsid w:val="000A441D"/>
    <w:rsid w:val="000A6ABE"/>
    <w:rsid w:val="000A7B41"/>
    <w:rsid w:val="000B1346"/>
    <w:rsid w:val="000B135B"/>
    <w:rsid w:val="000B4506"/>
    <w:rsid w:val="000C1E2C"/>
    <w:rsid w:val="000C69C8"/>
    <w:rsid w:val="000C6E0F"/>
    <w:rsid w:val="000C6F75"/>
    <w:rsid w:val="000D22E2"/>
    <w:rsid w:val="000D35A8"/>
    <w:rsid w:val="000D5DBB"/>
    <w:rsid w:val="000E1AAC"/>
    <w:rsid w:val="000E7350"/>
    <w:rsid w:val="000F404F"/>
    <w:rsid w:val="000F70A6"/>
    <w:rsid w:val="00103478"/>
    <w:rsid w:val="00105D81"/>
    <w:rsid w:val="001072D5"/>
    <w:rsid w:val="001176E8"/>
    <w:rsid w:val="0012754D"/>
    <w:rsid w:val="0013465E"/>
    <w:rsid w:val="001352A1"/>
    <w:rsid w:val="001408CD"/>
    <w:rsid w:val="001442D7"/>
    <w:rsid w:val="001451B9"/>
    <w:rsid w:val="00151AEA"/>
    <w:rsid w:val="001567D0"/>
    <w:rsid w:val="00157E06"/>
    <w:rsid w:val="00163C64"/>
    <w:rsid w:val="00164D2E"/>
    <w:rsid w:val="001702DE"/>
    <w:rsid w:val="00181B95"/>
    <w:rsid w:val="00192A18"/>
    <w:rsid w:val="0019340B"/>
    <w:rsid w:val="00194F1D"/>
    <w:rsid w:val="001953C6"/>
    <w:rsid w:val="001956AF"/>
    <w:rsid w:val="001A39D0"/>
    <w:rsid w:val="001A469E"/>
    <w:rsid w:val="001A7DBB"/>
    <w:rsid w:val="001C0FCC"/>
    <w:rsid w:val="001D25BA"/>
    <w:rsid w:val="001D5394"/>
    <w:rsid w:val="001D56E3"/>
    <w:rsid w:val="001D717F"/>
    <w:rsid w:val="001D76C5"/>
    <w:rsid w:val="001E0FD9"/>
    <w:rsid w:val="001E186E"/>
    <w:rsid w:val="001E3CB5"/>
    <w:rsid w:val="001E5904"/>
    <w:rsid w:val="001E5FC2"/>
    <w:rsid w:val="001E6612"/>
    <w:rsid w:val="001F2E53"/>
    <w:rsid w:val="001F5D5D"/>
    <w:rsid w:val="001F6411"/>
    <w:rsid w:val="001F6CF6"/>
    <w:rsid w:val="00204F73"/>
    <w:rsid w:val="00212894"/>
    <w:rsid w:val="002145EE"/>
    <w:rsid w:val="00217901"/>
    <w:rsid w:val="00223D1B"/>
    <w:rsid w:val="00227D40"/>
    <w:rsid w:val="00236BF3"/>
    <w:rsid w:val="0024125D"/>
    <w:rsid w:val="0024439F"/>
    <w:rsid w:val="002451B5"/>
    <w:rsid w:val="00264DBE"/>
    <w:rsid w:val="00270163"/>
    <w:rsid w:val="0027335A"/>
    <w:rsid w:val="00274804"/>
    <w:rsid w:val="00281E6B"/>
    <w:rsid w:val="00285893"/>
    <w:rsid w:val="0028622D"/>
    <w:rsid w:val="00290C4A"/>
    <w:rsid w:val="002A2970"/>
    <w:rsid w:val="002A2D2B"/>
    <w:rsid w:val="002A471E"/>
    <w:rsid w:val="002A4A58"/>
    <w:rsid w:val="002A5092"/>
    <w:rsid w:val="002B57DA"/>
    <w:rsid w:val="002B6FEE"/>
    <w:rsid w:val="002C05E5"/>
    <w:rsid w:val="002C254C"/>
    <w:rsid w:val="002C28FB"/>
    <w:rsid w:val="002C56B1"/>
    <w:rsid w:val="002C61E6"/>
    <w:rsid w:val="002C6BB2"/>
    <w:rsid w:val="002D01AF"/>
    <w:rsid w:val="002D5E93"/>
    <w:rsid w:val="002D5F35"/>
    <w:rsid w:val="002E00C0"/>
    <w:rsid w:val="002E06EC"/>
    <w:rsid w:val="002E08D2"/>
    <w:rsid w:val="002E35C2"/>
    <w:rsid w:val="002E78F4"/>
    <w:rsid w:val="002F133A"/>
    <w:rsid w:val="00300116"/>
    <w:rsid w:val="00304E41"/>
    <w:rsid w:val="003069C1"/>
    <w:rsid w:val="00306C56"/>
    <w:rsid w:val="00307696"/>
    <w:rsid w:val="003128DE"/>
    <w:rsid w:val="00315ED7"/>
    <w:rsid w:val="0031683E"/>
    <w:rsid w:val="00317C7F"/>
    <w:rsid w:val="003215A4"/>
    <w:rsid w:val="00326EAC"/>
    <w:rsid w:val="003303E5"/>
    <w:rsid w:val="00332D24"/>
    <w:rsid w:val="00334CB7"/>
    <w:rsid w:val="0033552B"/>
    <w:rsid w:val="00343469"/>
    <w:rsid w:val="00343AE4"/>
    <w:rsid w:val="00343B25"/>
    <w:rsid w:val="003502BC"/>
    <w:rsid w:val="00351F4F"/>
    <w:rsid w:val="00352652"/>
    <w:rsid w:val="003526F6"/>
    <w:rsid w:val="0036440F"/>
    <w:rsid w:val="00364BF8"/>
    <w:rsid w:val="00365121"/>
    <w:rsid w:val="00367ADC"/>
    <w:rsid w:val="00374938"/>
    <w:rsid w:val="00374CEC"/>
    <w:rsid w:val="0037621A"/>
    <w:rsid w:val="003841EB"/>
    <w:rsid w:val="00390442"/>
    <w:rsid w:val="0039509D"/>
    <w:rsid w:val="00395A7A"/>
    <w:rsid w:val="00395F68"/>
    <w:rsid w:val="003A2EB4"/>
    <w:rsid w:val="003A30C5"/>
    <w:rsid w:val="003A6194"/>
    <w:rsid w:val="003A69C8"/>
    <w:rsid w:val="003B2C4C"/>
    <w:rsid w:val="003C0879"/>
    <w:rsid w:val="003D3CBD"/>
    <w:rsid w:val="003D3E71"/>
    <w:rsid w:val="003D5277"/>
    <w:rsid w:val="003D667A"/>
    <w:rsid w:val="003E056E"/>
    <w:rsid w:val="003E5B0B"/>
    <w:rsid w:val="003E7592"/>
    <w:rsid w:val="003F1C41"/>
    <w:rsid w:val="00400B9D"/>
    <w:rsid w:val="00401DA4"/>
    <w:rsid w:val="00406A1C"/>
    <w:rsid w:val="004120B0"/>
    <w:rsid w:val="004120DA"/>
    <w:rsid w:val="00413A7F"/>
    <w:rsid w:val="00413C8C"/>
    <w:rsid w:val="004143F8"/>
    <w:rsid w:val="00415FFA"/>
    <w:rsid w:val="00416C3D"/>
    <w:rsid w:val="00425E00"/>
    <w:rsid w:val="00426B9A"/>
    <w:rsid w:val="00433624"/>
    <w:rsid w:val="0043620D"/>
    <w:rsid w:val="004438B4"/>
    <w:rsid w:val="0044627A"/>
    <w:rsid w:val="0045527F"/>
    <w:rsid w:val="00455893"/>
    <w:rsid w:val="00465F15"/>
    <w:rsid w:val="00466D3C"/>
    <w:rsid w:val="004676D1"/>
    <w:rsid w:val="004750DA"/>
    <w:rsid w:val="0047606A"/>
    <w:rsid w:val="004772A8"/>
    <w:rsid w:val="00481337"/>
    <w:rsid w:val="0048251F"/>
    <w:rsid w:val="0048344D"/>
    <w:rsid w:val="00483D50"/>
    <w:rsid w:val="00492C50"/>
    <w:rsid w:val="00497362"/>
    <w:rsid w:val="004A0EFA"/>
    <w:rsid w:val="004A27B2"/>
    <w:rsid w:val="004A4C30"/>
    <w:rsid w:val="004B09CF"/>
    <w:rsid w:val="004B256A"/>
    <w:rsid w:val="004B3B93"/>
    <w:rsid w:val="004B401A"/>
    <w:rsid w:val="004B7DB5"/>
    <w:rsid w:val="004C64D3"/>
    <w:rsid w:val="004D0002"/>
    <w:rsid w:val="004D26A7"/>
    <w:rsid w:val="004D3542"/>
    <w:rsid w:val="004E0AD6"/>
    <w:rsid w:val="004E517B"/>
    <w:rsid w:val="004F3012"/>
    <w:rsid w:val="004F3801"/>
    <w:rsid w:val="00504046"/>
    <w:rsid w:val="0050411E"/>
    <w:rsid w:val="00516487"/>
    <w:rsid w:val="00521808"/>
    <w:rsid w:val="00521FBD"/>
    <w:rsid w:val="005240D9"/>
    <w:rsid w:val="00525B58"/>
    <w:rsid w:val="0053382D"/>
    <w:rsid w:val="00537F6A"/>
    <w:rsid w:val="00540775"/>
    <w:rsid w:val="00542E80"/>
    <w:rsid w:val="00554AC8"/>
    <w:rsid w:val="00557D1B"/>
    <w:rsid w:val="005627B9"/>
    <w:rsid w:val="005643DB"/>
    <w:rsid w:val="00564B14"/>
    <w:rsid w:val="005700C6"/>
    <w:rsid w:val="00573C05"/>
    <w:rsid w:val="0058749E"/>
    <w:rsid w:val="00590B71"/>
    <w:rsid w:val="00591074"/>
    <w:rsid w:val="005A3395"/>
    <w:rsid w:val="005A501F"/>
    <w:rsid w:val="005A6E68"/>
    <w:rsid w:val="005B2FC1"/>
    <w:rsid w:val="005B4E42"/>
    <w:rsid w:val="005C18A7"/>
    <w:rsid w:val="005D0214"/>
    <w:rsid w:val="005D1726"/>
    <w:rsid w:val="005E18DA"/>
    <w:rsid w:val="005E1F65"/>
    <w:rsid w:val="005E22E6"/>
    <w:rsid w:val="005E26A0"/>
    <w:rsid w:val="005E475E"/>
    <w:rsid w:val="005E4B8A"/>
    <w:rsid w:val="005E6287"/>
    <w:rsid w:val="005E6FBE"/>
    <w:rsid w:val="005F038C"/>
    <w:rsid w:val="005F3E60"/>
    <w:rsid w:val="00604DE7"/>
    <w:rsid w:val="006054A2"/>
    <w:rsid w:val="006077A5"/>
    <w:rsid w:val="00623F3C"/>
    <w:rsid w:val="00626978"/>
    <w:rsid w:val="00630538"/>
    <w:rsid w:val="00630C3D"/>
    <w:rsid w:val="006316FC"/>
    <w:rsid w:val="00633E30"/>
    <w:rsid w:val="0063592D"/>
    <w:rsid w:val="00637F0D"/>
    <w:rsid w:val="0064206C"/>
    <w:rsid w:val="00643DA9"/>
    <w:rsid w:val="00651B27"/>
    <w:rsid w:val="00652BC5"/>
    <w:rsid w:val="006538D8"/>
    <w:rsid w:val="00655969"/>
    <w:rsid w:val="006560C8"/>
    <w:rsid w:val="006561AD"/>
    <w:rsid w:val="00666FEB"/>
    <w:rsid w:val="006722DF"/>
    <w:rsid w:val="006748E6"/>
    <w:rsid w:val="00691A72"/>
    <w:rsid w:val="00693261"/>
    <w:rsid w:val="0069421A"/>
    <w:rsid w:val="006A608B"/>
    <w:rsid w:val="006C230A"/>
    <w:rsid w:val="006C633A"/>
    <w:rsid w:val="006C6428"/>
    <w:rsid w:val="006C6F42"/>
    <w:rsid w:val="006D0C8A"/>
    <w:rsid w:val="006D6474"/>
    <w:rsid w:val="006E0DC5"/>
    <w:rsid w:val="006E122E"/>
    <w:rsid w:val="006E1D80"/>
    <w:rsid w:val="006E2558"/>
    <w:rsid w:val="006E2B8F"/>
    <w:rsid w:val="006F544F"/>
    <w:rsid w:val="007013C9"/>
    <w:rsid w:val="0071572C"/>
    <w:rsid w:val="0071660C"/>
    <w:rsid w:val="00716616"/>
    <w:rsid w:val="007167A4"/>
    <w:rsid w:val="00717735"/>
    <w:rsid w:val="0072351C"/>
    <w:rsid w:val="007342C4"/>
    <w:rsid w:val="00737E63"/>
    <w:rsid w:val="007410DD"/>
    <w:rsid w:val="00741565"/>
    <w:rsid w:val="00741822"/>
    <w:rsid w:val="00742128"/>
    <w:rsid w:val="00750094"/>
    <w:rsid w:val="0075009C"/>
    <w:rsid w:val="00752C47"/>
    <w:rsid w:val="007669E8"/>
    <w:rsid w:val="00766AC1"/>
    <w:rsid w:val="007741AF"/>
    <w:rsid w:val="007766C5"/>
    <w:rsid w:val="00776DD8"/>
    <w:rsid w:val="00777AF3"/>
    <w:rsid w:val="00780D69"/>
    <w:rsid w:val="00784D1C"/>
    <w:rsid w:val="00786DAD"/>
    <w:rsid w:val="007913B7"/>
    <w:rsid w:val="00793207"/>
    <w:rsid w:val="00795FA5"/>
    <w:rsid w:val="007A4144"/>
    <w:rsid w:val="007A5272"/>
    <w:rsid w:val="007B15D2"/>
    <w:rsid w:val="007B19D2"/>
    <w:rsid w:val="007B19E8"/>
    <w:rsid w:val="007B7AA0"/>
    <w:rsid w:val="007C3C9C"/>
    <w:rsid w:val="007C5741"/>
    <w:rsid w:val="007C609E"/>
    <w:rsid w:val="007D1AA6"/>
    <w:rsid w:val="007D4452"/>
    <w:rsid w:val="007D4CB3"/>
    <w:rsid w:val="007E1AFD"/>
    <w:rsid w:val="007E4139"/>
    <w:rsid w:val="007E6C9B"/>
    <w:rsid w:val="007E7AA9"/>
    <w:rsid w:val="007F0A11"/>
    <w:rsid w:val="007F15E2"/>
    <w:rsid w:val="007F47C4"/>
    <w:rsid w:val="007F493F"/>
    <w:rsid w:val="007F694F"/>
    <w:rsid w:val="007F7A7F"/>
    <w:rsid w:val="00803803"/>
    <w:rsid w:val="00806012"/>
    <w:rsid w:val="008079E9"/>
    <w:rsid w:val="00810CAB"/>
    <w:rsid w:val="00810CE1"/>
    <w:rsid w:val="00814C35"/>
    <w:rsid w:val="00823F84"/>
    <w:rsid w:val="00825D81"/>
    <w:rsid w:val="00830063"/>
    <w:rsid w:val="008324A6"/>
    <w:rsid w:val="00840F51"/>
    <w:rsid w:val="00842A1A"/>
    <w:rsid w:val="00842F4B"/>
    <w:rsid w:val="00843D36"/>
    <w:rsid w:val="00846AF5"/>
    <w:rsid w:val="00861855"/>
    <w:rsid w:val="00873C7B"/>
    <w:rsid w:val="008761FA"/>
    <w:rsid w:val="008776E3"/>
    <w:rsid w:val="0088053A"/>
    <w:rsid w:val="008822B5"/>
    <w:rsid w:val="008832AF"/>
    <w:rsid w:val="00884DDC"/>
    <w:rsid w:val="0088649B"/>
    <w:rsid w:val="00887B69"/>
    <w:rsid w:val="00892DD2"/>
    <w:rsid w:val="00895530"/>
    <w:rsid w:val="008958FE"/>
    <w:rsid w:val="00895FF4"/>
    <w:rsid w:val="00896AAD"/>
    <w:rsid w:val="00896C98"/>
    <w:rsid w:val="008A02F7"/>
    <w:rsid w:val="008A59A8"/>
    <w:rsid w:val="008A7111"/>
    <w:rsid w:val="008A7555"/>
    <w:rsid w:val="008C1D6B"/>
    <w:rsid w:val="008C38F7"/>
    <w:rsid w:val="008C66A5"/>
    <w:rsid w:val="008D334C"/>
    <w:rsid w:val="008D46F9"/>
    <w:rsid w:val="008D5098"/>
    <w:rsid w:val="008E03B1"/>
    <w:rsid w:val="008E144B"/>
    <w:rsid w:val="008E597E"/>
    <w:rsid w:val="008E77B9"/>
    <w:rsid w:val="008E7BC8"/>
    <w:rsid w:val="008F1102"/>
    <w:rsid w:val="008F15C7"/>
    <w:rsid w:val="008F29CF"/>
    <w:rsid w:val="008F2FF8"/>
    <w:rsid w:val="009037E3"/>
    <w:rsid w:val="00904BFC"/>
    <w:rsid w:val="00910786"/>
    <w:rsid w:val="00912D88"/>
    <w:rsid w:val="00915177"/>
    <w:rsid w:val="009168B9"/>
    <w:rsid w:val="009173D8"/>
    <w:rsid w:val="00920E26"/>
    <w:rsid w:val="009228C2"/>
    <w:rsid w:val="00924C4D"/>
    <w:rsid w:val="00925173"/>
    <w:rsid w:val="009304A9"/>
    <w:rsid w:val="009305C3"/>
    <w:rsid w:val="00933095"/>
    <w:rsid w:val="009331AA"/>
    <w:rsid w:val="00936D65"/>
    <w:rsid w:val="0094007F"/>
    <w:rsid w:val="009402A6"/>
    <w:rsid w:val="00943484"/>
    <w:rsid w:val="00943A44"/>
    <w:rsid w:val="00944546"/>
    <w:rsid w:val="00945408"/>
    <w:rsid w:val="009502E9"/>
    <w:rsid w:val="00951FFC"/>
    <w:rsid w:val="00952C23"/>
    <w:rsid w:val="0095337E"/>
    <w:rsid w:val="009556FC"/>
    <w:rsid w:val="00955E93"/>
    <w:rsid w:val="009600A0"/>
    <w:rsid w:val="009645AE"/>
    <w:rsid w:val="00964696"/>
    <w:rsid w:val="009671C8"/>
    <w:rsid w:val="009712BF"/>
    <w:rsid w:val="009732C7"/>
    <w:rsid w:val="00974A12"/>
    <w:rsid w:val="00976CB4"/>
    <w:rsid w:val="00977698"/>
    <w:rsid w:val="009803BE"/>
    <w:rsid w:val="00981A93"/>
    <w:rsid w:val="009833D4"/>
    <w:rsid w:val="0099499A"/>
    <w:rsid w:val="00995294"/>
    <w:rsid w:val="009A64DF"/>
    <w:rsid w:val="009A78D6"/>
    <w:rsid w:val="009B5D74"/>
    <w:rsid w:val="009C2653"/>
    <w:rsid w:val="009C3CBD"/>
    <w:rsid w:val="009C70AC"/>
    <w:rsid w:val="009C77B6"/>
    <w:rsid w:val="009D16CA"/>
    <w:rsid w:val="009D19DB"/>
    <w:rsid w:val="009D4316"/>
    <w:rsid w:val="009D503D"/>
    <w:rsid w:val="009D6101"/>
    <w:rsid w:val="009D793E"/>
    <w:rsid w:val="009D7CB1"/>
    <w:rsid w:val="009E18D9"/>
    <w:rsid w:val="009E31A1"/>
    <w:rsid w:val="009E5087"/>
    <w:rsid w:val="009E5417"/>
    <w:rsid w:val="009E72EE"/>
    <w:rsid w:val="009E7635"/>
    <w:rsid w:val="009E76C6"/>
    <w:rsid w:val="009F31EB"/>
    <w:rsid w:val="009F5CD5"/>
    <w:rsid w:val="00A01B33"/>
    <w:rsid w:val="00A02A60"/>
    <w:rsid w:val="00A02C9C"/>
    <w:rsid w:val="00A0425A"/>
    <w:rsid w:val="00A076CF"/>
    <w:rsid w:val="00A15FE7"/>
    <w:rsid w:val="00A243E1"/>
    <w:rsid w:val="00A24944"/>
    <w:rsid w:val="00A25DC2"/>
    <w:rsid w:val="00A27208"/>
    <w:rsid w:val="00A3298F"/>
    <w:rsid w:val="00A33ED4"/>
    <w:rsid w:val="00A42E97"/>
    <w:rsid w:val="00A43A54"/>
    <w:rsid w:val="00A44A7A"/>
    <w:rsid w:val="00A548E7"/>
    <w:rsid w:val="00A57BE7"/>
    <w:rsid w:val="00A65DDB"/>
    <w:rsid w:val="00A70344"/>
    <w:rsid w:val="00A72264"/>
    <w:rsid w:val="00A7392D"/>
    <w:rsid w:val="00A8257B"/>
    <w:rsid w:val="00A85FD4"/>
    <w:rsid w:val="00A87827"/>
    <w:rsid w:val="00A93F91"/>
    <w:rsid w:val="00AA2B0D"/>
    <w:rsid w:val="00AA650B"/>
    <w:rsid w:val="00AB00F3"/>
    <w:rsid w:val="00AB158A"/>
    <w:rsid w:val="00AB5CC5"/>
    <w:rsid w:val="00AC28E1"/>
    <w:rsid w:val="00AD00B8"/>
    <w:rsid w:val="00AD0DE1"/>
    <w:rsid w:val="00AD2EBD"/>
    <w:rsid w:val="00AE0106"/>
    <w:rsid w:val="00AE0CDE"/>
    <w:rsid w:val="00AE1FDD"/>
    <w:rsid w:val="00AE57D9"/>
    <w:rsid w:val="00AF067F"/>
    <w:rsid w:val="00AF391E"/>
    <w:rsid w:val="00AF3D3A"/>
    <w:rsid w:val="00B01420"/>
    <w:rsid w:val="00B030D7"/>
    <w:rsid w:val="00B04173"/>
    <w:rsid w:val="00B112AF"/>
    <w:rsid w:val="00B11EDE"/>
    <w:rsid w:val="00B12BF0"/>
    <w:rsid w:val="00B13C8F"/>
    <w:rsid w:val="00B15444"/>
    <w:rsid w:val="00B1607E"/>
    <w:rsid w:val="00B21ACA"/>
    <w:rsid w:val="00B21FD7"/>
    <w:rsid w:val="00B22C3C"/>
    <w:rsid w:val="00B22F69"/>
    <w:rsid w:val="00B248D5"/>
    <w:rsid w:val="00B25036"/>
    <w:rsid w:val="00B33F11"/>
    <w:rsid w:val="00B35123"/>
    <w:rsid w:val="00B36745"/>
    <w:rsid w:val="00B41296"/>
    <w:rsid w:val="00B4193F"/>
    <w:rsid w:val="00B44C60"/>
    <w:rsid w:val="00B46973"/>
    <w:rsid w:val="00B5058D"/>
    <w:rsid w:val="00B50A20"/>
    <w:rsid w:val="00B52F79"/>
    <w:rsid w:val="00B6583C"/>
    <w:rsid w:val="00B65976"/>
    <w:rsid w:val="00B65D00"/>
    <w:rsid w:val="00B65D3D"/>
    <w:rsid w:val="00B71C2D"/>
    <w:rsid w:val="00B8058F"/>
    <w:rsid w:val="00B86B49"/>
    <w:rsid w:val="00B935B0"/>
    <w:rsid w:val="00B937EB"/>
    <w:rsid w:val="00B949B9"/>
    <w:rsid w:val="00B97F16"/>
    <w:rsid w:val="00BB0A97"/>
    <w:rsid w:val="00BB4454"/>
    <w:rsid w:val="00BB77D6"/>
    <w:rsid w:val="00BC1F96"/>
    <w:rsid w:val="00BD0125"/>
    <w:rsid w:val="00BD037E"/>
    <w:rsid w:val="00BE277F"/>
    <w:rsid w:val="00BF0672"/>
    <w:rsid w:val="00BF52DB"/>
    <w:rsid w:val="00BF7D5E"/>
    <w:rsid w:val="00C001A9"/>
    <w:rsid w:val="00C02D53"/>
    <w:rsid w:val="00C14767"/>
    <w:rsid w:val="00C1764E"/>
    <w:rsid w:val="00C20EE6"/>
    <w:rsid w:val="00C2292B"/>
    <w:rsid w:val="00C22F6F"/>
    <w:rsid w:val="00C23E91"/>
    <w:rsid w:val="00C24F89"/>
    <w:rsid w:val="00C258D2"/>
    <w:rsid w:val="00C25C97"/>
    <w:rsid w:val="00C26945"/>
    <w:rsid w:val="00C3343F"/>
    <w:rsid w:val="00C363F7"/>
    <w:rsid w:val="00C371C7"/>
    <w:rsid w:val="00C40915"/>
    <w:rsid w:val="00C423A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64C36"/>
    <w:rsid w:val="00C70E45"/>
    <w:rsid w:val="00C766F3"/>
    <w:rsid w:val="00C80FFC"/>
    <w:rsid w:val="00C85B9D"/>
    <w:rsid w:val="00C8739A"/>
    <w:rsid w:val="00C87643"/>
    <w:rsid w:val="00C92D26"/>
    <w:rsid w:val="00C947BA"/>
    <w:rsid w:val="00C96E55"/>
    <w:rsid w:val="00C972D1"/>
    <w:rsid w:val="00CA2982"/>
    <w:rsid w:val="00CA2F27"/>
    <w:rsid w:val="00CA51CE"/>
    <w:rsid w:val="00CB0B33"/>
    <w:rsid w:val="00CB168A"/>
    <w:rsid w:val="00CB2C20"/>
    <w:rsid w:val="00CB6690"/>
    <w:rsid w:val="00CC3F3A"/>
    <w:rsid w:val="00CC3F47"/>
    <w:rsid w:val="00CD1829"/>
    <w:rsid w:val="00CD36FD"/>
    <w:rsid w:val="00CD489B"/>
    <w:rsid w:val="00CD4CA0"/>
    <w:rsid w:val="00CD6092"/>
    <w:rsid w:val="00CD67E1"/>
    <w:rsid w:val="00CD73C8"/>
    <w:rsid w:val="00CE02B1"/>
    <w:rsid w:val="00CE0E01"/>
    <w:rsid w:val="00CE64BF"/>
    <w:rsid w:val="00CE6E0E"/>
    <w:rsid w:val="00CF1A70"/>
    <w:rsid w:val="00CF2A51"/>
    <w:rsid w:val="00CF2AA3"/>
    <w:rsid w:val="00CF39A2"/>
    <w:rsid w:val="00CF3F4D"/>
    <w:rsid w:val="00CF6AB8"/>
    <w:rsid w:val="00D0034F"/>
    <w:rsid w:val="00D03FE5"/>
    <w:rsid w:val="00D0711B"/>
    <w:rsid w:val="00D101E0"/>
    <w:rsid w:val="00D10B77"/>
    <w:rsid w:val="00D12A2F"/>
    <w:rsid w:val="00D17A5D"/>
    <w:rsid w:val="00D22D8F"/>
    <w:rsid w:val="00D3015F"/>
    <w:rsid w:val="00D3186C"/>
    <w:rsid w:val="00D472E1"/>
    <w:rsid w:val="00D479BD"/>
    <w:rsid w:val="00D5217D"/>
    <w:rsid w:val="00D62E94"/>
    <w:rsid w:val="00D635EB"/>
    <w:rsid w:val="00D65C5C"/>
    <w:rsid w:val="00D66A4A"/>
    <w:rsid w:val="00D73993"/>
    <w:rsid w:val="00D75B75"/>
    <w:rsid w:val="00D83942"/>
    <w:rsid w:val="00D90DBA"/>
    <w:rsid w:val="00D92D10"/>
    <w:rsid w:val="00D96C8B"/>
    <w:rsid w:val="00DA0643"/>
    <w:rsid w:val="00DA0E77"/>
    <w:rsid w:val="00DA34F0"/>
    <w:rsid w:val="00DB41B4"/>
    <w:rsid w:val="00DB4B3C"/>
    <w:rsid w:val="00DB6D74"/>
    <w:rsid w:val="00DC2E31"/>
    <w:rsid w:val="00DC3A58"/>
    <w:rsid w:val="00DD0EDA"/>
    <w:rsid w:val="00DD1D21"/>
    <w:rsid w:val="00DD51A8"/>
    <w:rsid w:val="00DE1ABE"/>
    <w:rsid w:val="00DF2FAD"/>
    <w:rsid w:val="00E0088B"/>
    <w:rsid w:val="00E00C60"/>
    <w:rsid w:val="00E0593E"/>
    <w:rsid w:val="00E1108A"/>
    <w:rsid w:val="00E13B15"/>
    <w:rsid w:val="00E23B7B"/>
    <w:rsid w:val="00E31C3D"/>
    <w:rsid w:val="00E327A3"/>
    <w:rsid w:val="00E33CC5"/>
    <w:rsid w:val="00E33DBC"/>
    <w:rsid w:val="00E35DB7"/>
    <w:rsid w:val="00E41C0A"/>
    <w:rsid w:val="00E465E9"/>
    <w:rsid w:val="00E5409D"/>
    <w:rsid w:val="00E545D5"/>
    <w:rsid w:val="00E5522A"/>
    <w:rsid w:val="00E5610A"/>
    <w:rsid w:val="00E56833"/>
    <w:rsid w:val="00E56853"/>
    <w:rsid w:val="00E63A21"/>
    <w:rsid w:val="00E6401A"/>
    <w:rsid w:val="00E663FA"/>
    <w:rsid w:val="00E721B6"/>
    <w:rsid w:val="00E72E9E"/>
    <w:rsid w:val="00E8021D"/>
    <w:rsid w:val="00E812BD"/>
    <w:rsid w:val="00E81B31"/>
    <w:rsid w:val="00E9021F"/>
    <w:rsid w:val="00E92715"/>
    <w:rsid w:val="00E943B5"/>
    <w:rsid w:val="00E94C88"/>
    <w:rsid w:val="00EA0A4B"/>
    <w:rsid w:val="00EA10DC"/>
    <w:rsid w:val="00EB3C04"/>
    <w:rsid w:val="00EB4E3E"/>
    <w:rsid w:val="00EC637E"/>
    <w:rsid w:val="00ED3A00"/>
    <w:rsid w:val="00ED4D50"/>
    <w:rsid w:val="00ED5E76"/>
    <w:rsid w:val="00ED7D30"/>
    <w:rsid w:val="00EE2E1D"/>
    <w:rsid w:val="00EE42A5"/>
    <w:rsid w:val="00EF0533"/>
    <w:rsid w:val="00EF6131"/>
    <w:rsid w:val="00F02AED"/>
    <w:rsid w:val="00F16805"/>
    <w:rsid w:val="00F17E64"/>
    <w:rsid w:val="00F232C6"/>
    <w:rsid w:val="00F265D6"/>
    <w:rsid w:val="00F306D5"/>
    <w:rsid w:val="00F326E7"/>
    <w:rsid w:val="00F35D7C"/>
    <w:rsid w:val="00F46135"/>
    <w:rsid w:val="00F621A9"/>
    <w:rsid w:val="00F62879"/>
    <w:rsid w:val="00F63D11"/>
    <w:rsid w:val="00F670AA"/>
    <w:rsid w:val="00F6722F"/>
    <w:rsid w:val="00F81088"/>
    <w:rsid w:val="00F8129B"/>
    <w:rsid w:val="00F81569"/>
    <w:rsid w:val="00F83152"/>
    <w:rsid w:val="00F836EF"/>
    <w:rsid w:val="00F8436C"/>
    <w:rsid w:val="00F8605B"/>
    <w:rsid w:val="00F86F26"/>
    <w:rsid w:val="00F95038"/>
    <w:rsid w:val="00F95ACE"/>
    <w:rsid w:val="00FA0805"/>
    <w:rsid w:val="00FA1694"/>
    <w:rsid w:val="00FA17D9"/>
    <w:rsid w:val="00FA5498"/>
    <w:rsid w:val="00FC09E7"/>
    <w:rsid w:val="00FC2705"/>
    <w:rsid w:val="00FC46B4"/>
    <w:rsid w:val="00FC5DA1"/>
    <w:rsid w:val="00FC77F4"/>
    <w:rsid w:val="00FD167A"/>
    <w:rsid w:val="00FD1803"/>
    <w:rsid w:val="00FD73A8"/>
    <w:rsid w:val="00FE054A"/>
    <w:rsid w:val="00FE2FC5"/>
    <w:rsid w:val="00FE4BB6"/>
    <w:rsid w:val="00FE6119"/>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semiHidden/>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semiHidden/>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5</Pages>
  <Words>1286</Words>
  <Characters>7889</Characters>
  <Application>Microsoft Office Word</Application>
  <DocSecurity>0</DocSecurity>
  <Lines>161</Lines>
  <Paragraphs>88</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Calvert</dc:creator>
  <cp:lastModifiedBy>Rachel Hoare</cp:lastModifiedBy>
  <cp:revision>97</cp:revision>
  <cp:lastPrinted>2025-05-07T01:25:00Z</cp:lastPrinted>
  <dcterms:created xsi:type="dcterms:W3CDTF">2025-03-12T11:29:00Z</dcterms:created>
  <dcterms:modified xsi:type="dcterms:W3CDTF">2025-08-15T09:05:00Z</dcterms:modified>
</cp:coreProperties>
</file>