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552" w:rsidRPr="00664552" w:rsidRDefault="00664552" w:rsidP="00664552">
      <w:pPr>
        <w:keepNext/>
        <w:spacing w:before="3500" w:after="200" w:line="276" w:lineRule="auto"/>
        <w:jc w:val="center"/>
        <w:outlineLvl w:val="0"/>
        <w:rPr>
          <w:rFonts w:ascii="Franklin Gothic Book" w:hAnsi="Franklin Gothic Book"/>
          <w:b/>
          <w:smallCaps/>
          <w:color w:val="9688BE"/>
          <w:sz w:val="36"/>
          <w:szCs w:val="36"/>
          <w:lang w:eastAsia="x-none"/>
        </w:rPr>
      </w:pPr>
      <w:r w:rsidRPr="00664552">
        <w:rPr>
          <w:rFonts w:ascii="Franklin Gothic Medium" w:hAnsi="Franklin Gothic Medium"/>
          <w:smallCaps/>
          <w:noProof/>
          <w:color w:val="463969"/>
          <w:sz w:val="52"/>
          <w:szCs w:val="52"/>
        </w:rPr>
        <w:drawing>
          <wp:anchor distT="0" distB="0" distL="114300" distR="114300" simplePos="0" relativeHeight="251661312" behindDoc="1" locked="1" layoutInCell="1" allowOverlap="1" wp14:anchorId="35FFC736" wp14:editId="308A2F0C">
            <wp:simplePos x="0" y="0"/>
            <wp:positionH relativeFrom="column">
              <wp:posOffset>-6105525</wp:posOffset>
            </wp:positionH>
            <wp:positionV relativeFrom="paragraph">
              <wp:posOffset>524510</wp:posOffset>
            </wp:positionV>
            <wp:extent cx="11631295" cy="9121775"/>
            <wp:effectExtent l="0" t="0" r="0" b="0"/>
            <wp:wrapNone/>
            <wp:docPr id="9" name="Picture 9"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664552">
        <w:rPr>
          <w:rFonts w:ascii="Franklin Gothic Book" w:hAnsi="Franklin Gothic Book"/>
          <w:b/>
          <w:smallCaps/>
          <w:color w:val="9688BE"/>
          <w:sz w:val="36"/>
          <w:szCs w:val="36"/>
          <w:lang w:eastAsia="x-none"/>
        </w:rPr>
        <w:t>Sample Course Outline</w:t>
      </w:r>
    </w:p>
    <w:p w:rsidR="00664552" w:rsidRPr="00664552" w:rsidRDefault="00664552" w:rsidP="00664552">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sidRPr="00664552">
        <w:rPr>
          <w:rFonts w:ascii="Franklin Gothic Medium" w:hAnsi="Franklin Gothic Medium"/>
          <w:smallCaps/>
          <w:color w:val="5F497A"/>
          <w:sz w:val="28"/>
          <w:szCs w:val="28"/>
          <w:lang w:eastAsia="x-none"/>
        </w:rPr>
        <w:t>Earth and Environmental Science</w:t>
      </w:r>
    </w:p>
    <w:p w:rsidR="00664552" w:rsidRPr="002F57D7" w:rsidRDefault="00664552" w:rsidP="002F57D7">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sidRPr="00664552">
        <w:rPr>
          <w:rFonts w:ascii="Franklin Gothic Medium" w:hAnsi="Franklin Gothic Medium"/>
          <w:smallCaps/>
          <w:color w:val="5F497A"/>
          <w:sz w:val="28"/>
          <w:szCs w:val="28"/>
          <w:lang w:eastAsia="x-none"/>
        </w:rPr>
        <w:t>ATAR Year 12</w:t>
      </w:r>
    </w:p>
    <w:p w:rsidR="00664552" w:rsidRPr="00664552" w:rsidRDefault="00664552" w:rsidP="00664552">
      <w:pPr>
        <w:spacing w:before="10000" w:after="80" w:line="264" w:lineRule="auto"/>
        <w:jc w:val="both"/>
        <w:rPr>
          <w:b/>
          <w:sz w:val="16"/>
        </w:rPr>
      </w:pPr>
    </w:p>
    <w:p w:rsidR="00664552" w:rsidRPr="00664552" w:rsidRDefault="00664552" w:rsidP="00664552">
      <w:pPr>
        <w:spacing w:before="10000" w:after="80" w:line="264" w:lineRule="auto"/>
        <w:jc w:val="both"/>
        <w:rPr>
          <w:rFonts w:ascii="Calibri" w:hAnsi="Calibri"/>
          <w:b/>
          <w:sz w:val="16"/>
        </w:rPr>
      </w:pPr>
      <w:r w:rsidRPr="00664552">
        <w:rPr>
          <w:rFonts w:ascii="Calibri" w:hAnsi="Calibri"/>
          <w:b/>
          <w:sz w:val="16"/>
        </w:rPr>
        <w:t>Copyright</w:t>
      </w:r>
    </w:p>
    <w:p w:rsidR="00664552" w:rsidRPr="00664552" w:rsidRDefault="00664552" w:rsidP="00664552">
      <w:pPr>
        <w:spacing w:after="80" w:line="264" w:lineRule="auto"/>
        <w:jc w:val="both"/>
        <w:rPr>
          <w:rFonts w:ascii="Calibri" w:hAnsi="Calibri"/>
          <w:sz w:val="16"/>
        </w:rPr>
      </w:pPr>
      <w:r w:rsidRPr="00664552">
        <w:rPr>
          <w:rFonts w:ascii="Calibri" w:hAnsi="Calibri"/>
          <w:sz w:val="16"/>
        </w:rPr>
        <w:t>© School Curriculum and Standards Authority, 2015</w:t>
      </w:r>
    </w:p>
    <w:p w:rsidR="00664552" w:rsidRPr="00664552" w:rsidRDefault="00664552" w:rsidP="00664552">
      <w:pPr>
        <w:spacing w:after="80" w:line="264" w:lineRule="auto"/>
        <w:jc w:val="both"/>
        <w:rPr>
          <w:rFonts w:ascii="Calibri" w:hAnsi="Calibri"/>
          <w:sz w:val="16"/>
        </w:rPr>
      </w:pPr>
      <w:r w:rsidRPr="00664552">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664552" w:rsidRPr="00664552" w:rsidRDefault="00664552" w:rsidP="00664552">
      <w:pPr>
        <w:spacing w:after="80" w:line="264" w:lineRule="auto"/>
        <w:jc w:val="both"/>
        <w:rPr>
          <w:rFonts w:asciiTheme="minorHAnsi" w:hAnsiTheme="minorHAnsi"/>
          <w:sz w:val="16"/>
          <w:szCs w:val="16"/>
        </w:rPr>
      </w:pPr>
      <w:r w:rsidRPr="00664552">
        <w:rPr>
          <w:rFonts w:ascii="Calibri" w:hAnsi="Calibri"/>
          <w:sz w:val="16"/>
        </w:rPr>
        <w:t xml:space="preserve">Copying or communication for any other purpose can be done only within the terms of the </w:t>
      </w:r>
      <w:r w:rsidRPr="00664552">
        <w:rPr>
          <w:rFonts w:ascii="Calibri" w:hAnsi="Calibri"/>
          <w:i/>
          <w:iCs/>
          <w:sz w:val="16"/>
        </w:rPr>
        <w:t>Copyright Act 1968</w:t>
      </w:r>
      <w:r w:rsidRPr="00664552">
        <w:rPr>
          <w:rFonts w:ascii="Calibri" w:hAnsi="Calibri"/>
          <w:sz w:val="16"/>
        </w:rPr>
        <w:t xml:space="preserve"> or with prior written permission of the School Curriculum and Standards Authority. Copying or communication of any third party copyright material can be </w:t>
      </w:r>
      <w:r w:rsidRPr="00664552">
        <w:rPr>
          <w:rFonts w:asciiTheme="minorHAnsi" w:hAnsiTheme="minorHAnsi"/>
          <w:sz w:val="16"/>
          <w:szCs w:val="16"/>
        </w:rPr>
        <w:t xml:space="preserve">done only within the terms of the </w:t>
      </w:r>
      <w:r w:rsidRPr="00664552">
        <w:rPr>
          <w:rFonts w:asciiTheme="minorHAnsi" w:hAnsiTheme="minorHAnsi"/>
          <w:i/>
          <w:iCs/>
          <w:sz w:val="16"/>
          <w:szCs w:val="16"/>
        </w:rPr>
        <w:t>Copyright Act 1968</w:t>
      </w:r>
      <w:r w:rsidRPr="00664552">
        <w:rPr>
          <w:rFonts w:asciiTheme="minorHAnsi" w:hAnsiTheme="minorHAnsi"/>
          <w:sz w:val="16"/>
          <w:szCs w:val="16"/>
        </w:rPr>
        <w:t xml:space="preserve"> or with permission of the copyright owners.</w:t>
      </w:r>
    </w:p>
    <w:p w:rsidR="00664552" w:rsidRPr="00664552" w:rsidRDefault="00664552" w:rsidP="00664552">
      <w:pPr>
        <w:spacing w:after="80" w:line="264" w:lineRule="auto"/>
        <w:jc w:val="both"/>
        <w:rPr>
          <w:rFonts w:ascii="Calibri" w:hAnsi="Calibri"/>
          <w:sz w:val="16"/>
        </w:rPr>
      </w:pPr>
      <w:r w:rsidRPr="00664552">
        <w:rPr>
          <w:rFonts w:asciiTheme="minorHAnsi" w:hAnsiTheme="minorHAnsi"/>
          <w:sz w:val="16"/>
          <w:szCs w:val="16"/>
        </w:rPr>
        <w:t xml:space="preserve">Any content in this document that has been derived from the Australian Curriculum may be used under the terms of the </w:t>
      </w:r>
      <w:hyperlink r:id="rId9" w:history="1">
        <w:r w:rsidRPr="00664552">
          <w:rPr>
            <w:rFonts w:asciiTheme="minorHAnsi" w:hAnsiTheme="minorHAnsi" w:cs="Arial"/>
            <w:color w:val="3333CC"/>
            <w:sz w:val="16"/>
            <w:szCs w:val="16"/>
            <w:u w:val="single"/>
          </w:rPr>
          <w:t>Creative Commons Attribution-NonCommercial 3.0 Australia licence</w:t>
        </w:r>
      </w:hyperlink>
    </w:p>
    <w:p w:rsidR="00664552" w:rsidRPr="00664552" w:rsidRDefault="00664552" w:rsidP="00664552">
      <w:pPr>
        <w:spacing w:after="80" w:line="264" w:lineRule="auto"/>
        <w:jc w:val="both"/>
        <w:rPr>
          <w:rFonts w:ascii="Calibri" w:hAnsi="Calibri"/>
          <w:b/>
          <w:sz w:val="16"/>
        </w:rPr>
      </w:pPr>
      <w:r w:rsidRPr="00664552">
        <w:rPr>
          <w:rFonts w:ascii="Calibri" w:hAnsi="Calibri"/>
          <w:b/>
          <w:sz w:val="16"/>
        </w:rPr>
        <w:t>Disclaimer</w:t>
      </w:r>
    </w:p>
    <w:p w:rsidR="00664552" w:rsidRPr="00664552" w:rsidRDefault="00664552" w:rsidP="00664552">
      <w:pPr>
        <w:spacing w:line="264" w:lineRule="auto"/>
        <w:jc w:val="both"/>
        <w:rPr>
          <w:rFonts w:ascii="Calibri" w:hAnsi="Calibri"/>
          <w:sz w:val="16"/>
        </w:rPr>
      </w:pPr>
      <w:r w:rsidRPr="00664552">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664552" w:rsidRPr="00664552" w:rsidRDefault="00664552" w:rsidP="00664552">
      <w:pPr>
        <w:spacing w:line="264" w:lineRule="auto"/>
        <w:jc w:val="both"/>
        <w:rPr>
          <w:rFonts w:ascii="Calibri" w:hAnsi="Calibri"/>
          <w:sz w:val="16"/>
        </w:rPr>
        <w:sectPr w:rsidR="00664552" w:rsidRPr="00664552" w:rsidSect="00237908">
          <w:headerReference w:type="default" r:id="rId10"/>
          <w:footerReference w:type="even" r:id="rId11"/>
          <w:footerReference w:type="default" r:id="rId12"/>
          <w:headerReference w:type="first" r:id="rId13"/>
          <w:pgSz w:w="11906" w:h="16838" w:code="9"/>
          <w:pgMar w:top="1440" w:right="1440" w:bottom="1440" w:left="1440" w:header="708" w:footer="708" w:gutter="0"/>
          <w:pgNumType w:start="1"/>
          <w:cols w:space="708"/>
          <w:titlePg/>
          <w:docGrid w:linePitch="360"/>
        </w:sectPr>
      </w:pPr>
    </w:p>
    <w:p w:rsidR="00664552" w:rsidRPr="00664552" w:rsidRDefault="00664552" w:rsidP="00664552">
      <w:pPr>
        <w:spacing w:after="80" w:line="276" w:lineRule="auto"/>
        <w:outlineLvl w:val="0"/>
        <w:rPr>
          <w:rFonts w:ascii="Franklin Gothic Book" w:eastAsia="MS Mincho" w:hAnsi="Franklin Gothic Book" w:cs="Calibri"/>
          <w:color w:val="342568"/>
          <w:sz w:val="28"/>
          <w:szCs w:val="28"/>
          <w:lang w:val="en-GB" w:eastAsia="ja-JP"/>
        </w:rPr>
      </w:pPr>
      <w:r w:rsidRPr="00664552">
        <w:rPr>
          <w:rFonts w:ascii="Franklin Gothic Book" w:eastAsia="MS Mincho" w:hAnsi="Franklin Gothic Book" w:cs="Calibri"/>
          <w:color w:val="342568"/>
          <w:sz w:val="28"/>
          <w:szCs w:val="28"/>
          <w:lang w:val="en-GB" w:eastAsia="ja-JP"/>
        </w:rPr>
        <w:lastRenderedPageBreak/>
        <w:t>Sample course outline</w:t>
      </w:r>
    </w:p>
    <w:p w:rsidR="00664552" w:rsidRPr="00664552" w:rsidRDefault="00664552" w:rsidP="00664552">
      <w:pPr>
        <w:spacing w:after="80" w:line="276" w:lineRule="auto"/>
        <w:outlineLvl w:val="0"/>
        <w:rPr>
          <w:rFonts w:ascii="Franklin Gothic Book" w:eastAsia="MS Mincho" w:hAnsi="Franklin Gothic Book" w:cs="Calibri"/>
          <w:color w:val="342568"/>
          <w:sz w:val="28"/>
          <w:szCs w:val="28"/>
          <w:lang w:val="en-GB" w:eastAsia="ja-JP"/>
        </w:rPr>
      </w:pPr>
      <w:r w:rsidRPr="00664552">
        <w:rPr>
          <w:rFonts w:ascii="Franklin Gothic Book" w:eastAsia="MS Mincho" w:hAnsi="Franklin Gothic Book" w:cs="Calibri"/>
          <w:color w:val="342568"/>
          <w:sz w:val="28"/>
          <w:szCs w:val="28"/>
          <w:lang w:val="en-GB" w:eastAsia="ja-JP"/>
        </w:rPr>
        <w:t>Earth and Environmental Science – ATAR Year 12</w:t>
      </w:r>
    </w:p>
    <w:p w:rsidR="00664552" w:rsidRPr="00664552" w:rsidRDefault="00AC3269" w:rsidP="00664552">
      <w:pPr>
        <w:spacing w:before="120" w:after="240" w:line="276" w:lineRule="auto"/>
        <w:outlineLvl w:val="1"/>
        <w:rPr>
          <w:rFonts w:ascii="Franklin Gothic Book" w:eastAsia="MS Mincho" w:hAnsi="Franklin Gothic Book" w:cs="Calibri"/>
          <w:color w:val="342568"/>
          <w:lang w:val="en-GB" w:eastAsia="ja-JP"/>
        </w:rPr>
      </w:pPr>
      <w:r>
        <w:rPr>
          <w:rFonts w:ascii="Franklin Gothic Book" w:eastAsia="MS Mincho" w:hAnsi="Franklin Gothic Book" w:cs="Calibri"/>
          <w:color w:val="342568"/>
          <w:lang w:val="en-GB" w:eastAsia="ja-JP"/>
        </w:rPr>
        <w:t>Unit 3 and Unit 4</w:t>
      </w:r>
    </w:p>
    <w:p w:rsidR="00664552" w:rsidRPr="001B00C8" w:rsidRDefault="00664552" w:rsidP="001B00C8">
      <w:pPr>
        <w:spacing w:after="120" w:line="264" w:lineRule="auto"/>
        <w:rPr>
          <w:rFonts w:ascii="Franklin Gothic Book" w:hAnsi="Franklin Gothic Book" w:cs="Franklin Gothic Book"/>
          <w:sz w:val="22"/>
          <w:szCs w:val="22"/>
          <w:lang w:val="en-GB" w:eastAsia="ja-JP"/>
        </w:rPr>
      </w:pPr>
      <w:r w:rsidRPr="00664552">
        <w:rPr>
          <w:rFonts w:ascii="Franklin Gothic Book" w:hAnsi="Franklin Gothic Book" w:cs="Franklin Gothic Book"/>
          <w:sz w:val="22"/>
          <w:szCs w:val="22"/>
          <w:lang w:val="en-GB" w:eastAsia="ja-JP"/>
        </w:rPr>
        <w:t>Science Inquiry Skills align with the Science Understanding and Science as a Human Endeavour content of the unit and are integrated into the learning experiences.</w:t>
      </w:r>
    </w:p>
    <w:p w:rsidR="00664552" w:rsidRPr="00664552" w:rsidRDefault="00664552" w:rsidP="00664552">
      <w:pPr>
        <w:spacing w:before="240" w:after="60" w:line="264" w:lineRule="auto"/>
        <w:outlineLvl w:val="2"/>
        <w:rPr>
          <w:rFonts w:ascii="Calibri" w:hAnsi="Calibri"/>
          <w:b/>
          <w:bCs/>
          <w:color w:val="595959"/>
          <w:sz w:val="26"/>
          <w:szCs w:val="26"/>
          <w:lang w:eastAsia="en-US"/>
        </w:rPr>
      </w:pPr>
      <w:r w:rsidRPr="00664552">
        <w:rPr>
          <w:rFonts w:ascii="Calibri" w:hAnsi="Calibri"/>
          <w:b/>
          <w:bCs/>
          <w:color w:val="595959"/>
          <w:sz w:val="26"/>
          <w:szCs w:val="26"/>
          <w:lang w:eastAsia="en-US"/>
        </w:rPr>
        <w:t>Science Inquiry Skills</w:t>
      </w:r>
    </w:p>
    <w:p w:rsidR="00664552" w:rsidRPr="00664552" w:rsidRDefault="00664552" w:rsidP="00664552">
      <w:pPr>
        <w:numPr>
          <w:ilvl w:val="0"/>
          <w:numId w:val="12"/>
        </w:numPr>
        <w:spacing w:before="120" w:after="120" w:line="264" w:lineRule="auto"/>
        <w:contextualSpacing/>
        <w:rPr>
          <w:rFonts w:ascii="Calibri" w:hAnsi="Calibri"/>
          <w:sz w:val="22"/>
          <w:szCs w:val="22"/>
          <w:lang w:eastAsia="en-US"/>
        </w:rPr>
      </w:pPr>
      <w:r w:rsidRPr="00664552">
        <w:rPr>
          <w:rFonts w:ascii="Calibri" w:hAnsi="Calibri"/>
          <w:sz w:val="22"/>
          <w:szCs w:val="22"/>
          <w:lang w:eastAsia="en-US"/>
        </w:rPr>
        <w:t>propose hypotheses; plan, and predict possible outcomes; and conduct investigations</w:t>
      </w:r>
    </w:p>
    <w:p w:rsidR="00664552" w:rsidRPr="00664552" w:rsidRDefault="00664552" w:rsidP="00664552">
      <w:pPr>
        <w:numPr>
          <w:ilvl w:val="0"/>
          <w:numId w:val="12"/>
        </w:numPr>
        <w:spacing w:before="120" w:after="120" w:line="264" w:lineRule="auto"/>
        <w:contextualSpacing/>
        <w:rPr>
          <w:rFonts w:ascii="Calibri" w:hAnsi="Calibri"/>
          <w:sz w:val="22"/>
          <w:szCs w:val="22"/>
          <w:lang w:eastAsia="en-US"/>
        </w:rPr>
      </w:pPr>
      <w:r w:rsidRPr="00664552">
        <w:rPr>
          <w:rFonts w:ascii="Calibri" w:hAnsi="Calibri"/>
          <w:sz w:val="22"/>
          <w:szCs w:val="22"/>
          <w:lang w:eastAsia="en-US"/>
        </w:rPr>
        <w:t>design investigations, including the procedure(s) to be followed, the information required and the type and amount of primary and/or secondary data to be collected; conduct risk assessments; and consider research ethics</w:t>
      </w:r>
    </w:p>
    <w:p w:rsidR="00664552" w:rsidRPr="00664552" w:rsidRDefault="00664552" w:rsidP="00664552">
      <w:pPr>
        <w:numPr>
          <w:ilvl w:val="0"/>
          <w:numId w:val="12"/>
        </w:numPr>
        <w:spacing w:before="120" w:after="120" w:line="264" w:lineRule="auto"/>
        <w:contextualSpacing/>
        <w:rPr>
          <w:rFonts w:ascii="Calibri" w:hAnsi="Calibri"/>
          <w:sz w:val="22"/>
          <w:szCs w:val="22"/>
          <w:lang w:eastAsia="en-US"/>
        </w:rPr>
      </w:pPr>
      <w:r w:rsidRPr="00664552">
        <w:rPr>
          <w:rFonts w:ascii="Calibri" w:hAnsi="Calibri"/>
          <w:sz w:val="22"/>
          <w:szCs w:val="22"/>
          <w:lang w:eastAsia="en-US"/>
        </w:rPr>
        <w:t>conduct laboratory and field investigations, including using map and field location techniques and environmental sampling and identification procedures, safely, competently and methodically for the collection of valid and reliable data</w:t>
      </w:r>
    </w:p>
    <w:p w:rsidR="00664552" w:rsidRPr="00664552" w:rsidRDefault="00664552" w:rsidP="00664552">
      <w:pPr>
        <w:numPr>
          <w:ilvl w:val="0"/>
          <w:numId w:val="12"/>
        </w:numPr>
        <w:spacing w:before="120" w:after="120" w:line="264" w:lineRule="auto"/>
        <w:contextualSpacing/>
        <w:rPr>
          <w:rFonts w:ascii="Calibri" w:hAnsi="Calibri"/>
          <w:sz w:val="22"/>
          <w:szCs w:val="22"/>
          <w:lang w:eastAsia="en-US"/>
        </w:rPr>
      </w:pPr>
      <w:r w:rsidRPr="00664552">
        <w:rPr>
          <w:rFonts w:ascii="Calibri" w:hAnsi="Calibri"/>
          <w:sz w:val="22"/>
          <w:szCs w:val="22"/>
          <w:lang w:eastAsia="en-US"/>
        </w:rPr>
        <w:t>identify and classify metamorphic rocks based on texture and mineralogy (including slate, phyllite, schist, gneiss, marble, quartzite) from physical samples, diagrams and photographs</w:t>
      </w:r>
    </w:p>
    <w:p w:rsidR="00664552" w:rsidRPr="00664552" w:rsidRDefault="00664552" w:rsidP="00664552">
      <w:pPr>
        <w:numPr>
          <w:ilvl w:val="0"/>
          <w:numId w:val="12"/>
        </w:numPr>
        <w:spacing w:before="120" w:after="120" w:line="264" w:lineRule="auto"/>
        <w:contextualSpacing/>
        <w:rPr>
          <w:rFonts w:ascii="Calibri" w:hAnsi="Calibri"/>
          <w:sz w:val="22"/>
          <w:szCs w:val="22"/>
          <w:lang w:eastAsia="en-US"/>
        </w:rPr>
      </w:pPr>
      <w:r w:rsidRPr="00664552">
        <w:rPr>
          <w:rFonts w:ascii="Calibri" w:hAnsi="Calibri"/>
          <w:sz w:val="22"/>
          <w:szCs w:val="22"/>
          <w:lang w:eastAsia="en-US"/>
        </w:rPr>
        <w:t>represent data in meaningful and useful ways; organise and analyse data to identify trends, patterns and relationships; qualitatively describe sources of measurement error and uncertainty and limitations in data; and select, synthesise and use evidence to make and justify conclusions</w:t>
      </w:r>
    </w:p>
    <w:p w:rsidR="00664552" w:rsidRPr="00664552" w:rsidRDefault="00664552" w:rsidP="00664552">
      <w:pPr>
        <w:numPr>
          <w:ilvl w:val="0"/>
          <w:numId w:val="12"/>
        </w:numPr>
        <w:spacing w:before="120" w:after="120" w:line="264" w:lineRule="auto"/>
        <w:contextualSpacing/>
        <w:rPr>
          <w:rFonts w:ascii="Calibri" w:hAnsi="Calibri"/>
          <w:sz w:val="22"/>
          <w:szCs w:val="22"/>
          <w:lang w:eastAsia="en-US"/>
        </w:rPr>
      </w:pPr>
      <w:r w:rsidRPr="00664552">
        <w:rPr>
          <w:rFonts w:ascii="Calibri" w:hAnsi="Calibri"/>
          <w:sz w:val="22"/>
          <w:szCs w:val="22"/>
          <w:lang w:eastAsia="en-US"/>
        </w:rPr>
        <w:t>interpret a range of scientific and media texts and evaluate processes, claims and conclusions by considering the quality of available evidence, use reasoning to construct scientific arguments</w:t>
      </w:r>
    </w:p>
    <w:p w:rsidR="00664552" w:rsidRPr="00664552" w:rsidRDefault="00664552" w:rsidP="00664552">
      <w:pPr>
        <w:numPr>
          <w:ilvl w:val="0"/>
          <w:numId w:val="12"/>
        </w:numPr>
        <w:spacing w:before="120" w:after="120" w:line="264" w:lineRule="auto"/>
        <w:contextualSpacing/>
        <w:rPr>
          <w:rFonts w:ascii="Calibri" w:hAnsi="Calibri"/>
          <w:sz w:val="22"/>
          <w:szCs w:val="22"/>
          <w:lang w:eastAsia="en-US"/>
        </w:rPr>
      </w:pPr>
      <w:r w:rsidRPr="00664552">
        <w:rPr>
          <w:rFonts w:ascii="Calibri" w:hAnsi="Calibri"/>
          <w:sz w:val="22"/>
          <w:szCs w:val="22"/>
          <w:lang w:eastAsia="en-US"/>
        </w:rPr>
        <w:t xml:space="preserve">select, construct and interpret appropriate representations, including maps and geological </w:t>
      </w:r>
      <w:r w:rsidR="002F57D7">
        <w:rPr>
          <w:rFonts w:ascii="Calibri" w:hAnsi="Calibri"/>
          <w:sz w:val="22"/>
          <w:szCs w:val="22"/>
          <w:lang w:eastAsia="en-US"/>
        </w:rPr>
        <w:br/>
      </w:r>
      <w:r w:rsidRPr="00664552">
        <w:rPr>
          <w:rFonts w:ascii="Calibri" w:hAnsi="Calibri"/>
          <w:sz w:val="22"/>
          <w:szCs w:val="22"/>
          <w:lang w:eastAsia="en-US"/>
        </w:rPr>
        <w:t>cross-sections where the section line is perpendicular to strike, and other spatial representations</w:t>
      </w:r>
      <w:r w:rsidR="002F57D7">
        <w:rPr>
          <w:rFonts w:ascii="Calibri" w:hAnsi="Calibri"/>
          <w:sz w:val="22"/>
          <w:szCs w:val="22"/>
          <w:lang w:eastAsia="en-US"/>
        </w:rPr>
        <w:t>,</w:t>
      </w:r>
      <w:r w:rsidRPr="00664552">
        <w:rPr>
          <w:rFonts w:ascii="Calibri" w:hAnsi="Calibri"/>
          <w:sz w:val="22"/>
          <w:szCs w:val="22"/>
          <w:lang w:eastAsia="en-US"/>
        </w:rPr>
        <w:t xml:space="preserve"> such as block diagrams and stratigraphic columns, to communicate conceptual understanding, solve problems and make predictions</w:t>
      </w:r>
    </w:p>
    <w:p w:rsidR="00664552" w:rsidRPr="00664552" w:rsidRDefault="00664552" w:rsidP="00664552">
      <w:pPr>
        <w:numPr>
          <w:ilvl w:val="0"/>
          <w:numId w:val="12"/>
        </w:numPr>
        <w:spacing w:before="120" w:after="120" w:line="264" w:lineRule="auto"/>
        <w:contextualSpacing/>
        <w:rPr>
          <w:rFonts w:ascii="Calibri" w:hAnsi="Calibri"/>
          <w:sz w:val="22"/>
          <w:szCs w:val="22"/>
          <w:lang w:eastAsia="en-US"/>
        </w:rPr>
      </w:pPr>
      <w:r w:rsidRPr="00664552">
        <w:rPr>
          <w:rFonts w:ascii="Calibri" w:hAnsi="Calibri"/>
          <w:sz w:val="22"/>
          <w:szCs w:val="22"/>
          <w:lang w:eastAsia="en-US"/>
        </w:rPr>
        <w:t>communicate to specific audiences and for specific purposes using appropriate language and formats, including compilations of field data and research reports</w:t>
      </w:r>
    </w:p>
    <w:p w:rsidR="00664552" w:rsidRPr="00664552" w:rsidRDefault="00664552" w:rsidP="00664552">
      <w:pPr>
        <w:spacing w:after="200" w:line="276" w:lineRule="auto"/>
        <w:rPr>
          <w:rFonts w:ascii="Franklin Gothic Book" w:eastAsia="MS Mincho" w:hAnsi="Franklin Gothic Book" w:cs="Calibri"/>
          <w:color w:val="404040" w:themeColor="text1" w:themeTint="BF"/>
          <w:sz w:val="22"/>
          <w:szCs w:val="22"/>
          <w:lang w:val="en-GB" w:eastAsia="ja-JP"/>
        </w:rPr>
      </w:pPr>
      <w:r w:rsidRPr="00664552">
        <w:br w:type="page"/>
      </w:r>
    </w:p>
    <w:p w:rsidR="00664552" w:rsidRPr="00664552" w:rsidRDefault="00664552" w:rsidP="004E3701">
      <w:pPr>
        <w:spacing w:after="120" w:line="276" w:lineRule="auto"/>
        <w:outlineLvl w:val="3"/>
        <w:rPr>
          <w:rFonts w:ascii="Franklin Gothic Book" w:eastAsia="MS Mincho" w:hAnsi="Franklin Gothic Book" w:cs="Calibri"/>
          <w:color w:val="404040" w:themeColor="text1" w:themeTint="BF"/>
          <w:sz w:val="22"/>
          <w:szCs w:val="22"/>
          <w:lang w:val="en-GB" w:eastAsia="ja-JP"/>
        </w:rPr>
      </w:pPr>
      <w:r w:rsidRPr="00664552">
        <w:rPr>
          <w:rFonts w:ascii="Franklin Gothic Book" w:eastAsia="MS Mincho" w:hAnsi="Franklin Gothic Book" w:cs="Calibri"/>
          <w:color w:val="404040" w:themeColor="text1" w:themeTint="BF"/>
          <w:sz w:val="22"/>
          <w:szCs w:val="22"/>
          <w:lang w:val="en-GB" w:eastAsia="ja-JP"/>
        </w:rPr>
        <w:lastRenderedPageBreak/>
        <w:t>Semester 1 – Unit 3 – Managing Earth resources</w:t>
      </w:r>
    </w:p>
    <w:tbl>
      <w:tblPr>
        <w:tblStyle w:val="TableGrid1"/>
        <w:tblW w:w="4929" w:type="pct"/>
        <w:tblInd w:w="132"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897"/>
        <w:gridCol w:w="8706"/>
      </w:tblGrid>
      <w:tr w:rsidR="00664552" w:rsidRPr="00664552" w:rsidTr="004E3701">
        <w:trPr>
          <w:tblHeader/>
        </w:trPr>
        <w:tc>
          <w:tcPr>
            <w:tcW w:w="853" w:type="dxa"/>
            <w:tcBorders>
              <w:right w:val="single" w:sz="4" w:space="0" w:color="FFFFFF" w:themeColor="background1"/>
            </w:tcBorders>
            <w:shd w:val="clear" w:color="auto" w:fill="BD9FCF" w:themeFill="accent4"/>
            <w:vAlign w:val="center"/>
            <w:hideMark/>
          </w:tcPr>
          <w:p w:rsidR="00664552" w:rsidRPr="00664552" w:rsidRDefault="00664552" w:rsidP="00664552">
            <w:pPr>
              <w:spacing w:before="120" w:after="120"/>
              <w:jc w:val="center"/>
              <w:rPr>
                <w:rFonts w:asciiTheme="minorHAnsi" w:hAnsiTheme="minorHAnsi" w:cs="Arial"/>
                <w:b/>
                <w:color w:val="FFFFFF" w:themeColor="background1"/>
                <w:sz w:val="20"/>
                <w:szCs w:val="20"/>
                <w:lang w:eastAsia="en-US"/>
              </w:rPr>
            </w:pPr>
            <w:r w:rsidRPr="00664552">
              <w:rPr>
                <w:rFonts w:asciiTheme="minorHAnsi" w:hAnsiTheme="minorHAnsi" w:cs="Arial"/>
                <w:b/>
                <w:color w:val="FFFFFF" w:themeColor="background1"/>
                <w:sz w:val="20"/>
                <w:szCs w:val="20"/>
                <w:lang w:eastAsia="en-US"/>
              </w:rPr>
              <w:t>Week</w:t>
            </w:r>
          </w:p>
        </w:tc>
        <w:tc>
          <w:tcPr>
            <w:tcW w:w="8281" w:type="dxa"/>
            <w:tcBorders>
              <w:left w:val="single" w:sz="4" w:space="0" w:color="FFFFFF" w:themeColor="background1"/>
            </w:tcBorders>
            <w:shd w:val="clear" w:color="auto" w:fill="BD9FCF" w:themeFill="accent4"/>
            <w:vAlign w:val="center"/>
            <w:hideMark/>
          </w:tcPr>
          <w:p w:rsidR="00664552" w:rsidRPr="00664552" w:rsidRDefault="00664552" w:rsidP="00664552">
            <w:pPr>
              <w:spacing w:before="120" w:after="120"/>
              <w:jc w:val="center"/>
              <w:rPr>
                <w:rFonts w:asciiTheme="minorHAnsi" w:hAnsiTheme="minorHAnsi" w:cs="Arial"/>
                <w:b/>
                <w:color w:val="FFFFFF" w:themeColor="background1"/>
                <w:sz w:val="20"/>
                <w:szCs w:val="20"/>
                <w:lang w:eastAsia="en-US"/>
              </w:rPr>
            </w:pPr>
            <w:r w:rsidRPr="00664552">
              <w:rPr>
                <w:rFonts w:asciiTheme="minorHAnsi" w:hAnsiTheme="minorHAnsi" w:cs="Arial"/>
                <w:b/>
                <w:color w:val="FFFFFF" w:themeColor="background1"/>
                <w:sz w:val="20"/>
                <w:szCs w:val="20"/>
                <w:lang w:eastAsia="en-US"/>
              </w:rPr>
              <w:t>Key teaching points</w:t>
            </w:r>
          </w:p>
        </w:tc>
      </w:tr>
      <w:tr w:rsidR="00664552" w:rsidRPr="00664552" w:rsidTr="004E3701">
        <w:tc>
          <w:tcPr>
            <w:tcW w:w="853" w:type="dxa"/>
            <w:shd w:val="clear" w:color="auto" w:fill="E4D8EB" w:themeFill="accent4" w:themeFillTint="66"/>
            <w:vAlign w:val="center"/>
            <w:hideMark/>
          </w:tcPr>
          <w:p w:rsidR="00664552" w:rsidRPr="00664552" w:rsidRDefault="00664552" w:rsidP="00664552">
            <w:pPr>
              <w:jc w:val="center"/>
              <w:rPr>
                <w:rFonts w:asciiTheme="minorHAnsi" w:hAnsiTheme="minorHAnsi" w:cs="Arial"/>
                <w:sz w:val="20"/>
                <w:szCs w:val="20"/>
                <w:lang w:eastAsia="en-US"/>
              </w:rPr>
            </w:pPr>
            <w:r w:rsidRPr="00664552">
              <w:rPr>
                <w:rFonts w:asciiTheme="minorHAnsi" w:hAnsiTheme="minorHAnsi" w:cs="Arial"/>
                <w:sz w:val="20"/>
                <w:szCs w:val="20"/>
                <w:lang w:eastAsia="en-US"/>
              </w:rPr>
              <w:t>1–2</w:t>
            </w:r>
          </w:p>
        </w:tc>
        <w:tc>
          <w:tcPr>
            <w:tcW w:w="8281" w:type="dxa"/>
          </w:tcPr>
          <w:p w:rsidR="00664552" w:rsidRPr="00664552" w:rsidRDefault="00664552" w:rsidP="00664552">
            <w:pPr>
              <w:contextualSpacing/>
              <w:rPr>
                <w:rFonts w:asciiTheme="minorHAnsi" w:hAnsiTheme="minorHAnsi"/>
                <w:b/>
                <w:sz w:val="20"/>
                <w:szCs w:val="20"/>
                <w:lang w:eastAsia="en-US"/>
              </w:rPr>
            </w:pPr>
            <w:r w:rsidRPr="00664552">
              <w:rPr>
                <w:rFonts w:asciiTheme="minorHAnsi" w:hAnsiTheme="minorHAnsi"/>
                <w:b/>
                <w:sz w:val="20"/>
                <w:szCs w:val="20"/>
                <w:lang w:eastAsia="en-US"/>
              </w:rPr>
              <w:t>Non-renewable Earth resources</w:t>
            </w:r>
          </w:p>
          <w:p w:rsidR="00664552" w:rsidRPr="00664552" w:rsidRDefault="00664552" w:rsidP="00664552">
            <w:pPr>
              <w:numPr>
                <w:ilvl w:val="0"/>
                <w:numId w:val="8"/>
              </w:numPr>
              <w:ind w:left="170" w:hanging="170"/>
              <w:contextualSpacing/>
              <w:rPr>
                <w:rFonts w:ascii="Calibri" w:hAnsi="Calibri"/>
                <w:sz w:val="20"/>
                <w:szCs w:val="20"/>
                <w:lang w:eastAsia="en-US"/>
              </w:rPr>
            </w:pPr>
            <w:r w:rsidRPr="00664552">
              <w:rPr>
                <w:rFonts w:ascii="Calibri" w:hAnsi="Calibri"/>
                <w:sz w:val="20"/>
                <w:szCs w:val="20"/>
                <w:lang w:eastAsia="en-US"/>
              </w:rPr>
              <w:t>non-renewable mineral and energy resources are formed over geological timescales so are not readily replenished</w:t>
            </w:r>
          </w:p>
          <w:p w:rsidR="00664552" w:rsidRPr="00664552" w:rsidRDefault="00664552" w:rsidP="00664552">
            <w:pPr>
              <w:numPr>
                <w:ilvl w:val="0"/>
                <w:numId w:val="8"/>
              </w:numPr>
              <w:ind w:left="170" w:hanging="170"/>
              <w:contextualSpacing/>
              <w:rPr>
                <w:rFonts w:ascii="Calibri" w:hAnsi="Calibri"/>
                <w:sz w:val="20"/>
                <w:szCs w:val="20"/>
                <w:lang w:eastAsia="en-US"/>
              </w:rPr>
            </w:pPr>
            <w:r w:rsidRPr="00664552">
              <w:rPr>
                <w:rFonts w:ascii="Calibri" w:hAnsi="Calibri"/>
                <w:sz w:val="20"/>
                <w:szCs w:val="20"/>
                <w:lang w:eastAsia="en-US"/>
              </w:rPr>
              <w:t>the location of non-renewable mineral and energy resources, including fossil fuels, iron ore, nickel and gold, is related to their geological setting, including sedimentary, magmatic, metamorphic and hydrothermal processes</w:t>
            </w:r>
          </w:p>
          <w:p w:rsidR="00664552" w:rsidRPr="00664552" w:rsidRDefault="00664552" w:rsidP="00664552">
            <w:pPr>
              <w:numPr>
                <w:ilvl w:val="0"/>
                <w:numId w:val="8"/>
              </w:numPr>
              <w:ind w:left="170" w:hanging="170"/>
              <w:contextualSpacing/>
              <w:rPr>
                <w:rFonts w:ascii="Calibri" w:hAnsi="Calibri"/>
                <w:sz w:val="20"/>
                <w:szCs w:val="20"/>
                <w:lang w:eastAsia="en-US"/>
              </w:rPr>
            </w:pPr>
            <w:r w:rsidRPr="00664552">
              <w:rPr>
                <w:rFonts w:ascii="Calibri" w:hAnsi="Calibri"/>
                <w:sz w:val="20"/>
                <w:szCs w:val="20"/>
                <w:lang w:eastAsia="en-US"/>
              </w:rPr>
              <w:t xml:space="preserve"> identify and classify metamorphic rocks based on texture and mineralogy from physical samples, diagrams and photographs (SIS)</w:t>
            </w:r>
          </w:p>
          <w:p w:rsidR="00664552" w:rsidRPr="00664552" w:rsidRDefault="00664552" w:rsidP="00116304">
            <w:pPr>
              <w:rPr>
                <w:rFonts w:ascii="Calibri" w:hAnsi="Calibri"/>
                <w:sz w:val="20"/>
                <w:szCs w:val="20"/>
                <w:lang w:eastAsia="en-US"/>
              </w:rPr>
            </w:pPr>
            <w:r w:rsidRPr="00664552">
              <w:rPr>
                <w:rFonts w:asciiTheme="minorHAnsi" w:hAnsiTheme="minorHAnsi" w:cs="Arial"/>
                <w:b/>
                <w:bCs/>
                <w:sz w:val="20"/>
                <w:szCs w:val="20"/>
                <w:lang w:val="en-US" w:eastAsia="en-US"/>
              </w:rPr>
              <w:t>Task 1:</w:t>
            </w:r>
            <w:r w:rsidRPr="00664552">
              <w:rPr>
                <w:rFonts w:asciiTheme="minorHAnsi" w:hAnsiTheme="minorHAnsi" w:cs="Arial"/>
                <w:bCs/>
                <w:sz w:val="20"/>
                <w:szCs w:val="20"/>
                <w:lang w:val="en-US" w:eastAsia="en-US"/>
              </w:rPr>
              <w:t xml:space="preserve"> Investigation</w:t>
            </w:r>
            <w:r w:rsidRPr="00116304">
              <w:rPr>
                <w:rFonts w:asciiTheme="minorHAnsi" w:hAnsiTheme="minorHAnsi" w:cs="Arial"/>
                <w:bCs/>
                <w:sz w:val="20"/>
                <w:szCs w:val="20"/>
                <w:lang w:val="en-US" w:eastAsia="en-US"/>
              </w:rPr>
              <w:t xml:space="preserve"> </w:t>
            </w:r>
            <w:r w:rsidR="00116304" w:rsidRPr="00116304">
              <w:rPr>
                <w:rFonts w:asciiTheme="minorHAnsi" w:hAnsiTheme="minorHAnsi" w:cs="Arial"/>
                <w:bCs/>
                <w:sz w:val="20"/>
                <w:szCs w:val="20"/>
                <w:lang w:val="en-US" w:eastAsia="en-US"/>
              </w:rPr>
              <w:t>–</w:t>
            </w:r>
            <w:r w:rsidRPr="00C43BFD">
              <w:rPr>
                <w:rFonts w:asciiTheme="minorHAnsi" w:hAnsiTheme="minorHAnsi" w:cs="Arial"/>
                <w:bCs/>
                <w:sz w:val="20"/>
                <w:szCs w:val="20"/>
                <w:lang w:val="en-US" w:eastAsia="en-US"/>
              </w:rPr>
              <w:t xml:space="preserve"> </w:t>
            </w:r>
            <w:r w:rsidRPr="00664552">
              <w:rPr>
                <w:rFonts w:asciiTheme="minorHAnsi" w:hAnsiTheme="minorHAnsi" w:cs="Arial"/>
                <w:bCs/>
                <w:sz w:val="20"/>
                <w:szCs w:val="20"/>
                <w:lang w:val="en-US" w:eastAsia="en-US"/>
              </w:rPr>
              <w:t>Identify metamorphic rocks and describe formation environments</w:t>
            </w:r>
          </w:p>
        </w:tc>
      </w:tr>
      <w:tr w:rsidR="00664552" w:rsidRPr="00664552" w:rsidTr="004E3701">
        <w:tc>
          <w:tcPr>
            <w:tcW w:w="853" w:type="dxa"/>
            <w:shd w:val="clear" w:color="auto" w:fill="E4D8EB" w:themeFill="accent4" w:themeFillTint="66"/>
            <w:vAlign w:val="center"/>
          </w:tcPr>
          <w:p w:rsidR="00664552" w:rsidRPr="00664552" w:rsidRDefault="00664552" w:rsidP="00664552">
            <w:pPr>
              <w:jc w:val="center"/>
              <w:rPr>
                <w:rFonts w:asciiTheme="minorHAnsi" w:hAnsiTheme="minorHAnsi" w:cs="Arial"/>
                <w:sz w:val="20"/>
                <w:szCs w:val="20"/>
                <w:lang w:eastAsia="en-US"/>
              </w:rPr>
            </w:pPr>
            <w:r w:rsidRPr="00664552">
              <w:rPr>
                <w:rFonts w:asciiTheme="minorHAnsi" w:hAnsiTheme="minorHAnsi" w:cs="Arial"/>
                <w:sz w:val="20"/>
                <w:szCs w:val="20"/>
                <w:lang w:eastAsia="en-US"/>
              </w:rPr>
              <w:t>3–4</w:t>
            </w:r>
          </w:p>
        </w:tc>
        <w:tc>
          <w:tcPr>
            <w:tcW w:w="8281" w:type="dxa"/>
          </w:tcPr>
          <w:p w:rsidR="00664552" w:rsidRPr="00664552" w:rsidRDefault="00664552" w:rsidP="00664552">
            <w:pPr>
              <w:numPr>
                <w:ilvl w:val="0"/>
                <w:numId w:val="8"/>
              </w:numPr>
              <w:ind w:left="170" w:hanging="170"/>
              <w:contextualSpacing/>
              <w:rPr>
                <w:rFonts w:ascii="Calibri" w:hAnsi="Calibri"/>
                <w:sz w:val="20"/>
                <w:szCs w:val="20"/>
                <w:lang w:eastAsia="en-US"/>
              </w:rPr>
            </w:pPr>
            <w:r w:rsidRPr="00664552">
              <w:rPr>
                <w:rFonts w:ascii="Calibri" w:hAnsi="Calibri"/>
                <w:sz w:val="20"/>
                <w:szCs w:val="20"/>
                <w:lang w:eastAsia="en-US"/>
              </w:rPr>
              <w:t xml:space="preserve">mineral and energy resources are discovered using a variety of techniques, including mapping, satellite images, aerial photographs, geophysical and geochemical methods, to identify the spatial extent of the deposit and quality of the resource </w:t>
            </w:r>
          </w:p>
          <w:p w:rsidR="00664552" w:rsidRPr="00664552" w:rsidRDefault="00664552" w:rsidP="00664552">
            <w:pPr>
              <w:numPr>
                <w:ilvl w:val="0"/>
                <w:numId w:val="8"/>
              </w:numPr>
              <w:ind w:left="170" w:hanging="170"/>
              <w:contextualSpacing/>
              <w:rPr>
                <w:rFonts w:ascii="Calibri" w:hAnsi="Calibri"/>
                <w:sz w:val="20"/>
                <w:szCs w:val="20"/>
                <w:lang w:eastAsia="en-US"/>
              </w:rPr>
            </w:pPr>
            <w:r w:rsidRPr="00664552">
              <w:rPr>
                <w:rFonts w:ascii="Calibri" w:hAnsi="Calibri"/>
                <w:sz w:val="20"/>
                <w:szCs w:val="20"/>
                <w:lang w:eastAsia="en-US"/>
              </w:rPr>
              <w:t>development of coupled geological and geophysical techniques (measuring magnetic fields and electromagnetic induction) and remote sensing technologies (including aerial photography, satellite based spectroscopes) have increased the rate of identification of mineral and energy resources and improved estimates of their size and value prior to extraction (SHE)</w:t>
            </w:r>
          </w:p>
          <w:p w:rsidR="00664552" w:rsidRPr="00664552" w:rsidRDefault="00664552" w:rsidP="00664552">
            <w:pPr>
              <w:numPr>
                <w:ilvl w:val="0"/>
                <w:numId w:val="8"/>
              </w:numPr>
              <w:ind w:left="170" w:hanging="170"/>
              <w:contextualSpacing/>
              <w:rPr>
                <w:rFonts w:ascii="Calibri" w:hAnsi="Calibri"/>
                <w:sz w:val="20"/>
                <w:szCs w:val="20"/>
                <w:lang w:eastAsia="en-US"/>
              </w:rPr>
            </w:pPr>
            <w:r w:rsidRPr="00664552">
              <w:rPr>
                <w:rFonts w:ascii="Calibri" w:hAnsi="Calibri"/>
                <w:sz w:val="20"/>
                <w:szCs w:val="20"/>
                <w:lang w:eastAsia="en-US"/>
              </w:rPr>
              <w:t xml:space="preserve">select, construct and interpret appropriate representations, including maps and geological </w:t>
            </w:r>
            <w:r w:rsidR="00436DBC">
              <w:rPr>
                <w:rFonts w:ascii="Calibri" w:hAnsi="Calibri"/>
                <w:sz w:val="20"/>
                <w:szCs w:val="20"/>
                <w:lang w:eastAsia="en-US"/>
              </w:rPr>
              <w:br/>
            </w:r>
            <w:r w:rsidRPr="00664552">
              <w:rPr>
                <w:rFonts w:ascii="Calibri" w:hAnsi="Calibri"/>
                <w:sz w:val="20"/>
                <w:szCs w:val="20"/>
                <w:lang w:eastAsia="en-US"/>
              </w:rPr>
              <w:t xml:space="preserve">cross-sections, and others such as block diagrams and stratigraphic columns </w:t>
            </w:r>
            <w:r w:rsidR="00585367">
              <w:rPr>
                <w:rFonts w:ascii="Calibri" w:hAnsi="Calibri"/>
                <w:sz w:val="20"/>
                <w:szCs w:val="20"/>
                <w:lang w:eastAsia="en-US"/>
              </w:rPr>
              <w:t>to communicate conceptual understanding, solve problems and make predictions</w:t>
            </w:r>
            <w:r w:rsidR="00333D9A">
              <w:rPr>
                <w:rFonts w:ascii="Calibri" w:hAnsi="Calibri"/>
                <w:sz w:val="20"/>
                <w:szCs w:val="20"/>
                <w:lang w:eastAsia="en-US"/>
              </w:rPr>
              <w:t xml:space="preserve"> </w:t>
            </w:r>
            <w:bookmarkStart w:id="0" w:name="_GoBack"/>
            <w:bookmarkEnd w:id="0"/>
            <w:r w:rsidRPr="00664552">
              <w:rPr>
                <w:rFonts w:ascii="Calibri" w:hAnsi="Calibri"/>
                <w:sz w:val="20"/>
                <w:szCs w:val="20"/>
                <w:lang w:eastAsia="en-US"/>
              </w:rPr>
              <w:t>(SIS)</w:t>
            </w:r>
          </w:p>
          <w:p w:rsidR="00664552" w:rsidRPr="00664552" w:rsidRDefault="00664552" w:rsidP="00664552">
            <w:pPr>
              <w:numPr>
                <w:ilvl w:val="0"/>
                <w:numId w:val="8"/>
              </w:numPr>
              <w:ind w:left="170" w:hanging="170"/>
              <w:contextualSpacing/>
              <w:rPr>
                <w:rFonts w:ascii="Calibri" w:hAnsi="Calibri"/>
                <w:sz w:val="20"/>
                <w:szCs w:val="20"/>
                <w:lang w:eastAsia="en-US"/>
              </w:rPr>
            </w:pPr>
            <w:r w:rsidRPr="00664552">
              <w:rPr>
                <w:rFonts w:ascii="Calibri" w:hAnsi="Calibri"/>
                <w:sz w:val="20"/>
                <w:szCs w:val="20"/>
                <w:lang w:eastAsia="en-US"/>
              </w:rPr>
              <w:t xml:space="preserve">environmental considerations are important in the exploration, extraction and processing of </w:t>
            </w:r>
            <w:r w:rsidR="00436DBC">
              <w:rPr>
                <w:rFonts w:ascii="Calibri" w:hAnsi="Calibri"/>
                <w:sz w:val="20"/>
                <w:szCs w:val="20"/>
                <w:lang w:eastAsia="en-US"/>
              </w:rPr>
              <w:br/>
            </w:r>
            <w:r w:rsidRPr="00664552">
              <w:rPr>
                <w:rFonts w:ascii="Calibri" w:hAnsi="Calibri"/>
                <w:sz w:val="20"/>
                <w:szCs w:val="20"/>
                <w:lang w:eastAsia="en-US"/>
              </w:rPr>
              <w:t>non-renewable resources, and the decommissioning of resource sites</w:t>
            </w:r>
          </w:p>
          <w:p w:rsidR="00664552" w:rsidRPr="00664552" w:rsidRDefault="00664552" w:rsidP="00585367">
            <w:pPr>
              <w:contextualSpacing/>
              <w:rPr>
                <w:rFonts w:ascii="Calibri" w:hAnsi="Calibri"/>
                <w:sz w:val="20"/>
                <w:szCs w:val="20"/>
                <w:lang w:eastAsia="en-US"/>
              </w:rPr>
            </w:pPr>
            <w:r w:rsidRPr="00664552">
              <w:rPr>
                <w:rFonts w:asciiTheme="minorHAnsi" w:hAnsiTheme="minorHAnsi" w:cs="Arial"/>
                <w:b/>
                <w:bCs/>
                <w:sz w:val="20"/>
                <w:szCs w:val="20"/>
                <w:lang w:val="en-US" w:eastAsia="en-US"/>
              </w:rPr>
              <w:t>Task 2:</w:t>
            </w:r>
            <w:r w:rsidRPr="00664552">
              <w:rPr>
                <w:rFonts w:asciiTheme="minorHAnsi" w:hAnsiTheme="minorHAnsi" w:cs="Arial"/>
                <w:bCs/>
                <w:sz w:val="20"/>
                <w:szCs w:val="20"/>
                <w:lang w:val="en-US" w:eastAsia="en-US"/>
              </w:rPr>
              <w:t xml:space="preserve"> Test </w:t>
            </w:r>
            <w:r w:rsidR="00436DBC">
              <w:rPr>
                <w:rFonts w:asciiTheme="minorHAnsi" w:hAnsiTheme="minorHAnsi" w:cs="Arial"/>
                <w:bCs/>
                <w:sz w:val="20"/>
                <w:szCs w:val="20"/>
                <w:lang w:val="en-US" w:eastAsia="en-US"/>
              </w:rPr>
              <w:t>–</w:t>
            </w:r>
            <w:r w:rsidR="00585367">
              <w:rPr>
                <w:rFonts w:asciiTheme="minorHAnsi" w:hAnsiTheme="minorHAnsi" w:cs="Arial"/>
                <w:bCs/>
                <w:sz w:val="20"/>
                <w:szCs w:val="20"/>
                <w:lang w:val="en-US" w:eastAsia="en-US"/>
              </w:rPr>
              <w:t xml:space="preserve"> Mapping, cross-section</w:t>
            </w:r>
          </w:p>
        </w:tc>
      </w:tr>
      <w:tr w:rsidR="00664552" w:rsidRPr="00664552" w:rsidTr="004E3701">
        <w:tc>
          <w:tcPr>
            <w:tcW w:w="853" w:type="dxa"/>
            <w:shd w:val="clear" w:color="auto" w:fill="E4D8EB" w:themeFill="accent4" w:themeFillTint="66"/>
            <w:vAlign w:val="center"/>
            <w:hideMark/>
          </w:tcPr>
          <w:p w:rsidR="00664552" w:rsidRPr="00664552" w:rsidRDefault="00664552" w:rsidP="00664552">
            <w:pPr>
              <w:jc w:val="center"/>
              <w:rPr>
                <w:rFonts w:asciiTheme="minorHAnsi" w:hAnsiTheme="minorHAnsi" w:cs="Arial"/>
                <w:sz w:val="20"/>
                <w:szCs w:val="20"/>
                <w:lang w:eastAsia="en-US"/>
              </w:rPr>
            </w:pPr>
            <w:r w:rsidRPr="00664552">
              <w:rPr>
                <w:rFonts w:asciiTheme="minorHAnsi" w:hAnsiTheme="minorHAnsi" w:cs="Arial"/>
                <w:sz w:val="20"/>
                <w:szCs w:val="20"/>
                <w:lang w:eastAsia="en-US"/>
              </w:rPr>
              <w:t>5–6</w:t>
            </w:r>
          </w:p>
        </w:tc>
        <w:tc>
          <w:tcPr>
            <w:tcW w:w="8281" w:type="dxa"/>
          </w:tcPr>
          <w:p w:rsidR="00664552" w:rsidRPr="00664552" w:rsidRDefault="00664552" w:rsidP="00664552">
            <w:pPr>
              <w:numPr>
                <w:ilvl w:val="0"/>
                <w:numId w:val="8"/>
              </w:numPr>
              <w:ind w:left="170" w:hanging="170"/>
              <w:contextualSpacing/>
              <w:rPr>
                <w:rFonts w:ascii="Calibri" w:hAnsi="Calibri"/>
                <w:sz w:val="20"/>
                <w:szCs w:val="20"/>
                <w:lang w:eastAsia="en-US"/>
              </w:rPr>
            </w:pPr>
            <w:r w:rsidRPr="00664552">
              <w:rPr>
                <w:rFonts w:ascii="Calibri" w:hAnsi="Calibri"/>
                <w:sz w:val="20"/>
                <w:szCs w:val="20"/>
                <w:lang w:eastAsia="en-US"/>
              </w:rPr>
              <w:t>extraction of mineral and energy resources influences interactions between the abiotic and biotic components of ecosystems, including hydrologic systems</w:t>
            </w:r>
          </w:p>
          <w:p w:rsidR="00664552" w:rsidRPr="00664552" w:rsidRDefault="00664552" w:rsidP="00664552">
            <w:pPr>
              <w:numPr>
                <w:ilvl w:val="0"/>
                <w:numId w:val="8"/>
              </w:numPr>
              <w:ind w:left="170" w:hanging="170"/>
              <w:contextualSpacing/>
              <w:rPr>
                <w:rFonts w:ascii="Calibri" w:hAnsi="Calibri"/>
                <w:sz w:val="20"/>
                <w:szCs w:val="20"/>
                <w:lang w:eastAsia="en-US"/>
              </w:rPr>
            </w:pPr>
            <w:r w:rsidRPr="00664552">
              <w:rPr>
                <w:rFonts w:ascii="Calibri" w:hAnsi="Calibri"/>
                <w:sz w:val="20"/>
                <w:szCs w:val="20"/>
                <w:lang w:eastAsia="en-US"/>
              </w:rPr>
              <w:t>decisions about whether to and how to extract a resource depend on the value, location and volume of the resource. Consultation and negotiation with local and indigenous communities are required to further assess the impacts on and costs to the environment and community of removing the resource (SHE)</w:t>
            </w:r>
          </w:p>
          <w:p w:rsidR="00664552" w:rsidRPr="00664552" w:rsidRDefault="00664552" w:rsidP="00AC3269">
            <w:pPr>
              <w:contextualSpacing/>
              <w:rPr>
                <w:rFonts w:ascii="Calibri" w:hAnsi="Calibri"/>
                <w:sz w:val="20"/>
                <w:szCs w:val="20"/>
                <w:lang w:eastAsia="en-US"/>
              </w:rPr>
            </w:pPr>
            <w:r w:rsidRPr="00664552">
              <w:rPr>
                <w:rFonts w:asciiTheme="minorHAnsi" w:hAnsiTheme="minorHAnsi" w:cs="Arial"/>
                <w:b/>
                <w:bCs/>
                <w:sz w:val="20"/>
                <w:szCs w:val="20"/>
              </w:rPr>
              <w:t xml:space="preserve">Task 3: </w:t>
            </w:r>
            <w:r w:rsidRPr="00664552">
              <w:rPr>
                <w:rFonts w:asciiTheme="minorHAnsi" w:hAnsiTheme="minorHAnsi" w:cs="Arial"/>
                <w:bCs/>
                <w:sz w:val="20"/>
                <w:szCs w:val="20"/>
              </w:rPr>
              <w:t xml:space="preserve">Extended task </w:t>
            </w:r>
            <w:r w:rsidR="00AC3269">
              <w:rPr>
                <w:rFonts w:asciiTheme="minorHAnsi" w:hAnsiTheme="minorHAnsi" w:cs="Arial"/>
                <w:bCs/>
                <w:sz w:val="20"/>
                <w:szCs w:val="20"/>
              </w:rPr>
              <w:t>–</w:t>
            </w:r>
            <w:r w:rsidRPr="00664552">
              <w:rPr>
                <w:rFonts w:asciiTheme="minorHAnsi" w:hAnsiTheme="minorHAnsi" w:cs="Arial"/>
                <w:bCs/>
                <w:sz w:val="20"/>
                <w:szCs w:val="20"/>
              </w:rPr>
              <w:t xml:space="preserve"> Case study of a resource site</w:t>
            </w:r>
          </w:p>
        </w:tc>
      </w:tr>
      <w:tr w:rsidR="00664552" w:rsidRPr="00664552" w:rsidTr="004E3701">
        <w:tc>
          <w:tcPr>
            <w:tcW w:w="853" w:type="dxa"/>
            <w:shd w:val="clear" w:color="auto" w:fill="E4D8EB" w:themeFill="accent4" w:themeFillTint="66"/>
            <w:vAlign w:val="center"/>
            <w:hideMark/>
          </w:tcPr>
          <w:p w:rsidR="00664552" w:rsidRPr="00664552" w:rsidRDefault="00664552" w:rsidP="00664552">
            <w:pPr>
              <w:jc w:val="center"/>
              <w:rPr>
                <w:rFonts w:asciiTheme="minorHAnsi" w:hAnsiTheme="minorHAnsi" w:cs="Arial"/>
                <w:sz w:val="20"/>
                <w:szCs w:val="20"/>
                <w:lang w:eastAsia="en-US"/>
              </w:rPr>
            </w:pPr>
            <w:r w:rsidRPr="00664552">
              <w:rPr>
                <w:rFonts w:asciiTheme="minorHAnsi" w:hAnsiTheme="minorHAnsi" w:cs="Arial"/>
                <w:sz w:val="20"/>
                <w:szCs w:val="20"/>
                <w:lang w:eastAsia="en-US"/>
              </w:rPr>
              <w:t>7–8</w:t>
            </w:r>
          </w:p>
        </w:tc>
        <w:tc>
          <w:tcPr>
            <w:tcW w:w="8281" w:type="dxa"/>
          </w:tcPr>
          <w:p w:rsidR="00664552" w:rsidRPr="00664552" w:rsidRDefault="00664552" w:rsidP="00664552">
            <w:pPr>
              <w:contextualSpacing/>
              <w:rPr>
                <w:rFonts w:asciiTheme="minorHAnsi" w:hAnsiTheme="minorHAnsi"/>
                <w:b/>
                <w:sz w:val="20"/>
                <w:szCs w:val="20"/>
                <w:lang w:eastAsia="en-US"/>
              </w:rPr>
            </w:pPr>
            <w:r w:rsidRPr="00664552">
              <w:rPr>
                <w:rFonts w:asciiTheme="minorHAnsi" w:hAnsiTheme="minorHAnsi"/>
                <w:b/>
                <w:sz w:val="20"/>
                <w:szCs w:val="20"/>
                <w:lang w:eastAsia="en-US"/>
              </w:rPr>
              <w:t>Renewable Earth resources</w:t>
            </w:r>
          </w:p>
          <w:p w:rsidR="00664552" w:rsidRPr="00664552" w:rsidRDefault="00664552" w:rsidP="00664552">
            <w:pPr>
              <w:numPr>
                <w:ilvl w:val="0"/>
                <w:numId w:val="8"/>
              </w:numPr>
              <w:ind w:left="170" w:hanging="170"/>
              <w:contextualSpacing/>
              <w:rPr>
                <w:rFonts w:ascii="Calibri" w:hAnsi="Calibri"/>
                <w:sz w:val="20"/>
                <w:szCs w:val="20"/>
                <w:lang w:eastAsia="en-US"/>
              </w:rPr>
            </w:pPr>
            <w:r w:rsidRPr="00664552">
              <w:rPr>
                <w:rFonts w:ascii="Calibri" w:hAnsi="Calibri"/>
                <w:sz w:val="20"/>
                <w:szCs w:val="20"/>
                <w:lang w:eastAsia="en-US"/>
              </w:rPr>
              <w:t>renewable resources are those that are typically replenished at timescales of years to decades and include harvestable resources (including water, biota and some energy resources) and ecosystem services</w:t>
            </w:r>
          </w:p>
          <w:p w:rsidR="00664552" w:rsidRPr="00664552" w:rsidRDefault="00664552" w:rsidP="00664552">
            <w:pPr>
              <w:numPr>
                <w:ilvl w:val="0"/>
                <w:numId w:val="8"/>
              </w:numPr>
              <w:ind w:left="170" w:hanging="170"/>
              <w:contextualSpacing/>
              <w:rPr>
                <w:rFonts w:ascii="Calibri" w:hAnsi="Calibri"/>
                <w:sz w:val="20"/>
                <w:szCs w:val="20"/>
                <w:lang w:eastAsia="en-US"/>
              </w:rPr>
            </w:pPr>
            <w:r w:rsidRPr="00664552">
              <w:rPr>
                <w:rFonts w:ascii="Calibri" w:hAnsi="Calibri"/>
                <w:sz w:val="20"/>
                <w:szCs w:val="20"/>
                <w:lang w:eastAsia="en-US"/>
              </w:rPr>
              <w:t>ecosystems provide a range of renewable resources, including provisioning services (including food, water, timber), regulating services (including carbon sequestration, climate control), and supporting services (including nutrient, air and water cycling)</w:t>
            </w:r>
          </w:p>
          <w:p w:rsidR="00664552" w:rsidRPr="00664552" w:rsidRDefault="00664552" w:rsidP="00664552">
            <w:pPr>
              <w:numPr>
                <w:ilvl w:val="0"/>
                <w:numId w:val="8"/>
              </w:numPr>
              <w:ind w:left="170" w:hanging="170"/>
              <w:contextualSpacing/>
              <w:rPr>
                <w:rFonts w:ascii="Calibri" w:hAnsi="Calibri"/>
                <w:sz w:val="20"/>
                <w:szCs w:val="20"/>
                <w:lang w:eastAsia="en-US"/>
              </w:rPr>
            </w:pPr>
            <w:r w:rsidRPr="00664552">
              <w:rPr>
                <w:rFonts w:ascii="Calibri" w:hAnsi="Calibri"/>
                <w:sz w:val="20"/>
                <w:szCs w:val="20"/>
                <w:lang w:eastAsia="en-US"/>
              </w:rPr>
              <w:t>the abundance of a renewable resource and how readily it can be replenished influence the rate at which it can be sustainably used at local, regional and global scales</w:t>
            </w:r>
          </w:p>
          <w:p w:rsidR="00664552" w:rsidRPr="00664552" w:rsidRDefault="00664552" w:rsidP="00664552">
            <w:pPr>
              <w:contextualSpacing/>
              <w:rPr>
                <w:rFonts w:ascii="Calibri" w:hAnsi="Calibri"/>
                <w:sz w:val="20"/>
                <w:szCs w:val="20"/>
                <w:lang w:eastAsia="en-US"/>
              </w:rPr>
            </w:pPr>
            <w:r w:rsidRPr="00664552">
              <w:rPr>
                <w:rFonts w:asciiTheme="minorHAnsi" w:hAnsiTheme="minorHAnsi" w:cs="Arial"/>
                <w:b/>
                <w:bCs/>
                <w:sz w:val="20"/>
                <w:szCs w:val="20"/>
                <w:lang w:val="en-US" w:eastAsia="en-US"/>
              </w:rPr>
              <w:t>Task 4:</w:t>
            </w:r>
            <w:r w:rsidRPr="00664552">
              <w:rPr>
                <w:rFonts w:asciiTheme="minorHAnsi" w:hAnsiTheme="minorHAnsi" w:cs="Arial"/>
                <w:bCs/>
                <w:sz w:val="20"/>
                <w:szCs w:val="20"/>
                <w:lang w:val="en-US" w:eastAsia="en-US"/>
              </w:rPr>
              <w:t xml:space="preserve"> </w:t>
            </w:r>
            <w:r>
              <w:rPr>
                <w:rFonts w:asciiTheme="minorHAnsi" w:hAnsiTheme="minorHAnsi" w:cs="Arial"/>
                <w:bCs/>
                <w:sz w:val="20"/>
                <w:szCs w:val="20"/>
                <w:lang w:val="en-US" w:eastAsia="en-US"/>
              </w:rPr>
              <w:t>Investigating a renewable resource</w:t>
            </w:r>
            <w:r w:rsidRPr="00664552">
              <w:rPr>
                <w:rFonts w:asciiTheme="minorHAnsi" w:hAnsiTheme="minorHAnsi" w:cs="Arial"/>
                <w:bCs/>
                <w:sz w:val="20"/>
                <w:szCs w:val="20"/>
                <w:lang w:val="en-US" w:eastAsia="en-US"/>
              </w:rPr>
              <w:t xml:space="preserve"> </w:t>
            </w:r>
          </w:p>
        </w:tc>
      </w:tr>
      <w:tr w:rsidR="00664552" w:rsidRPr="00664552" w:rsidTr="004E3701">
        <w:tc>
          <w:tcPr>
            <w:tcW w:w="853" w:type="dxa"/>
            <w:shd w:val="clear" w:color="auto" w:fill="E4D8EB" w:themeFill="accent4" w:themeFillTint="66"/>
            <w:vAlign w:val="center"/>
            <w:hideMark/>
          </w:tcPr>
          <w:p w:rsidR="00664552" w:rsidRPr="00664552" w:rsidRDefault="00664552" w:rsidP="00664552">
            <w:pPr>
              <w:jc w:val="center"/>
              <w:rPr>
                <w:rFonts w:asciiTheme="minorHAnsi" w:hAnsiTheme="minorHAnsi" w:cs="Arial"/>
                <w:sz w:val="20"/>
                <w:szCs w:val="20"/>
                <w:lang w:eastAsia="en-US"/>
              </w:rPr>
            </w:pPr>
            <w:r w:rsidRPr="00664552">
              <w:rPr>
                <w:rFonts w:asciiTheme="minorHAnsi" w:hAnsiTheme="minorHAnsi" w:cs="Arial"/>
                <w:sz w:val="20"/>
                <w:szCs w:val="20"/>
                <w:lang w:eastAsia="en-US"/>
              </w:rPr>
              <w:t>9–11</w:t>
            </w:r>
          </w:p>
        </w:tc>
        <w:tc>
          <w:tcPr>
            <w:tcW w:w="8281" w:type="dxa"/>
          </w:tcPr>
          <w:p w:rsidR="00664552" w:rsidRPr="00664552" w:rsidRDefault="00664552" w:rsidP="00664552">
            <w:pPr>
              <w:numPr>
                <w:ilvl w:val="0"/>
                <w:numId w:val="8"/>
              </w:numPr>
              <w:ind w:left="170" w:hanging="170"/>
              <w:contextualSpacing/>
              <w:rPr>
                <w:rFonts w:ascii="Calibri" w:hAnsi="Calibri"/>
                <w:sz w:val="20"/>
                <w:szCs w:val="20"/>
                <w:lang w:eastAsia="en-US"/>
              </w:rPr>
            </w:pPr>
            <w:r w:rsidRPr="00664552">
              <w:rPr>
                <w:rFonts w:ascii="Calibri" w:hAnsi="Calibri"/>
                <w:sz w:val="20"/>
                <w:szCs w:val="20"/>
                <w:lang w:eastAsia="en-US"/>
              </w:rPr>
              <w:t>the cost-effective use of renewable energy resources is constrained by the efficiency of available technologies to collect, store and transfer the energy resource</w:t>
            </w:r>
          </w:p>
          <w:p w:rsidR="00664552" w:rsidRPr="00664552" w:rsidRDefault="00664552" w:rsidP="00664552">
            <w:pPr>
              <w:numPr>
                <w:ilvl w:val="0"/>
                <w:numId w:val="8"/>
              </w:numPr>
              <w:ind w:left="170" w:hanging="170"/>
              <w:contextualSpacing/>
              <w:rPr>
                <w:rFonts w:ascii="Calibri" w:hAnsi="Calibri"/>
                <w:sz w:val="20"/>
                <w:szCs w:val="20"/>
                <w:lang w:eastAsia="en-US"/>
              </w:rPr>
            </w:pPr>
            <w:r w:rsidRPr="00664552">
              <w:rPr>
                <w:rFonts w:ascii="Calibri" w:hAnsi="Calibri"/>
                <w:sz w:val="20"/>
                <w:szCs w:val="20"/>
                <w:lang w:eastAsia="en-US"/>
              </w:rPr>
              <w:t>decisions to invest in energy technologies that harness Earth’s internal geothermal heat are informed by environmental, economic and political considerations (SHE)</w:t>
            </w:r>
          </w:p>
        </w:tc>
      </w:tr>
      <w:tr w:rsidR="00664552" w:rsidRPr="00664552" w:rsidTr="004E3701">
        <w:tc>
          <w:tcPr>
            <w:tcW w:w="853" w:type="dxa"/>
            <w:shd w:val="clear" w:color="auto" w:fill="E4D8EB" w:themeFill="accent4" w:themeFillTint="66"/>
            <w:vAlign w:val="center"/>
          </w:tcPr>
          <w:p w:rsidR="00664552" w:rsidRPr="00664552" w:rsidRDefault="00664552" w:rsidP="00664552">
            <w:pPr>
              <w:jc w:val="center"/>
              <w:rPr>
                <w:rFonts w:asciiTheme="minorHAnsi" w:hAnsiTheme="minorHAnsi" w:cs="Arial"/>
                <w:sz w:val="20"/>
                <w:szCs w:val="20"/>
                <w:lang w:eastAsia="en-US"/>
              </w:rPr>
            </w:pPr>
            <w:r w:rsidRPr="00664552">
              <w:rPr>
                <w:rFonts w:asciiTheme="minorHAnsi" w:hAnsiTheme="minorHAnsi" w:cs="Arial"/>
                <w:sz w:val="20"/>
                <w:szCs w:val="20"/>
                <w:lang w:eastAsia="en-US"/>
              </w:rPr>
              <w:t>12–13</w:t>
            </w:r>
          </w:p>
        </w:tc>
        <w:tc>
          <w:tcPr>
            <w:tcW w:w="8281" w:type="dxa"/>
          </w:tcPr>
          <w:p w:rsidR="00664552" w:rsidRPr="00664552" w:rsidRDefault="00664552" w:rsidP="00664552">
            <w:pPr>
              <w:numPr>
                <w:ilvl w:val="0"/>
                <w:numId w:val="8"/>
              </w:numPr>
              <w:ind w:left="170" w:hanging="170"/>
              <w:contextualSpacing/>
              <w:rPr>
                <w:rFonts w:ascii="Calibri" w:hAnsi="Calibri"/>
                <w:sz w:val="20"/>
                <w:szCs w:val="20"/>
                <w:lang w:eastAsia="en-US"/>
              </w:rPr>
            </w:pPr>
            <w:r w:rsidRPr="00664552">
              <w:rPr>
                <w:rFonts w:ascii="Calibri" w:hAnsi="Calibri"/>
                <w:sz w:val="20"/>
                <w:szCs w:val="20"/>
                <w:lang w:eastAsia="en-US"/>
              </w:rPr>
              <w:t>human activities affect the quality and availability of fresh water, including aquifer recharge, desalination, over-extraction, land clearing and eutrophication</w:t>
            </w:r>
          </w:p>
          <w:p w:rsidR="00664552" w:rsidRPr="00664552" w:rsidRDefault="00664552" w:rsidP="00664552">
            <w:pPr>
              <w:numPr>
                <w:ilvl w:val="0"/>
                <w:numId w:val="8"/>
              </w:numPr>
              <w:ind w:left="170" w:hanging="170"/>
              <w:contextualSpacing/>
              <w:rPr>
                <w:rFonts w:ascii="Calibri" w:hAnsi="Calibri"/>
                <w:sz w:val="20"/>
                <w:szCs w:val="20"/>
                <w:lang w:eastAsia="en-US"/>
              </w:rPr>
            </w:pPr>
            <w:r w:rsidRPr="00664552">
              <w:rPr>
                <w:rFonts w:ascii="Calibri" w:hAnsi="Calibri"/>
                <w:sz w:val="20"/>
                <w:szCs w:val="20"/>
                <w:lang w:eastAsia="en-US"/>
              </w:rPr>
              <w:t>recognition of the relatively small amounts of fresh water available for biological processes informs community decision making about investment in infrastructure and technologies to increase access to high quality water, including dams, desalination plants (SHE)</w:t>
            </w:r>
          </w:p>
        </w:tc>
      </w:tr>
      <w:tr w:rsidR="00664552" w:rsidRPr="00664552" w:rsidTr="004E3701">
        <w:tc>
          <w:tcPr>
            <w:tcW w:w="853" w:type="dxa"/>
            <w:shd w:val="clear" w:color="auto" w:fill="E4D8EB" w:themeFill="accent4" w:themeFillTint="66"/>
            <w:vAlign w:val="center"/>
            <w:hideMark/>
          </w:tcPr>
          <w:p w:rsidR="00664552" w:rsidRPr="00664552" w:rsidRDefault="00664552" w:rsidP="00664552">
            <w:pPr>
              <w:jc w:val="center"/>
              <w:rPr>
                <w:rFonts w:asciiTheme="minorHAnsi" w:hAnsiTheme="minorHAnsi" w:cs="Arial"/>
                <w:sz w:val="20"/>
                <w:szCs w:val="20"/>
                <w:lang w:eastAsia="en-US"/>
              </w:rPr>
            </w:pPr>
            <w:r w:rsidRPr="00664552">
              <w:rPr>
                <w:rFonts w:asciiTheme="minorHAnsi" w:hAnsiTheme="minorHAnsi" w:cs="Arial"/>
                <w:sz w:val="20"/>
                <w:szCs w:val="20"/>
                <w:lang w:eastAsia="en-US"/>
              </w:rPr>
              <w:t>14–15</w:t>
            </w:r>
          </w:p>
        </w:tc>
        <w:tc>
          <w:tcPr>
            <w:tcW w:w="8281" w:type="dxa"/>
          </w:tcPr>
          <w:p w:rsidR="00664552" w:rsidRPr="00664552" w:rsidRDefault="00664552" w:rsidP="00664552">
            <w:pPr>
              <w:numPr>
                <w:ilvl w:val="0"/>
                <w:numId w:val="8"/>
              </w:numPr>
              <w:ind w:left="170" w:hanging="170"/>
              <w:contextualSpacing/>
              <w:rPr>
                <w:rFonts w:ascii="Calibri" w:hAnsi="Calibri"/>
                <w:sz w:val="20"/>
                <w:szCs w:val="20"/>
                <w:lang w:eastAsia="en-US"/>
              </w:rPr>
            </w:pPr>
            <w:r w:rsidRPr="00664552">
              <w:rPr>
                <w:rFonts w:ascii="Calibri" w:hAnsi="Calibri"/>
                <w:sz w:val="20"/>
                <w:szCs w:val="20"/>
                <w:lang w:eastAsia="en-US"/>
              </w:rPr>
              <w:t xml:space="preserve">producing, harvesting, transporting and processing of resources for consumption, and assimilating the associated wastes, involves the use of resources; the concept of an ‘ecological footprint’ is used to measure the magnitude of this demand </w:t>
            </w:r>
          </w:p>
          <w:p w:rsidR="00664552" w:rsidRPr="00664552" w:rsidRDefault="00664552" w:rsidP="000D2D12">
            <w:pPr>
              <w:contextualSpacing/>
              <w:rPr>
                <w:rFonts w:ascii="Calibri" w:hAnsi="Calibri"/>
                <w:sz w:val="20"/>
                <w:szCs w:val="20"/>
                <w:lang w:eastAsia="en-US"/>
              </w:rPr>
            </w:pPr>
            <w:r w:rsidRPr="00664552">
              <w:rPr>
                <w:rFonts w:asciiTheme="minorHAnsi" w:hAnsiTheme="minorHAnsi" w:cs="Arial"/>
                <w:b/>
                <w:sz w:val="20"/>
                <w:szCs w:val="20"/>
              </w:rPr>
              <w:lastRenderedPageBreak/>
              <w:t xml:space="preserve">Task 5: </w:t>
            </w:r>
            <w:r w:rsidR="001C5FBF" w:rsidRPr="000D2D12">
              <w:rPr>
                <w:rFonts w:asciiTheme="minorHAnsi" w:hAnsiTheme="minorHAnsi" w:cs="Arial"/>
                <w:sz w:val="20"/>
                <w:szCs w:val="20"/>
              </w:rPr>
              <w:t>Test</w:t>
            </w:r>
            <w:r w:rsidR="000D2D12">
              <w:rPr>
                <w:rFonts w:asciiTheme="minorHAnsi" w:hAnsiTheme="minorHAnsi" w:cs="Arial"/>
                <w:b/>
                <w:sz w:val="20"/>
                <w:szCs w:val="20"/>
              </w:rPr>
              <w:t xml:space="preserve"> – </w:t>
            </w:r>
            <w:r w:rsidRPr="00664552">
              <w:rPr>
                <w:rFonts w:asciiTheme="minorHAnsi" w:hAnsiTheme="minorHAnsi" w:cs="Arial"/>
                <w:sz w:val="20"/>
                <w:szCs w:val="20"/>
              </w:rPr>
              <w:t>Renewable</w:t>
            </w:r>
            <w:r>
              <w:rPr>
                <w:rFonts w:asciiTheme="minorHAnsi" w:hAnsiTheme="minorHAnsi" w:cs="Arial"/>
                <w:sz w:val="20"/>
                <w:szCs w:val="20"/>
              </w:rPr>
              <w:t xml:space="preserve"> Earth</w:t>
            </w:r>
            <w:r w:rsidR="000D2D12">
              <w:rPr>
                <w:rFonts w:asciiTheme="minorHAnsi" w:hAnsiTheme="minorHAnsi" w:cs="Arial"/>
                <w:sz w:val="20"/>
                <w:szCs w:val="20"/>
              </w:rPr>
              <w:t xml:space="preserve"> resources</w:t>
            </w:r>
          </w:p>
        </w:tc>
      </w:tr>
      <w:tr w:rsidR="00664552" w:rsidRPr="00664552" w:rsidTr="004E3701">
        <w:tc>
          <w:tcPr>
            <w:tcW w:w="853" w:type="dxa"/>
            <w:shd w:val="clear" w:color="auto" w:fill="E4D8EB" w:themeFill="accent4" w:themeFillTint="66"/>
            <w:vAlign w:val="center"/>
          </w:tcPr>
          <w:p w:rsidR="00664552" w:rsidRPr="00664552" w:rsidRDefault="00664552" w:rsidP="00664552">
            <w:pPr>
              <w:jc w:val="center"/>
              <w:rPr>
                <w:rFonts w:asciiTheme="minorHAnsi" w:hAnsiTheme="minorHAnsi" w:cs="Arial"/>
                <w:sz w:val="20"/>
                <w:szCs w:val="20"/>
                <w:lang w:eastAsia="en-US"/>
              </w:rPr>
            </w:pPr>
            <w:r w:rsidRPr="00664552">
              <w:rPr>
                <w:rFonts w:asciiTheme="minorHAnsi" w:hAnsiTheme="minorHAnsi" w:cs="Arial"/>
                <w:sz w:val="20"/>
                <w:szCs w:val="20"/>
                <w:lang w:eastAsia="en-US"/>
              </w:rPr>
              <w:lastRenderedPageBreak/>
              <w:t>16</w:t>
            </w:r>
          </w:p>
        </w:tc>
        <w:tc>
          <w:tcPr>
            <w:tcW w:w="8281" w:type="dxa"/>
          </w:tcPr>
          <w:p w:rsidR="00664552" w:rsidRPr="00664552" w:rsidRDefault="00664552" w:rsidP="00664552">
            <w:pPr>
              <w:contextualSpacing/>
              <w:rPr>
                <w:rFonts w:ascii="Calibri" w:hAnsi="Calibri"/>
                <w:sz w:val="20"/>
                <w:szCs w:val="20"/>
                <w:lang w:eastAsia="en-US"/>
              </w:rPr>
            </w:pPr>
            <w:r w:rsidRPr="00664552">
              <w:rPr>
                <w:rFonts w:ascii="Calibri" w:hAnsi="Calibri"/>
                <w:b/>
                <w:sz w:val="20"/>
                <w:szCs w:val="20"/>
                <w:lang w:eastAsia="en-US"/>
              </w:rPr>
              <w:t>Task 6:</w:t>
            </w:r>
            <w:r w:rsidRPr="00664552">
              <w:rPr>
                <w:rFonts w:ascii="Calibri" w:hAnsi="Calibri"/>
                <w:sz w:val="20"/>
                <w:szCs w:val="20"/>
                <w:lang w:eastAsia="en-US"/>
              </w:rPr>
              <w:t xml:space="preserve"> Semester 1 examination based on Unit 3 content</w:t>
            </w:r>
          </w:p>
        </w:tc>
      </w:tr>
    </w:tbl>
    <w:p w:rsidR="004E3701" w:rsidRPr="00333D9A" w:rsidRDefault="004E3701" w:rsidP="00333D9A">
      <w:pPr>
        <w:rPr>
          <w:rFonts w:ascii="Calibri" w:eastAsia="MS Mincho" w:hAnsi="Calibri" w:cs="Calibri"/>
          <w:lang w:val="en-GB" w:eastAsia="ja-JP"/>
        </w:rPr>
      </w:pPr>
      <w:r>
        <w:rPr>
          <w:rFonts w:eastAsia="MS Mincho"/>
          <w:lang w:val="en-GB" w:eastAsia="ja-JP"/>
        </w:rPr>
        <w:br w:type="page"/>
      </w:r>
    </w:p>
    <w:p w:rsidR="00664552" w:rsidRPr="00664552" w:rsidRDefault="00664552" w:rsidP="0089048C">
      <w:pPr>
        <w:spacing w:before="120" w:after="120" w:line="276" w:lineRule="auto"/>
        <w:outlineLvl w:val="3"/>
        <w:rPr>
          <w:rFonts w:ascii="Franklin Gothic Book" w:eastAsia="MS Mincho" w:hAnsi="Franklin Gothic Book" w:cs="Calibri"/>
          <w:color w:val="404040" w:themeColor="text1" w:themeTint="BF"/>
          <w:sz w:val="22"/>
          <w:szCs w:val="22"/>
          <w:lang w:val="en-GB" w:eastAsia="ja-JP"/>
        </w:rPr>
      </w:pPr>
      <w:r w:rsidRPr="00664552">
        <w:rPr>
          <w:rFonts w:ascii="Franklin Gothic Book" w:eastAsia="MS Mincho" w:hAnsi="Franklin Gothic Book" w:cs="Calibri"/>
          <w:color w:val="404040" w:themeColor="text1" w:themeTint="BF"/>
          <w:sz w:val="22"/>
          <w:szCs w:val="22"/>
          <w:lang w:val="en-GB" w:eastAsia="ja-JP"/>
        </w:rPr>
        <w:lastRenderedPageBreak/>
        <w:t>Semester 2 – Unit 4 – Earth hazards and climate change</w:t>
      </w:r>
    </w:p>
    <w:tbl>
      <w:tblPr>
        <w:tblStyle w:val="TableGrid1"/>
        <w:tblW w:w="9214" w:type="dxa"/>
        <w:tblInd w:w="108"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851"/>
        <w:gridCol w:w="8363"/>
      </w:tblGrid>
      <w:tr w:rsidR="00664552" w:rsidRPr="00664552" w:rsidTr="004E3701">
        <w:trPr>
          <w:tblHeader/>
        </w:trPr>
        <w:tc>
          <w:tcPr>
            <w:tcW w:w="851" w:type="dxa"/>
            <w:tcBorders>
              <w:right w:val="single" w:sz="4" w:space="0" w:color="FFFFFF" w:themeColor="background1"/>
            </w:tcBorders>
            <w:shd w:val="clear" w:color="auto" w:fill="BD9FCF" w:themeFill="accent4"/>
            <w:vAlign w:val="center"/>
            <w:hideMark/>
          </w:tcPr>
          <w:p w:rsidR="00664552" w:rsidRPr="00664552" w:rsidRDefault="00664552" w:rsidP="00664552">
            <w:pPr>
              <w:spacing w:before="120" w:after="120"/>
              <w:jc w:val="center"/>
              <w:rPr>
                <w:rFonts w:asciiTheme="minorHAnsi" w:hAnsiTheme="minorHAnsi" w:cs="Arial"/>
                <w:b/>
                <w:color w:val="FFFFFF" w:themeColor="background1"/>
                <w:sz w:val="20"/>
                <w:szCs w:val="20"/>
                <w:lang w:eastAsia="en-US"/>
              </w:rPr>
            </w:pPr>
            <w:r w:rsidRPr="00664552">
              <w:rPr>
                <w:rFonts w:asciiTheme="minorHAnsi" w:hAnsiTheme="minorHAnsi" w:cs="Arial"/>
                <w:b/>
                <w:color w:val="FFFFFF" w:themeColor="background1"/>
                <w:sz w:val="20"/>
                <w:szCs w:val="20"/>
                <w:lang w:eastAsia="en-US"/>
              </w:rPr>
              <w:t>Week</w:t>
            </w:r>
          </w:p>
        </w:tc>
        <w:tc>
          <w:tcPr>
            <w:tcW w:w="8363" w:type="dxa"/>
            <w:tcBorders>
              <w:left w:val="single" w:sz="4" w:space="0" w:color="FFFFFF" w:themeColor="background1"/>
            </w:tcBorders>
            <w:shd w:val="clear" w:color="auto" w:fill="BD9FCF" w:themeFill="accent4"/>
            <w:vAlign w:val="center"/>
            <w:hideMark/>
          </w:tcPr>
          <w:p w:rsidR="00664552" w:rsidRPr="00664552" w:rsidRDefault="00664552" w:rsidP="00664552">
            <w:pPr>
              <w:spacing w:before="120" w:after="120"/>
              <w:jc w:val="center"/>
              <w:rPr>
                <w:rFonts w:asciiTheme="minorHAnsi" w:hAnsiTheme="minorHAnsi" w:cs="Arial"/>
                <w:b/>
                <w:color w:val="FFFFFF" w:themeColor="background1"/>
                <w:sz w:val="20"/>
                <w:szCs w:val="20"/>
                <w:lang w:eastAsia="en-US"/>
              </w:rPr>
            </w:pPr>
            <w:r w:rsidRPr="00664552">
              <w:rPr>
                <w:rFonts w:asciiTheme="minorHAnsi" w:hAnsiTheme="minorHAnsi" w:cs="Arial"/>
                <w:b/>
                <w:color w:val="FFFFFF" w:themeColor="background1"/>
                <w:sz w:val="20"/>
                <w:szCs w:val="20"/>
                <w:lang w:eastAsia="en-US"/>
              </w:rPr>
              <w:t>Key teaching points</w:t>
            </w:r>
          </w:p>
        </w:tc>
      </w:tr>
      <w:tr w:rsidR="00664552" w:rsidRPr="00664552" w:rsidTr="004E3701">
        <w:tc>
          <w:tcPr>
            <w:tcW w:w="851" w:type="dxa"/>
            <w:shd w:val="clear" w:color="auto" w:fill="E4D8EB" w:themeFill="accent4" w:themeFillTint="66"/>
            <w:vAlign w:val="center"/>
            <w:hideMark/>
          </w:tcPr>
          <w:p w:rsidR="00664552" w:rsidRPr="00664552" w:rsidRDefault="00664552" w:rsidP="00664552">
            <w:pPr>
              <w:jc w:val="center"/>
              <w:rPr>
                <w:rFonts w:asciiTheme="minorHAnsi" w:hAnsiTheme="minorHAnsi" w:cs="Arial"/>
                <w:sz w:val="20"/>
                <w:szCs w:val="20"/>
                <w:lang w:eastAsia="en-US"/>
              </w:rPr>
            </w:pPr>
            <w:r w:rsidRPr="00664552">
              <w:rPr>
                <w:rFonts w:asciiTheme="minorHAnsi" w:hAnsiTheme="minorHAnsi" w:cs="Arial"/>
                <w:sz w:val="20"/>
                <w:szCs w:val="20"/>
                <w:lang w:eastAsia="en-US"/>
              </w:rPr>
              <w:t>1–3</w:t>
            </w:r>
          </w:p>
        </w:tc>
        <w:tc>
          <w:tcPr>
            <w:tcW w:w="8363" w:type="dxa"/>
          </w:tcPr>
          <w:p w:rsidR="00664552" w:rsidRPr="00664552" w:rsidRDefault="00664552" w:rsidP="00664552">
            <w:pPr>
              <w:rPr>
                <w:rFonts w:asciiTheme="minorHAnsi" w:hAnsiTheme="minorHAnsi"/>
                <w:b/>
                <w:sz w:val="20"/>
                <w:szCs w:val="20"/>
                <w:lang w:eastAsia="en-US"/>
              </w:rPr>
            </w:pPr>
            <w:r w:rsidRPr="00664552">
              <w:rPr>
                <w:rFonts w:asciiTheme="minorHAnsi" w:hAnsiTheme="minorHAnsi"/>
                <w:b/>
                <w:sz w:val="20"/>
                <w:szCs w:val="20"/>
                <w:lang w:eastAsia="en-US"/>
              </w:rPr>
              <w:t>The cause and impact of Earth hazards</w:t>
            </w:r>
          </w:p>
          <w:p w:rsidR="00664552" w:rsidRPr="00664552" w:rsidRDefault="00664552" w:rsidP="00664552">
            <w:pPr>
              <w:numPr>
                <w:ilvl w:val="0"/>
                <w:numId w:val="8"/>
              </w:numPr>
              <w:ind w:left="170" w:hanging="170"/>
              <w:contextualSpacing/>
              <w:rPr>
                <w:rFonts w:ascii="Calibri" w:hAnsi="Calibri"/>
                <w:sz w:val="20"/>
                <w:szCs w:val="20"/>
                <w:lang w:eastAsia="en-US"/>
              </w:rPr>
            </w:pPr>
            <w:r w:rsidRPr="00664552">
              <w:rPr>
                <w:rFonts w:ascii="Calibri" w:hAnsi="Calibri"/>
                <w:sz w:val="20"/>
                <w:szCs w:val="20"/>
                <w:lang w:eastAsia="en-US"/>
              </w:rPr>
              <w:t>Earth hazards result from the interactions of Earth systems and can threaten life, health, property, or the environment; their occurrence may not be prevented, but their effects can be mitigated</w:t>
            </w:r>
          </w:p>
          <w:p w:rsidR="00664552" w:rsidRPr="00664552" w:rsidRDefault="00664552" w:rsidP="00664552">
            <w:pPr>
              <w:numPr>
                <w:ilvl w:val="0"/>
                <w:numId w:val="8"/>
              </w:numPr>
              <w:ind w:left="170" w:hanging="170"/>
              <w:contextualSpacing/>
              <w:rPr>
                <w:rFonts w:ascii="Calibri" w:hAnsi="Calibri"/>
                <w:sz w:val="20"/>
                <w:szCs w:val="20"/>
                <w:lang w:eastAsia="en-US"/>
              </w:rPr>
            </w:pPr>
            <w:r w:rsidRPr="00664552">
              <w:rPr>
                <w:rFonts w:ascii="Calibri" w:hAnsi="Calibri"/>
                <w:sz w:val="20"/>
                <w:szCs w:val="20"/>
                <w:lang w:eastAsia="en-US"/>
              </w:rPr>
              <w:t>plate tectonic processes generate earthquakes, volcanic eruptions and tsunamis; the occurrence of these events affects other Earth processes and interactions, including the influence of volcanic emissions on climate and weather</w:t>
            </w:r>
          </w:p>
          <w:p w:rsidR="00664552" w:rsidRPr="00664552" w:rsidRDefault="00664552" w:rsidP="00B21038">
            <w:pPr>
              <w:rPr>
                <w:rFonts w:ascii="Calibri" w:hAnsi="Calibri"/>
                <w:sz w:val="20"/>
                <w:szCs w:val="20"/>
                <w:lang w:eastAsia="en-US"/>
              </w:rPr>
            </w:pPr>
            <w:r w:rsidRPr="00664552">
              <w:rPr>
                <w:rFonts w:asciiTheme="minorHAnsi" w:hAnsiTheme="minorHAnsi" w:cs="Arial"/>
                <w:b/>
                <w:sz w:val="20"/>
                <w:szCs w:val="20"/>
              </w:rPr>
              <w:t xml:space="preserve">Task 7: </w:t>
            </w:r>
            <w:r w:rsidRPr="00664552">
              <w:rPr>
                <w:rFonts w:asciiTheme="minorHAnsi" w:hAnsiTheme="minorHAnsi" w:cs="Arial"/>
                <w:sz w:val="20"/>
                <w:szCs w:val="20"/>
              </w:rPr>
              <w:t xml:space="preserve">Investigation </w:t>
            </w:r>
            <w:r w:rsidR="00B21038">
              <w:rPr>
                <w:rFonts w:asciiTheme="minorHAnsi" w:hAnsiTheme="minorHAnsi" w:cs="Arial"/>
                <w:sz w:val="20"/>
                <w:szCs w:val="20"/>
              </w:rPr>
              <w:t>–</w:t>
            </w:r>
            <w:r w:rsidRPr="009E452F">
              <w:rPr>
                <w:rFonts w:asciiTheme="minorHAnsi" w:hAnsiTheme="minorHAnsi" w:cs="Arial"/>
                <w:sz w:val="20"/>
                <w:szCs w:val="20"/>
              </w:rPr>
              <w:t xml:space="preserve"> </w:t>
            </w:r>
            <w:r w:rsidRPr="00664552">
              <w:rPr>
                <w:rFonts w:asciiTheme="minorHAnsi" w:hAnsiTheme="minorHAnsi" w:cs="Arial"/>
                <w:sz w:val="20"/>
                <w:szCs w:val="20"/>
              </w:rPr>
              <w:t>Construct and test a seismograph</w:t>
            </w:r>
          </w:p>
        </w:tc>
      </w:tr>
      <w:tr w:rsidR="00664552" w:rsidRPr="00664552" w:rsidTr="004E3701">
        <w:tc>
          <w:tcPr>
            <w:tcW w:w="851" w:type="dxa"/>
            <w:shd w:val="clear" w:color="auto" w:fill="E4D8EB" w:themeFill="accent4" w:themeFillTint="66"/>
            <w:vAlign w:val="center"/>
            <w:hideMark/>
          </w:tcPr>
          <w:p w:rsidR="00664552" w:rsidRPr="00664552" w:rsidRDefault="00664552" w:rsidP="00664552">
            <w:pPr>
              <w:jc w:val="center"/>
              <w:rPr>
                <w:rFonts w:asciiTheme="minorHAnsi" w:hAnsiTheme="minorHAnsi" w:cs="Arial"/>
                <w:sz w:val="20"/>
                <w:szCs w:val="20"/>
                <w:lang w:eastAsia="en-US"/>
              </w:rPr>
            </w:pPr>
            <w:r w:rsidRPr="00664552">
              <w:rPr>
                <w:rFonts w:asciiTheme="minorHAnsi" w:hAnsiTheme="minorHAnsi" w:cs="Arial"/>
                <w:sz w:val="20"/>
                <w:szCs w:val="20"/>
                <w:lang w:eastAsia="en-US"/>
              </w:rPr>
              <w:t>4</w:t>
            </w:r>
          </w:p>
        </w:tc>
        <w:tc>
          <w:tcPr>
            <w:tcW w:w="8363" w:type="dxa"/>
          </w:tcPr>
          <w:p w:rsidR="00664552" w:rsidRPr="00664552" w:rsidRDefault="00664552" w:rsidP="00664552">
            <w:pPr>
              <w:numPr>
                <w:ilvl w:val="0"/>
                <w:numId w:val="8"/>
              </w:numPr>
              <w:ind w:left="170" w:hanging="170"/>
              <w:contextualSpacing/>
              <w:rPr>
                <w:rFonts w:ascii="Calibri" w:hAnsi="Calibri"/>
                <w:sz w:val="20"/>
                <w:szCs w:val="20"/>
                <w:lang w:eastAsia="en-US"/>
              </w:rPr>
            </w:pPr>
            <w:r w:rsidRPr="00664552">
              <w:rPr>
                <w:rFonts w:ascii="Calibri" w:hAnsi="Calibri"/>
                <w:sz w:val="20"/>
                <w:szCs w:val="20"/>
                <w:lang w:eastAsia="en-US"/>
              </w:rPr>
              <w:t>monitoring and analysis of data, including composition of volcanic magma, ground motion monitoring, and earthquake location and frequency data, allows the mapping of potentially hazardous zones. This contributes to the future prediction of the location and probability of repeat occurrences of hazardous Earth events, including volcanic eruptions, earthquakes and tsunamis</w:t>
            </w:r>
          </w:p>
          <w:p w:rsidR="00664552" w:rsidRPr="00664552" w:rsidRDefault="00664552" w:rsidP="00664552">
            <w:pPr>
              <w:numPr>
                <w:ilvl w:val="0"/>
                <w:numId w:val="8"/>
              </w:numPr>
              <w:ind w:left="170" w:hanging="170"/>
              <w:contextualSpacing/>
              <w:rPr>
                <w:rFonts w:ascii="Calibri" w:hAnsi="Calibri"/>
                <w:sz w:val="20"/>
                <w:szCs w:val="20"/>
                <w:lang w:eastAsia="en-US"/>
              </w:rPr>
            </w:pPr>
            <w:r w:rsidRPr="00664552">
              <w:rPr>
                <w:rFonts w:ascii="Calibri" w:hAnsi="Calibri"/>
                <w:sz w:val="20"/>
                <w:szCs w:val="20"/>
                <w:lang w:eastAsia="en-US"/>
              </w:rPr>
              <w:t>sophisticated models of the dynamics and mechanics of plate tectonic motion and collision enable prediction of future plate tectonic movements and provide data for local evidence-based decision making, for example, development of infrastructure, location of geothermal resources (SHE)</w:t>
            </w:r>
          </w:p>
          <w:p w:rsidR="00664552" w:rsidRPr="00664552" w:rsidRDefault="00E25A09" w:rsidP="00664552">
            <w:pPr>
              <w:numPr>
                <w:ilvl w:val="0"/>
                <w:numId w:val="8"/>
              </w:numPr>
              <w:ind w:left="170" w:hanging="170"/>
              <w:contextualSpacing/>
              <w:rPr>
                <w:rFonts w:ascii="Calibri" w:hAnsi="Calibri"/>
                <w:sz w:val="20"/>
                <w:szCs w:val="20"/>
                <w:lang w:eastAsia="en-US"/>
              </w:rPr>
            </w:pPr>
            <w:r>
              <w:rPr>
                <w:rFonts w:ascii="Calibri" w:hAnsi="Calibri"/>
                <w:sz w:val="20"/>
                <w:szCs w:val="20"/>
                <w:lang w:eastAsia="en-US"/>
              </w:rPr>
              <w:t>a</w:t>
            </w:r>
            <w:r w:rsidR="00665BA0">
              <w:rPr>
                <w:rFonts w:ascii="Calibri" w:hAnsi="Calibri"/>
                <w:sz w:val="20"/>
                <w:szCs w:val="20"/>
                <w:lang w:eastAsia="en-US"/>
              </w:rPr>
              <w:t xml:space="preserve">dvances in knowledge and </w:t>
            </w:r>
            <w:r>
              <w:rPr>
                <w:rFonts w:ascii="Calibri" w:hAnsi="Calibri"/>
                <w:sz w:val="20"/>
                <w:szCs w:val="20"/>
                <w:lang w:eastAsia="en-US"/>
              </w:rPr>
              <w:t>understanding of seismic processes have led to improved design of ground shake resistant structures and identification of areas likely to be affected by earthquakes (SHE)</w:t>
            </w:r>
          </w:p>
        </w:tc>
      </w:tr>
      <w:tr w:rsidR="00664552" w:rsidRPr="00664552" w:rsidTr="004E3701">
        <w:trPr>
          <w:trHeight w:val="40"/>
        </w:trPr>
        <w:tc>
          <w:tcPr>
            <w:tcW w:w="851" w:type="dxa"/>
            <w:shd w:val="clear" w:color="auto" w:fill="E4D8EB" w:themeFill="accent4" w:themeFillTint="66"/>
            <w:vAlign w:val="center"/>
            <w:hideMark/>
          </w:tcPr>
          <w:p w:rsidR="00664552" w:rsidRPr="00664552" w:rsidRDefault="00664552" w:rsidP="00664552">
            <w:pPr>
              <w:jc w:val="center"/>
              <w:rPr>
                <w:rFonts w:asciiTheme="minorHAnsi" w:hAnsiTheme="minorHAnsi" w:cs="Arial"/>
                <w:sz w:val="20"/>
                <w:szCs w:val="20"/>
                <w:lang w:eastAsia="en-US"/>
              </w:rPr>
            </w:pPr>
            <w:r w:rsidRPr="00664552">
              <w:rPr>
                <w:rFonts w:asciiTheme="minorHAnsi" w:hAnsiTheme="minorHAnsi" w:cs="Arial"/>
                <w:sz w:val="20"/>
                <w:szCs w:val="20"/>
                <w:lang w:eastAsia="en-US"/>
              </w:rPr>
              <w:t>5–6</w:t>
            </w:r>
          </w:p>
        </w:tc>
        <w:tc>
          <w:tcPr>
            <w:tcW w:w="8363" w:type="dxa"/>
          </w:tcPr>
          <w:p w:rsidR="00664552" w:rsidRPr="00664552" w:rsidRDefault="00664552" w:rsidP="00664552">
            <w:pPr>
              <w:numPr>
                <w:ilvl w:val="0"/>
                <w:numId w:val="8"/>
              </w:numPr>
              <w:ind w:left="170" w:hanging="170"/>
              <w:contextualSpacing/>
              <w:rPr>
                <w:rFonts w:ascii="Calibri" w:hAnsi="Calibri"/>
                <w:sz w:val="20"/>
                <w:szCs w:val="20"/>
                <w:lang w:eastAsia="en-US"/>
              </w:rPr>
            </w:pPr>
            <w:r w:rsidRPr="00664552">
              <w:rPr>
                <w:rFonts w:ascii="Calibri" w:hAnsi="Calibri"/>
                <w:sz w:val="20"/>
                <w:szCs w:val="20"/>
                <w:lang w:eastAsia="en-US"/>
              </w:rPr>
              <w:t>the impact of natural hazards on the biosphere depends on the location, magnitude and intensity of the hazard, and the structure and composition of Earth materials influencing the hazard</w:t>
            </w:r>
          </w:p>
          <w:p w:rsidR="00664552" w:rsidRPr="00664552" w:rsidRDefault="00664552" w:rsidP="00664552">
            <w:pPr>
              <w:numPr>
                <w:ilvl w:val="0"/>
                <w:numId w:val="8"/>
              </w:numPr>
              <w:ind w:left="170" w:hanging="170"/>
              <w:contextualSpacing/>
              <w:rPr>
                <w:rFonts w:ascii="Calibri" w:hAnsi="Calibri"/>
                <w:sz w:val="20"/>
                <w:szCs w:val="20"/>
                <w:lang w:eastAsia="en-US"/>
              </w:rPr>
            </w:pPr>
            <w:r w:rsidRPr="00664552">
              <w:rPr>
                <w:rFonts w:ascii="Calibri" w:hAnsi="Calibri"/>
                <w:sz w:val="20"/>
                <w:szCs w:val="20"/>
                <w:lang w:eastAsia="en-US"/>
              </w:rPr>
              <w:t>some ecosystems rely on episodic earth hazard events to rejuvenate and maintain their long-term viability, including flood plain fertility, bushfire and seed germination (SHE)</w:t>
            </w:r>
          </w:p>
          <w:p w:rsidR="00664552" w:rsidRPr="00664552" w:rsidRDefault="00664552" w:rsidP="00664552">
            <w:pPr>
              <w:rPr>
                <w:rFonts w:asciiTheme="minorHAnsi" w:hAnsiTheme="minorHAnsi" w:cs="Arial"/>
                <w:bCs/>
                <w:sz w:val="20"/>
                <w:szCs w:val="20"/>
                <w:lang w:val="en-US" w:eastAsia="en-US"/>
              </w:rPr>
            </w:pPr>
            <w:r w:rsidRPr="00664552">
              <w:rPr>
                <w:rFonts w:asciiTheme="minorHAnsi" w:hAnsiTheme="minorHAnsi" w:cs="Arial"/>
                <w:b/>
                <w:bCs/>
                <w:sz w:val="20"/>
                <w:szCs w:val="20"/>
                <w:lang w:val="en-US" w:eastAsia="en-US"/>
              </w:rPr>
              <w:t>Task 8:</w:t>
            </w:r>
            <w:r w:rsidRPr="00664552">
              <w:rPr>
                <w:rFonts w:asciiTheme="minorHAnsi" w:hAnsiTheme="minorHAnsi" w:cs="Arial"/>
                <w:bCs/>
                <w:sz w:val="20"/>
                <w:szCs w:val="20"/>
                <w:lang w:val="en-US" w:eastAsia="en-US"/>
              </w:rPr>
              <w:t xml:space="preserve"> Extended task </w:t>
            </w:r>
            <w:r w:rsidR="00704C9E">
              <w:rPr>
                <w:rFonts w:asciiTheme="minorHAnsi" w:hAnsiTheme="minorHAnsi" w:cs="Arial"/>
                <w:bCs/>
                <w:sz w:val="20"/>
                <w:szCs w:val="20"/>
                <w:lang w:val="en-US" w:eastAsia="en-US"/>
              </w:rPr>
              <w:t>–</w:t>
            </w:r>
            <w:r w:rsidRPr="00664552">
              <w:rPr>
                <w:rFonts w:asciiTheme="minorHAnsi" w:hAnsiTheme="minorHAnsi" w:cs="Arial"/>
                <w:bCs/>
                <w:sz w:val="20"/>
                <w:szCs w:val="20"/>
                <w:lang w:val="en-US" w:eastAsia="en-US"/>
              </w:rPr>
              <w:t xml:space="preserve"> Research into a natural disaster and its effect on the biosphere</w:t>
            </w:r>
          </w:p>
          <w:p w:rsidR="00664552" w:rsidRPr="00664552" w:rsidRDefault="00664552" w:rsidP="00704C9E">
            <w:pPr>
              <w:rPr>
                <w:rFonts w:ascii="Calibri" w:hAnsi="Calibri"/>
                <w:sz w:val="20"/>
                <w:szCs w:val="20"/>
                <w:lang w:eastAsia="en-US"/>
              </w:rPr>
            </w:pPr>
            <w:r w:rsidRPr="00664552">
              <w:rPr>
                <w:rFonts w:asciiTheme="minorHAnsi" w:hAnsiTheme="minorHAnsi" w:cs="Arial"/>
                <w:b/>
                <w:sz w:val="20"/>
                <w:szCs w:val="20"/>
              </w:rPr>
              <w:t>Task 9:</w:t>
            </w:r>
            <w:r w:rsidRPr="00664552">
              <w:rPr>
                <w:rFonts w:asciiTheme="minorHAnsi" w:hAnsiTheme="minorHAnsi" w:cs="Arial"/>
                <w:sz w:val="20"/>
                <w:szCs w:val="20"/>
              </w:rPr>
              <w:t xml:space="preserve"> </w:t>
            </w:r>
            <w:r w:rsidR="00704C9E">
              <w:rPr>
                <w:rFonts w:asciiTheme="minorHAnsi" w:hAnsiTheme="minorHAnsi" w:cs="Arial"/>
                <w:sz w:val="20"/>
                <w:szCs w:val="20"/>
              </w:rPr>
              <w:t xml:space="preserve">Test – </w:t>
            </w:r>
            <w:r w:rsidR="00557337">
              <w:rPr>
                <w:rFonts w:asciiTheme="minorHAnsi" w:hAnsiTheme="minorHAnsi" w:cs="Arial"/>
                <w:sz w:val="20"/>
                <w:szCs w:val="20"/>
              </w:rPr>
              <w:t xml:space="preserve">The cause and impact of </w:t>
            </w:r>
            <w:r w:rsidR="00557337" w:rsidRPr="004A1E0A">
              <w:rPr>
                <w:rFonts w:asciiTheme="minorHAnsi" w:hAnsiTheme="minorHAnsi" w:cs="Arial"/>
                <w:sz w:val="20"/>
                <w:szCs w:val="20"/>
              </w:rPr>
              <w:t>Earth hazards</w:t>
            </w:r>
            <w:r w:rsidR="00557337">
              <w:rPr>
                <w:rFonts w:asciiTheme="minorHAnsi" w:hAnsiTheme="minorHAnsi" w:cs="Arial"/>
                <w:sz w:val="20"/>
                <w:szCs w:val="20"/>
              </w:rPr>
              <w:t xml:space="preserve"> </w:t>
            </w:r>
          </w:p>
        </w:tc>
      </w:tr>
      <w:tr w:rsidR="00664552" w:rsidRPr="00664552" w:rsidTr="004E3701">
        <w:tc>
          <w:tcPr>
            <w:tcW w:w="851" w:type="dxa"/>
            <w:shd w:val="clear" w:color="auto" w:fill="E4D8EB" w:themeFill="accent4" w:themeFillTint="66"/>
            <w:vAlign w:val="center"/>
          </w:tcPr>
          <w:p w:rsidR="00664552" w:rsidRPr="00664552" w:rsidRDefault="00664552" w:rsidP="00664552">
            <w:pPr>
              <w:jc w:val="center"/>
              <w:rPr>
                <w:rFonts w:asciiTheme="minorHAnsi" w:hAnsiTheme="minorHAnsi" w:cs="Arial"/>
                <w:sz w:val="20"/>
                <w:szCs w:val="20"/>
                <w:lang w:eastAsia="en-US"/>
              </w:rPr>
            </w:pPr>
            <w:r w:rsidRPr="00664552">
              <w:rPr>
                <w:rFonts w:asciiTheme="minorHAnsi" w:hAnsiTheme="minorHAnsi" w:cs="Arial"/>
                <w:sz w:val="20"/>
                <w:szCs w:val="20"/>
                <w:lang w:eastAsia="en-US"/>
              </w:rPr>
              <w:t>7–8</w:t>
            </w:r>
          </w:p>
        </w:tc>
        <w:tc>
          <w:tcPr>
            <w:tcW w:w="8363" w:type="dxa"/>
          </w:tcPr>
          <w:p w:rsidR="00664552" w:rsidRPr="00664552" w:rsidRDefault="00664552" w:rsidP="00664552">
            <w:pPr>
              <w:rPr>
                <w:rFonts w:asciiTheme="minorHAnsi" w:hAnsiTheme="minorHAnsi"/>
                <w:b/>
                <w:sz w:val="20"/>
                <w:szCs w:val="20"/>
                <w:lang w:eastAsia="en-US"/>
              </w:rPr>
            </w:pPr>
            <w:r w:rsidRPr="00664552">
              <w:rPr>
                <w:rFonts w:asciiTheme="minorHAnsi" w:hAnsiTheme="minorHAnsi"/>
                <w:b/>
                <w:sz w:val="20"/>
                <w:szCs w:val="20"/>
                <w:lang w:eastAsia="en-US"/>
              </w:rPr>
              <w:t>The cause and impact of global climate change</w:t>
            </w:r>
          </w:p>
          <w:p w:rsidR="00664552" w:rsidRPr="00664552" w:rsidRDefault="00664552" w:rsidP="00664552">
            <w:pPr>
              <w:numPr>
                <w:ilvl w:val="0"/>
                <w:numId w:val="8"/>
              </w:numPr>
              <w:ind w:left="170" w:hanging="170"/>
              <w:contextualSpacing/>
              <w:rPr>
                <w:rFonts w:ascii="Calibri" w:hAnsi="Calibri"/>
                <w:sz w:val="20"/>
                <w:szCs w:val="20"/>
                <w:lang w:eastAsia="en-US"/>
              </w:rPr>
            </w:pPr>
            <w:r w:rsidRPr="00664552">
              <w:rPr>
                <w:rFonts w:ascii="Calibri" w:hAnsi="Calibri"/>
                <w:sz w:val="20"/>
                <w:szCs w:val="20"/>
                <w:lang w:eastAsia="en-US"/>
              </w:rPr>
              <w:t>natural processes (including oceanic circulation, orbitally-induced solar radiation fluctuations, the plate tectonic supercycle) contribute to global climate changes that are evident at a variety of timescales</w:t>
            </w:r>
          </w:p>
          <w:p w:rsidR="00664552" w:rsidRPr="00664552" w:rsidRDefault="00664552" w:rsidP="00664552">
            <w:pPr>
              <w:numPr>
                <w:ilvl w:val="0"/>
                <w:numId w:val="8"/>
              </w:numPr>
              <w:ind w:left="170" w:hanging="170"/>
              <w:contextualSpacing/>
              <w:rPr>
                <w:rFonts w:ascii="Calibri" w:hAnsi="Calibri"/>
                <w:sz w:val="20"/>
                <w:szCs w:val="20"/>
                <w:lang w:eastAsia="en-US"/>
              </w:rPr>
            </w:pPr>
            <w:r w:rsidRPr="00664552">
              <w:rPr>
                <w:rFonts w:ascii="Calibri" w:hAnsi="Calibri"/>
                <w:sz w:val="20"/>
                <w:szCs w:val="20"/>
                <w:lang w:eastAsia="en-US"/>
              </w:rPr>
              <w:t>human activities, particularly land-clearing and fossil fuel consumption, produce gases including carbon dioxide, methane, nitrous oxide and hydrofluorocarbons, and particulate materials, that can change the composition of the atmosphere and climatic conditions, including an enhanced greenhouse effect</w:t>
            </w:r>
          </w:p>
          <w:p w:rsidR="00664552" w:rsidRPr="00664552" w:rsidRDefault="00664552" w:rsidP="00664552">
            <w:pPr>
              <w:numPr>
                <w:ilvl w:val="0"/>
                <w:numId w:val="8"/>
              </w:numPr>
              <w:ind w:left="170" w:hanging="170"/>
              <w:contextualSpacing/>
              <w:rPr>
                <w:rFonts w:ascii="Calibri" w:hAnsi="Calibri"/>
                <w:sz w:val="20"/>
                <w:szCs w:val="20"/>
                <w:lang w:eastAsia="en-US"/>
              </w:rPr>
            </w:pPr>
            <w:r w:rsidRPr="00664552">
              <w:rPr>
                <w:rFonts w:ascii="Calibri" w:hAnsi="Calibri"/>
                <w:sz w:val="20"/>
                <w:szCs w:val="20"/>
                <w:lang w:eastAsia="en-US"/>
              </w:rPr>
              <w:t>models for long term climatic trends are subject to debate and revision, based on the availability of supporting evidence and review of the underpinning assumptions and limitations (SHE)</w:t>
            </w:r>
          </w:p>
          <w:p w:rsidR="00664552" w:rsidRPr="00664552" w:rsidRDefault="00664552" w:rsidP="00B1638F">
            <w:pPr>
              <w:rPr>
                <w:rFonts w:ascii="Calibri" w:hAnsi="Calibri"/>
                <w:sz w:val="20"/>
                <w:szCs w:val="20"/>
                <w:lang w:eastAsia="en-US"/>
              </w:rPr>
            </w:pPr>
            <w:r w:rsidRPr="00664552">
              <w:rPr>
                <w:rFonts w:asciiTheme="minorHAnsi" w:hAnsiTheme="minorHAnsi" w:cs="Arial"/>
                <w:b/>
                <w:bCs/>
                <w:sz w:val="20"/>
                <w:szCs w:val="20"/>
                <w:lang w:val="en-US" w:eastAsia="en-US"/>
              </w:rPr>
              <w:t>Task 10:</w:t>
            </w:r>
            <w:r w:rsidRPr="00664552">
              <w:rPr>
                <w:rFonts w:asciiTheme="minorHAnsi" w:hAnsiTheme="minorHAnsi" w:cs="Arial"/>
                <w:bCs/>
                <w:sz w:val="20"/>
                <w:szCs w:val="20"/>
                <w:lang w:val="en-US" w:eastAsia="en-US"/>
              </w:rPr>
              <w:t xml:space="preserve"> Investigation </w:t>
            </w:r>
            <w:r w:rsidR="00B1638F">
              <w:rPr>
                <w:rFonts w:asciiTheme="minorHAnsi" w:hAnsiTheme="minorHAnsi" w:cs="Arial"/>
                <w:bCs/>
                <w:sz w:val="20"/>
                <w:szCs w:val="20"/>
                <w:lang w:val="en-US" w:eastAsia="en-US"/>
              </w:rPr>
              <w:t>–</w:t>
            </w:r>
            <w:r w:rsidRPr="00664552">
              <w:rPr>
                <w:rFonts w:asciiTheme="minorHAnsi" w:hAnsiTheme="minorHAnsi" w:cs="Arial"/>
                <w:bCs/>
                <w:sz w:val="20"/>
                <w:szCs w:val="20"/>
                <w:lang w:val="en-US" w:eastAsia="en-US"/>
              </w:rPr>
              <w:t xml:space="preserve"> Effect of carbon dioxide on temperature change</w:t>
            </w:r>
          </w:p>
        </w:tc>
      </w:tr>
      <w:tr w:rsidR="00664552" w:rsidRPr="00664552" w:rsidTr="004E3701">
        <w:tc>
          <w:tcPr>
            <w:tcW w:w="851" w:type="dxa"/>
            <w:shd w:val="clear" w:color="auto" w:fill="E4D8EB" w:themeFill="accent4" w:themeFillTint="66"/>
            <w:vAlign w:val="center"/>
            <w:hideMark/>
          </w:tcPr>
          <w:p w:rsidR="00664552" w:rsidRPr="00664552" w:rsidRDefault="00664552" w:rsidP="00664552">
            <w:pPr>
              <w:jc w:val="center"/>
              <w:rPr>
                <w:rFonts w:asciiTheme="minorHAnsi" w:hAnsiTheme="minorHAnsi" w:cs="Arial"/>
                <w:sz w:val="20"/>
                <w:szCs w:val="20"/>
                <w:lang w:eastAsia="en-US"/>
              </w:rPr>
            </w:pPr>
            <w:r w:rsidRPr="00664552">
              <w:rPr>
                <w:rFonts w:asciiTheme="minorHAnsi" w:hAnsiTheme="minorHAnsi" w:cs="Arial"/>
                <w:sz w:val="20"/>
                <w:szCs w:val="20"/>
                <w:lang w:eastAsia="en-US"/>
              </w:rPr>
              <w:t>9–11</w:t>
            </w:r>
          </w:p>
        </w:tc>
        <w:tc>
          <w:tcPr>
            <w:tcW w:w="8363" w:type="dxa"/>
          </w:tcPr>
          <w:p w:rsidR="00664552" w:rsidRPr="00664552" w:rsidRDefault="00664552" w:rsidP="00664552">
            <w:pPr>
              <w:numPr>
                <w:ilvl w:val="0"/>
                <w:numId w:val="8"/>
              </w:numPr>
              <w:ind w:left="170" w:hanging="170"/>
              <w:contextualSpacing/>
              <w:rPr>
                <w:rFonts w:ascii="Calibri" w:hAnsi="Calibri"/>
                <w:sz w:val="20"/>
                <w:szCs w:val="20"/>
                <w:lang w:eastAsia="en-US"/>
              </w:rPr>
            </w:pPr>
            <w:r w:rsidRPr="00664552">
              <w:rPr>
                <w:rFonts w:ascii="Calibri" w:hAnsi="Calibri"/>
                <w:sz w:val="20"/>
                <w:szCs w:val="20"/>
                <w:lang w:eastAsia="en-US"/>
              </w:rPr>
              <w:t>climate change affects the biosphere, atmosphere, geosphere and hydrosphere; climate change has been linked to changes in species distribution, crop productivity, sea level, rainfall patterns, surface temperature and extent of ice sheets</w:t>
            </w:r>
          </w:p>
          <w:p w:rsidR="00664552" w:rsidRPr="00664552" w:rsidRDefault="00664552" w:rsidP="00664552">
            <w:pPr>
              <w:numPr>
                <w:ilvl w:val="0"/>
                <w:numId w:val="8"/>
              </w:numPr>
              <w:ind w:left="170" w:hanging="170"/>
              <w:contextualSpacing/>
              <w:rPr>
                <w:rFonts w:ascii="Calibri" w:hAnsi="Calibri"/>
                <w:sz w:val="20"/>
                <w:szCs w:val="20"/>
                <w:lang w:eastAsia="en-US"/>
              </w:rPr>
            </w:pPr>
            <w:r w:rsidRPr="00664552">
              <w:rPr>
                <w:rFonts w:ascii="Calibri" w:hAnsi="Calibri"/>
                <w:sz w:val="20"/>
                <w:szCs w:val="20"/>
                <w:lang w:eastAsia="en-US"/>
              </w:rPr>
              <w:t>geological, prehistorical and historical records provide evidence (including fossils, pollen grains, ice core data, isotopic ratios) that climate change has affected regions and species differently over time</w:t>
            </w:r>
          </w:p>
        </w:tc>
      </w:tr>
      <w:tr w:rsidR="00664552" w:rsidRPr="00664552" w:rsidTr="004E3701">
        <w:tc>
          <w:tcPr>
            <w:tcW w:w="851" w:type="dxa"/>
            <w:shd w:val="clear" w:color="auto" w:fill="E4D8EB" w:themeFill="accent4" w:themeFillTint="66"/>
            <w:vAlign w:val="center"/>
            <w:hideMark/>
          </w:tcPr>
          <w:p w:rsidR="00664552" w:rsidRPr="00664552" w:rsidRDefault="00664552" w:rsidP="00664552">
            <w:pPr>
              <w:jc w:val="center"/>
              <w:rPr>
                <w:rFonts w:asciiTheme="minorHAnsi" w:hAnsiTheme="minorHAnsi" w:cs="Arial"/>
                <w:sz w:val="20"/>
                <w:szCs w:val="20"/>
                <w:lang w:eastAsia="en-US"/>
              </w:rPr>
            </w:pPr>
            <w:r w:rsidRPr="00664552">
              <w:rPr>
                <w:rFonts w:asciiTheme="minorHAnsi" w:hAnsiTheme="minorHAnsi" w:cs="Arial"/>
                <w:sz w:val="20"/>
                <w:szCs w:val="20"/>
                <w:lang w:eastAsia="en-US"/>
              </w:rPr>
              <w:t>12–14</w:t>
            </w:r>
          </w:p>
        </w:tc>
        <w:tc>
          <w:tcPr>
            <w:tcW w:w="8363" w:type="dxa"/>
          </w:tcPr>
          <w:p w:rsidR="00664552" w:rsidRPr="00664552" w:rsidRDefault="00664552" w:rsidP="00664552">
            <w:pPr>
              <w:numPr>
                <w:ilvl w:val="0"/>
                <w:numId w:val="8"/>
              </w:numPr>
              <w:ind w:left="170" w:hanging="170"/>
              <w:contextualSpacing/>
              <w:rPr>
                <w:rFonts w:ascii="Calibri" w:hAnsi="Calibri"/>
                <w:sz w:val="20"/>
                <w:szCs w:val="20"/>
                <w:lang w:eastAsia="en-US"/>
              </w:rPr>
            </w:pPr>
            <w:r w:rsidRPr="00664552">
              <w:rPr>
                <w:rFonts w:ascii="Calibri" w:hAnsi="Calibri"/>
                <w:sz w:val="20"/>
                <w:szCs w:val="20"/>
                <w:lang w:eastAsia="en-US"/>
              </w:rPr>
              <w:t xml:space="preserve">climate change models (including general circulation models, models of El Niño and La Niña) describe the behaviour and interactions of the oceans and atmosphere; these models are developed through the analysis of past and current climate data, with the aim of predicting the response of global climate to changes in the contributing components, including changes in global ice cover and atmospheric composition </w:t>
            </w:r>
          </w:p>
          <w:p w:rsidR="00664552" w:rsidRPr="00664552" w:rsidRDefault="00664552" w:rsidP="00664552">
            <w:pPr>
              <w:numPr>
                <w:ilvl w:val="0"/>
                <w:numId w:val="8"/>
              </w:numPr>
              <w:ind w:left="170" w:hanging="170"/>
              <w:contextualSpacing/>
              <w:rPr>
                <w:rFonts w:ascii="Calibri" w:hAnsi="Calibri"/>
                <w:sz w:val="20"/>
                <w:szCs w:val="20"/>
                <w:lang w:eastAsia="en-US"/>
              </w:rPr>
            </w:pPr>
            <w:r w:rsidRPr="00664552">
              <w:rPr>
                <w:rFonts w:ascii="Calibri" w:hAnsi="Calibri"/>
                <w:sz w:val="20"/>
                <w:szCs w:val="20"/>
                <w:lang w:eastAsia="en-US"/>
              </w:rPr>
              <w:t>studies of human impact on the atmosphere, hydrosphere and ecosystems rely on evidence from many scientific disciplines over time; these studies inform the concept of environmentally sustainable development (SHE)</w:t>
            </w:r>
          </w:p>
          <w:p w:rsidR="00664552" w:rsidRPr="00664552" w:rsidRDefault="00664552" w:rsidP="00B1638F">
            <w:pPr>
              <w:rPr>
                <w:rFonts w:ascii="Calibri" w:hAnsi="Calibri"/>
                <w:sz w:val="20"/>
                <w:szCs w:val="20"/>
                <w:lang w:eastAsia="en-US"/>
              </w:rPr>
            </w:pPr>
            <w:r w:rsidRPr="00664552">
              <w:rPr>
                <w:rFonts w:asciiTheme="minorHAnsi" w:hAnsiTheme="minorHAnsi" w:cs="Arial"/>
                <w:b/>
                <w:sz w:val="20"/>
                <w:szCs w:val="20"/>
              </w:rPr>
              <w:lastRenderedPageBreak/>
              <w:t>Task 11:</w:t>
            </w:r>
            <w:r w:rsidRPr="00664552">
              <w:rPr>
                <w:rFonts w:asciiTheme="minorHAnsi" w:hAnsiTheme="minorHAnsi" w:cs="Arial"/>
                <w:sz w:val="20"/>
                <w:szCs w:val="20"/>
              </w:rPr>
              <w:t xml:space="preserve"> </w:t>
            </w:r>
            <w:r w:rsidR="00B1638F">
              <w:rPr>
                <w:rFonts w:asciiTheme="minorHAnsi" w:hAnsiTheme="minorHAnsi" w:cs="Arial"/>
                <w:sz w:val="20"/>
                <w:szCs w:val="20"/>
              </w:rPr>
              <w:t xml:space="preserve">Test – </w:t>
            </w:r>
            <w:r w:rsidR="00557337">
              <w:rPr>
                <w:rFonts w:asciiTheme="minorHAnsi" w:hAnsiTheme="minorHAnsi" w:cs="Arial"/>
                <w:sz w:val="20"/>
                <w:szCs w:val="20"/>
              </w:rPr>
              <w:t>The cause and impact of g</w:t>
            </w:r>
            <w:r w:rsidR="00557337" w:rsidRPr="00D1761D">
              <w:rPr>
                <w:rFonts w:asciiTheme="minorHAnsi" w:hAnsiTheme="minorHAnsi" w:cs="Arial"/>
                <w:sz w:val="20"/>
                <w:szCs w:val="20"/>
              </w:rPr>
              <w:t>lobal climate change</w:t>
            </w:r>
          </w:p>
        </w:tc>
      </w:tr>
      <w:tr w:rsidR="00664552" w:rsidRPr="00664552" w:rsidTr="004E3701">
        <w:tc>
          <w:tcPr>
            <w:tcW w:w="851" w:type="dxa"/>
            <w:shd w:val="clear" w:color="auto" w:fill="E4D8EB" w:themeFill="accent4" w:themeFillTint="66"/>
            <w:vAlign w:val="center"/>
          </w:tcPr>
          <w:p w:rsidR="00664552" w:rsidRPr="00664552" w:rsidRDefault="00664552" w:rsidP="00664552">
            <w:pPr>
              <w:jc w:val="center"/>
              <w:rPr>
                <w:rFonts w:asciiTheme="minorHAnsi" w:hAnsiTheme="minorHAnsi" w:cs="Arial"/>
                <w:sz w:val="20"/>
                <w:szCs w:val="20"/>
                <w:lang w:eastAsia="en-US"/>
              </w:rPr>
            </w:pPr>
            <w:r w:rsidRPr="00664552">
              <w:rPr>
                <w:rFonts w:asciiTheme="minorHAnsi" w:hAnsiTheme="minorHAnsi" w:cs="Arial"/>
                <w:sz w:val="20"/>
                <w:szCs w:val="20"/>
                <w:lang w:eastAsia="en-US"/>
              </w:rPr>
              <w:lastRenderedPageBreak/>
              <w:t>15</w:t>
            </w:r>
          </w:p>
        </w:tc>
        <w:tc>
          <w:tcPr>
            <w:tcW w:w="8363" w:type="dxa"/>
          </w:tcPr>
          <w:p w:rsidR="00664552" w:rsidRPr="00664552" w:rsidRDefault="00664552" w:rsidP="00B1638F">
            <w:pPr>
              <w:contextualSpacing/>
              <w:rPr>
                <w:rFonts w:ascii="Calibri" w:hAnsi="Calibri"/>
                <w:sz w:val="20"/>
                <w:szCs w:val="20"/>
                <w:lang w:eastAsia="en-US"/>
              </w:rPr>
            </w:pPr>
            <w:r w:rsidRPr="00664552">
              <w:rPr>
                <w:rFonts w:ascii="Calibri" w:hAnsi="Calibri"/>
                <w:sz w:val="20"/>
                <w:szCs w:val="20"/>
                <w:lang w:eastAsia="en-US"/>
              </w:rPr>
              <w:t>Revision</w:t>
            </w:r>
          </w:p>
        </w:tc>
      </w:tr>
      <w:tr w:rsidR="00664552" w:rsidRPr="00664552" w:rsidTr="004E3701">
        <w:tc>
          <w:tcPr>
            <w:tcW w:w="851" w:type="dxa"/>
            <w:shd w:val="clear" w:color="auto" w:fill="E4D8EB" w:themeFill="accent4" w:themeFillTint="66"/>
            <w:vAlign w:val="center"/>
          </w:tcPr>
          <w:p w:rsidR="00664552" w:rsidRPr="00664552" w:rsidRDefault="00664552" w:rsidP="00664552">
            <w:pPr>
              <w:jc w:val="center"/>
              <w:rPr>
                <w:rFonts w:asciiTheme="minorHAnsi" w:hAnsiTheme="minorHAnsi" w:cs="Arial"/>
                <w:sz w:val="20"/>
                <w:szCs w:val="20"/>
                <w:lang w:eastAsia="en-US"/>
              </w:rPr>
            </w:pPr>
            <w:r w:rsidRPr="00664552">
              <w:rPr>
                <w:rFonts w:asciiTheme="minorHAnsi" w:hAnsiTheme="minorHAnsi" w:cs="Arial"/>
                <w:sz w:val="20"/>
                <w:szCs w:val="20"/>
                <w:lang w:eastAsia="en-US"/>
              </w:rPr>
              <w:t>16</w:t>
            </w:r>
          </w:p>
        </w:tc>
        <w:tc>
          <w:tcPr>
            <w:tcW w:w="8363" w:type="dxa"/>
          </w:tcPr>
          <w:p w:rsidR="00664552" w:rsidRPr="00664552" w:rsidRDefault="00664552" w:rsidP="00664552">
            <w:pPr>
              <w:rPr>
                <w:rFonts w:ascii="Calibri" w:hAnsi="Calibri"/>
                <w:sz w:val="20"/>
                <w:szCs w:val="20"/>
                <w:lang w:eastAsia="en-US"/>
              </w:rPr>
            </w:pPr>
            <w:r w:rsidRPr="00664552">
              <w:rPr>
                <w:rFonts w:ascii="Calibri" w:hAnsi="Calibri"/>
                <w:b/>
                <w:sz w:val="20"/>
                <w:szCs w:val="20"/>
                <w:lang w:eastAsia="en-US"/>
              </w:rPr>
              <w:t>Task 12:</w:t>
            </w:r>
            <w:r w:rsidRPr="00664552">
              <w:rPr>
                <w:rFonts w:ascii="Calibri" w:hAnsi="Calibri"/>
                <w:sz w:val="20"/>
                <w:szCs w:val="20"/>
                <w:lang w:eastAsia="en-US"/>
              </w:rPr>
              <w:t xml:space="preserve"> Semester 2 examination based on Unit 3 and Unit 4 content</w:t>
            </w:r>
          </w:p>
        </w:tc>
      </w:tr>
    </w:tbl>
    <w:p w:rsidR="00CF3CB2" w:rsidRPr="0025174E" w:rsidRDefault="00CF3CB2" w:rsidP="0025174E"/>
    <w:sectPr w:rsidR="00CF3CB2" w:rsidRPr="0025174E" w:rsidSect="000D2D12">
      <w:headerReference w:type="even" r:id="rId14"/>
      <w:footerReference w:type="even" r:id="rId15"/>
      <w:headerReference w:type="first" r:id="rId16"/>
      <w:footerReference w:type="first" r:id="rId17"/>
      <w:pgSz w:w="11906" w:h="16838" w:code="9"/>
      <w:pgMar w:top="1191" w:right="1134" w:bottom="1304" w:left="1247" w:header="709" w:footer="62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41E" w:rsidRDefault="002B441E" w:rsidP="00DB14C9">
      <w:r>
        <w:separator/>
      </w:r>
    </w:p>
  </w:endnote>
  <w:endnote w:type="continuationSeparator" w:id="0">
    <w:p w:rsidR="002B441E" w:rsidRDefault="002B441E"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552" w:rsidRPr="00644917" w:rsidRDefault="00664552" w:rsidP="00644917">
    <w:pPr>
      <w:pStyle w:val="Footer"/>
      <w:pBdr>
        <w:top w:val="single" w:sz="4" w:space="4" w:color="5C815C"/>
      </w:pBdr>
      <w:tabs>
        <w:tab w:val="clear" w:pos="4513"/>
        <w:tab w:val="clear" w:pos="9026"/>
      </w:tabs>
      <w:rPr>
        <w:rFonts w:ascii="Franklin Gothic Book" w:hAnsi="Franklin Gothic Book"/>
        <w:noProof/>
        <w:color w:val="342568"/>
        <w:sz w:val="16"/>
        <w:szCs w:val="16"/>
      </w:rPr>
    </w:pPr>
    <w:r>
      <w:rPr>
        <w:rFonts w:ascii="Franklin Gothic Book" w:hAnsi="Franklin Gothic Book"/>
        <w:noProof/>
        <w:color w:val="342568"/>
        <w:sz w:val="16"/>
        <w:szCs w:val="16"/>
      </w:rPr>
      <w:t>2015/45498v</w:t>
    </w:r>
    <w:r w:rsidR="002F57D7">
      <w:rPr>
        <w:rFonts w:ascii="Franklin Gothic Book" w:hAnsi="Franklin Gothic Book"/>
        <w:noProof/>
        <w:color w:val="342568"/>
        <w:sz w:val="16"/>
        <w:szCs w:val="16"/>
      </w:rPr>
      <w:t>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638" w:rsidRPr="00736638" w:rsidRDefault="00736638" w:rsidP="00736638">
    <w:pPr>
      <w:pStyle w:val="Footer"/>
      <w:pBdr>
        <w:top w:val="single" w:sz="4" w:space="4" w:color="774A92" w:themeColor="accent3" w:themeShade="BF"/>
      </w:pBdr>
      <w:rPr>
        <w:rFonts w:ascii="Franklin Gothic Book" w:hAnsi="Franklin Gothic Book"/>
        <w:color w:val="342568"/>
        <w:sz w:val="18"/>
        <w:szCs w:val="16"/>
      </w:rPr>
    </w:pPr>
    <w:r w:rsidRPr="00736638">
      <w:rPr>
        <w:rFonts w:ascii="Franklin Gothic Book" w:hAnsi="Franklin Gothic Book"/>
        <w:b/>
        <w:color w:val="342568"/>
        <w:sz w:val="18"/>
        <w:szCs w:val="16"/>
      </w:rPr>
      <w:t>Sample course outline | Earth and Environmental Science | ATAR Year 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1E" w:rsidRPr="00E45895" w:rsidRDefault="002B441E" w:rsidP="00A338EF">
    <w:pPr>
      <w:pStyle w:val="Footer"/>
      <w:pBdr>
        <w:top w:val="single" w:sz="4"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Earth and Environmental Science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ATAR Year 12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1E" w:rsidRPr="00644917" w:rsidRDefault="002B441E" w:rsidP="00644917">
    <w:pPr>
      <w:pStyle w:val="Footer"/>
      <w:pBdr>
        <w:top w:val="single" w:sz="4" w:space="4" w:color="5C815C"/>
      </w:pBdr>
      <w:tabs>
        <w:tab w:val="clear" w:pos="4513"/>
        <w:tab w:val="clear" w:pos="9026"/>
      </w:tabs>
      <w:jc w:val="right"/>
      <w:rPr>
        <w:rFonts w:ascii="Franklin Gothic Book" w:eastAsiaTheme="minorHAnsi" w:hAnsi="Franklin Gothic Book" w:cstheme="minorBidi"/>
        <w:b/>
        <w:noProof/>
        <w:color w:val="342568"/>
        <w:sz w:val="18"/>
        <w:szCs w:val="18"/>
        <w:lang w:eastAsia="en-US"/>
      </w:rPr>
    </w:pPr>
    <w:r w:rsidRPr="00644917">
      <w:rPr>
        <w:rFonts w:ascii="Franklin Gothic Book" w:eastAsiaTheme="minorHAnsi" w:hAnsi="Franklin Gothic Book" w:cstheme="minorBidi"/>
        <w:b/>
        <w:noProof/>
        <w:color w:val="342568"/>
        <w:sz w:val="18"/>
        <w:szCs w:val="18"/>
        <w:lang w:eastAsia="en-US"/>
      </w:rPr>
      <w:tab/>
      <w:t>Sample course outline | Earth and Environmental Science | ATAR Year 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41E" w:rsidRDefault="002B441E" w:rsidP="00DB14C9">
      <w:r>
        <w:separator/>
      </w:r>
    </w:p>
  </w:footnote>
  <w:footnote w:type="continuationSeparator" w:id="0">
    <w:p w:rsidR="002B441E" w:rsidRDefault="002B441E"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C5" w:rsidRPr="001B3981" w:rsidRDefault="004810C5" w:rsidP="004810C5">
    <w:pPr>
      <w:pStyle w:val="Header"/>
      <w:pBdr>
        <w:bottom w:val="single" w:sz="8" w:space="1" w:color="5C815C"/>
      </w:pBdr>
      <w:tabs>
        <w:tab w:val="clear" w:pos="4513"/>
        <w:tab w:val="clear" w:pos="9026"/>
      </w:tabs>
      <w:ind w:left="9356" w:right="-1298"/>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333D9A">
      <w:rPr>
        <w:rFonts w:ascii="Franklin Gothic Book" w:hAnsi="Franklin Gothic Book"/>
        <w:b/>
        <w:noProof/>
        <w:color w:val="46328C"/>
        <w:sz w:val="32"/>
      </w:rPr>
      <w:t>3</w:t>
    </w:r>
    <w:r w:rsidRPr="001B3981">
      <w:rPr>
        <w:rFonts w:ascii="Franklin Gothic Book" w:hAnsi="Franklin Gothic Book"/>
        <w:b/>
        <w:noProof/>
        <w:color w:val="46328C"/>
        <w:sz w:val="32"/>
      </w:rPr>
      <w:fldChar w:fldCharType="end"/>
    </w:r>
  </w:p>
  <w:p w:rsidR="00557337" w:rsidRDefault="005573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552" w:rsidRDefault="00664552" w:rsidP="00664552">
    <w:pPr>
      <w:pStyle w:val="Header"/>
    </w:pPr>
    <w:r>
      <w:rPr>
        <w:noProof/>
      </w:rPr>
      <w:drawing>
        <wp:inline distT="0" distB="0" distL="0" distR="0" wp14:anchorId="2CFF1DF5" wp14:editId="522D12F3">
          <wp:extent cx="4533900" cy="704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rsidR="00664552" w:rsidRDefault="006645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81" w:rsidRPr="00B424E9" w:rsidRDefault="002B441E" w:rsidP="0089048C">
    <w:pPr>
      <w:pStyle w:val="Header"/>
      <w:pBdr>
        <w:bottom w:val="single" w:sz="8" w:space="1" w:color="5C815C"/>
      </w:pBdr>
      <w:tabs>
        <w:tab w:val="clear" w:pos="4513"/>
        <w:tab w:val="clear" w:pos="9026"/>
      </w:tabs>
      <w:spacing w:after="240"/>
      <w:ind w:left="-1276" w:right="9334"/>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333D9A">
      <w:rPr>
        <w:rFonts w:ascii="Franklin Gothic Book" w:hAnsi="Franklin Gothic Book"/>
        <w:b/>
        <w:noProof/>
        <w:color w:val="46328C"/>
        <w:sz w:val="32"/>
      </w:rPr>
      <w:t>2</w:t>
    </w:r>
    <w:r w:rsidRPr="001B3981">
      <w:rPr>
        <w:rFonts w:ascii="Franklin Gothic Book" w:hAnsi="Franklin Gothic Book"/>
        <w:b/>
        <w:noProof/>
        <w:color w:val="46328C"/>
        <w:sz w:val="3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1E" w:rsidRPr="001B3981" w:rsidRDefault="002B441E" w:rsidP="00644917">
    <w:pPr>
      <w:pStyle w:val="Header"/>
      <w:pBdr>
        <w:bottom w:val="single" w:sz="8" w:space="1" w:color="5C815C"/>
      </w:pBdr>
      <w:tabs>
        <w:tab w:val="clear" w:pos="4513"/>
        <w:tab w:val="clear" w:pos="9026"/>
      </w:tabs>
      <w:ind w:left="9356" w:right="-1298"/>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333D9A">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2B441E" w:rsidRPr="00D05780" w:rsidRDefault="002B441E" w:rsidP="00237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86E6B"/>
    <w:multiLevelType w:val="hybridMultilevel"/>
    <w:tmpl w:val="6E78517E"/>
    <w:lvl w:ilvl="0" w:tplc="CA7A47DE">
      <w:start w:val="1"/>
      <w:numFmt w:val="bullet"/>
      <w:lvlText w:val=""/>
      <w:lvlJc w:val="left"/>
      <w:pPr>
        <w:ind w:left="360" w:hanging="360"/>
      </w:pPr>
      <w:rPr>
        <w:rFonts w:ascii="Symbol" w:hAnsi="Symbol" w:hint="default"/>
        <w:sz w:val="18"/>
        <w:szCs w:val="18"/>
      </w:rPr>
    </w:lvl>
    <w:lvl w:ilvl="1" w:tplc="04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3A71480A"/>
    <w:multiLevelType w:val="hybridMultilevel"/>
    <w:tmpl w:val="CD442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B803C8"/>
    <w:multiLevelType w:val="hybridMultilevel"/>
    <w:tmpl w:val="5E348686"/>
    <w:lvl w:ilvl="0" w:tplc="03843D00">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F30D8B"/>
    <w:multiLevelType w:val="hybridMultilevel"/>
    <w:tmpl w:val="7C6A82AA"/>
    <w:lvl w:ilvl="0" w:tplc="03843D00">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5D45EC6"/>
    <w:multiLevelType w:val="hybridMultilevel"/>
    <w:tmpl w:val="6186D284"/>
    <w:lvl w:ilvl="0" w:tplc="CCEADFFC">
      <w:start w:val="1"/>
      <w:numFmt w:val="bullet"/>
      <w:lvlText w:val=""/>
      <w:lvlJc w:val="left"/>
      <w:pPr>
        <w:tabs>
          <w:tab w:val="num" w:pos="360"/>
        </w:tabs>
        <w:ind w:left="360" w:hanging="360"/>
      </w:pPr>
      <w:rPr>
        <w:rFonts w:ascii="Symbol" w:hAnsi="Symbol" w:hint="default"/>
        <w:sz w:val="18"/>
        <w:szCs w:val="18"/>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D8872E7"/>
    <w:multiLevelType w:val="hybridMultilevel"/>
    <w:tmpl w:val="A748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7" w15:restartNumberingAfterBreak="0">
    <w:nsid w:val="685A0352"/>
    <w:multiLevelType w:val="hybridMultilevel"/>
    <w:tmpl w:val="368AAD26"/>
    <w:lvl w:ilvl="0" w:tplc="03843D00">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683502"/>
    <w:multiLevelType w:val="hybridMultilevel"/>
    <w:tmpl w:val="7BB4210C"/>
    <w:lvl w:ilvl="0" w:tplc="03843D00">
      <w:start w:val="1"/>
      <w:numFmt w:val="bullet"/>
      <w:lvlText w:val=""/>
      <w:lvlJc w:val="left"/>
      <w:pPr>
        <w:ind w:left="357" w:hanging="357"/>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CBF2513"/>
    <w:multiLevelType w:val="hybridMultilevel"/>
    <w:tmpl w:val="CBC832CE"/>
    <w:lvl w:ilvl="0" w:tplc="6B2AB84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3056129"/>
    <w:multiLevelType w:val="hybridMultilevel"/>
    <w:tmpl w:val="7C460C74"/>
    <w:lvl w:ilvl="0" w:tplc="03843D00">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E485740"/>
    <w:multiLevelType w:val="hybridMultilevel"/>
    <w:tmpl w:val="F02C482A"/>
    <w:lvl w:ilvl="0" w:tplc="03843D00">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9"/>
  </w:num>
  <w:num w:numId="5">
    <w:abstractNumId w:val="1"/>
  </w:num>
  <w:num w:numId="6">
    <w:abstractNumId w:val="5"/>
  </w:num>
  <w:num w:numId="7">
    <w:abstractNumId w:val="2"/>
  </w:num>
  <w:num w:numId="8">
    <w:abstractNumId w:val="11"/>
  </w:num>
  <w:num w:numId="9">
    <w:abstractNumId w:val="3"/>
  </w:num>
  <w:num w:numId="10">
    <w:abstractNumId w:val="1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22"/>
    <w:rsid w:val="00034F53"/>
    <w:rsid w:val="0004659D"/>
    <w:rsid w:val="0009174F"/>
    <w:rsid w:val="000D2D12"/>
    <w:rsid w:val="00114E03"/>
    <w:rsid w:val="00116304"/>
    <w:rsid w:val="00120B54"/>
    <w:rsid w:val="001A065F"/>
    <w:rsid w:val="001A4CEF"/>
    <w:rsid w:val="001B00C8"/>
    <w:rsid w:val="001C5FBF"/>
    <w:rsid w:val="001F683F"/>
    <w:rsid w:val="00202751"/>
    <w:rsid w:val="0022700B"/>
    <w:rsid w:val="00237908"/>
    <w:rsid w:val="00240545"/>
    <w:rsid w:val="00241D97"/>
    <w:rsid w:val="0025174E"/>
    <w:rsid w:val="002928CA"/>
    <w:rsid w:val="002B441E"/>
    <w:rsid w:val="002F57D7"/>
    <w:rsid w:val="00324ACE"/>
    <w:rsid w:val="0033018F"/>
    <w:rsid w:val="00333D9A"/>
    <w:rsid w:val="00341862"/>
    <w:rsid w:val="00346DF0"/>
    <w:rsid w:val="00375749"/>
    <w:rsid w:val="003C5A53"/>
    <w:rsid w:val="003E18D3"/>
    <w:rsid w:val="003F1EEA"/>
    <w:rsid w:val="00435A66"/>
    <w:rsid w:val="00436DBC"/>
    <w:rsid w:val="00450EA2"/>
    <w:rsid w:val="004810C5"/>
    <w:rsid w:val="004814F0"/>
    <w:rsid w:val="004863E5"/>
    <w:rsid w:val="004A2B41"/>
    <w:rsid w:val="004C6186"/>
    <w:rsid w:val="004D7A85"/>
    <w:rsid w:val="004E1286"/>
    <w:rsid w:val="004E3701"/>
    <w:rsid w:val="00532DF5"/>
    <w:rsid w:val="00557337"/>
    <w:rsid w:val="00575BD8"/>
    <w:rsid w:val="005838FF"/>
    <w:rsid w:val="00585367"/>
    <w:rsid w:val="005A2BF2"/>
    <w:rsid w:val="005D2590"/>
    <w:rsid w:val="006171C6"/>
    <w:rsid w:val="00644917"/>
    <w:rsid w:val="00664552"/>
    <w:rsid w:val="00665BA0"/>
    <w:rsid w:val="0067328B"/>
    <w:rsid w:val="00675BC9"/>
    <w:rsid w:val="0068664F"/>
    <w:rsid w:val="00694DD1"/>
    <w:rsid w:val="006D4647"/>
    <w:rsid w:val="006E10B9"/>
    <w:rsid w:val="006F16EE"/>
    <w:rsid w:val="00704C9E"/>
    <w:rsid w:val="0072294E"/>
    <w:rsid w:val="00736638"/>
    <w:rsid w:val="00742B1D"/>
    <w:rsid w:val="00757B78"/>
    <w:rsid w:val="00797CA9"/>
    <w:rsid w:val="007C688E"/>
    <w:rsid w:val="007D7C15"/>
    <w:rsid w:val="007E3CE0"/>
    <w:rsid w:val="007F32BA"/>
    <w:rsid w:val="007F77AE"/>
    <w:rsid w:val="00805860"/>
    <w:rsid w:val="00806311"/>
    <w:rsid w:val="00840722"/>
    <w:rsid w:val="00855E0F"/>
    <w:rsid w:val="0089048C"/>
    <w:rsid w:val="00897F6F"/>
    <w:rsid w:val="008B157B"/>
    <w:rsid w:val="008E695E"/>
    <w:rsid w:val="009071C5"/>
    <w:rsid w:val="00930FD4"/>
    <w:rsid w:val="00941E13"/>
    <w:rsid w:val="00952D80"/>
    <w:rsid w:val="0096766F"/>
    <w:rsid w:val="0098337C"/>
    <w:rsid w:val="00983AF7"/>
    <w:rsid w:val="0099181C"/>
    <w:rsid w:val="009E452F"/>
    <w:rsid w:val="009F24FB"/>
    <w:rsid w:val="00A2340C"/>
    <w:rsid w:val="00A338EF"/>
    <w:rsid w:val="00A57719"/>
    <w:rsid w:val="00A638D8"/>
    <w:rsid w:val="00AA113D"/>
    <w:rsid w:val="00AA5FB7"/>
    <w:rsid w:val="00AB6D0D"/>
    <w:rsid w:val="00AC3269"/>
    <w:rsid w:val="00AE5E03"/>
    <w:rsid w:val="00AE7AF4"/>
    <w:rsid w:val="00AF06FF"/>
    <w:rsid w:val="00AF317D"/>
    <w:rsid w:val="00B1638F"/>
    <w:rsid w:val="00B21038"/>
    <w:rsid w:val="00B424E9"/>
    <w:rsid w:val="00B73C5D"/>
    <w:rsid w:val="00BD7C4A"/>
    <w:rsid w:val="00C17542"/>
    <w:rsid w:val="00C34FEF"/>
    <w:rsid w:val="00C43BFD"/>
    <w:rsid w:val="00C64C41"/>
    <w:rsid w:val="00C84DE0"/>
    <w:rsid w:val="00CA01EC"/>
    <w:rsid w:val="00CB505A"/>
    <w:rsid w:val="00CD54C8"/>
    <w:rsid w:val="00CF3CB2"/>
    <w:rsid w:val="00D03664"/>
    <w:rsid w:val="00D10F36"/>
    <w:rsid w:val="00D3715A"/>
    <w:rsid w:val="00D47F40"/>
    <w:rsid w:val="00D50C16"/>
    <w:rsid w:val="00D71883"/>
    <w:rsid w:val="00DB14C9"/>
    <w:rsid w:val="00DF0ABF"/>
    <w:rsid w:val="00DF4C0D"/>
    <w:rsid w:val="00E25A09"/>
    <w:rsid w:val="00E43481"/>
    <w:rsid w:val="00E45895"/>
    <w:rsid w:val="00E654B8"/>
    <w:rsid w:val="00E95713"/>
    <w:rsid w:val="00EA34D5"/>
    <w:rsid w:val="00ED45B4"/>
    <w:rsid w:val="00F167AD"/>
    <w:rsid w:val="00F43793"/>
    <w:rsid w:val="00F53533"/>
    <w:rsid w:val="00F65B8E"/>
    <w:rsid w:val="00F667AA"/>
    <w:rsid w:val="00F7346B"/>
    <w:rsid w:val="00F853E0"/>
    <w:rsid w:val="00FA1552"/>
    <w:rsid w:val="00FB077B"/>
    <w:rsid w:val="00FB3971"/>
    <w:rsid w:val="00FC4EFB"/>
    <w:rsid w:val="00FC794F"/>
    <w:rsid w:val="00FE0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E5F00FA"/>
  <w15:docId w15:val="{38CAF5D6-1375-4897-859B-9F08E64D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638"/>
    <w:pPr>
      <w:spacing w:after="0" w:line="240" w:lineRule="auto"/>
    </w:pPr>
    <w:rPr>
      <w:rFonts w:ascii="Times New Roman" w:eastAsia="Times New Roman" w:hAnsi="Times New Roman" w:cs="Times New Roman"/>
      <w:sz w:val="24"/>
      <w:lang w:val="en-AU" w:eastAsia="en-AU"/>
    </w:rPr>
  </w:style>
  <w:style w:type="paragraph" w:styleId="Heading1">
    <w:name w:val="heading 1"/>
    <w:basedOn w:val="Heading2"/>
    <w:next w:val="Normal"/>
    <w:link w:val="Heading1Char"/>
    <w:uiPriority w:val="9"/>
    <w:qFormat/>
    <w:rsid w:val="00855E0F"/>
    <w:pPr>
      <w:spacing w:before="0" w:after="80"/>
      <w:outlineLvl w:val="0"/>
    </w:pPr>
    <w:rPr>
      <w:sz w:val="28"/>
      <w:szCs w:val="28"/>
    </w:rPr>
  </w:style>
  <w:style w:type="paragraph" w:styleId="Heading2">
    <w:name w:val="heading 2"/>
    <w:basedOn w:val="Heading3"/>
    <w:next w:val="Normal"/>
    <w:link w:val="Heading2Char"/>
    <w:uiPriority w:val="9"/>
    <w:unhideWhenUsed/>
    <w:qFormat/>
    <w:rsid w:val="00855E0F"/>
    <w:pPr>
      <w:outlineLvl w:val="1"/>
    </w:pPr>
  </w:style>
  <w:style w:type="paragraph" w:styleId="Heading3">
    <w:name w:val="heading 3"/>
    <w:basedOn w:val="Normal"/>
    <w:next w:val="Normal"/>
    <w:link w:val="Heading3Char"/>
    <w:uiPriority w:val="9"/>
    <w:unhideWhenUsed/>
    <w:qFormat/>
    <w:rsid w:val="0009174F"/>
    <w:pPr>
      <w:spacing w:before="120" w:after="240" w:line="276" w:lineRule="auto"/>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sz w:val="22"/>
      <w:szCs w:val="22"/>
    </w:rPr>
  </w:style>
  <w:style w:type="paragraph" w:styleId="Heading5">
    <w:name w:val="heading 5"/>
    <w:basedOn w:val="Normal"/>
    <w:next w:val="Normal"/>
    <w:link w:val="Heading5Char"/>
    <w:uiPriority w:val="9"/>
    <w:semiHidden/>
    <w:unhideWhenUsed/>
    <w:qFormat/>
    <w:rsid w:val="00EA34D5"/>
    <w:pPr>
      <w:keepNext/>
      <w:keepLines/>
      <w:spacing w:before="200"/>
      <w:outlineLvl w:val="4"/>
    </w:pPr>
    <w:rPr>
      <w:rFonts w:asciiTheme="majorHAnsi" w:eastAsiaTheme="majorEastAsia" w:hAnsiTheme="majorHAnsi" w:cstheme="majorBidi"/>
      <w:color w:val="140C1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clear" w:pos="170"/>
        <w:tab w:val="left" w:pos="-851"/>
        <w:tab w:val="num" w:pos="360"/>
      </w:tabs>
      <w:spacing w:before="120" w:after="120" w:line="280" w:lineRule="exact"/>
      <w:ind w:left="0" w:firstLine="0"/>
    </w:pPr>
    <w:rPr>
      <w:sz w:val="22"/>
      <w:szCs w:val="20"/>
      <w:lang w:eastAsia="en-US"/>
    </w:rPr>
  </w:style>
  <w:style w:type="table" w:styleId="TableGrid">
    <w:name w:val="Table Grid"/>
    <w:basedOn w:val="TableNormal"/>
    <w:uiPriority w:val="59"/>
    <w:rsid w:val="00840722"/>
    <w:pPr>
      <w:spacing w:after="0" w:line="240" w:lineRule="auto"/>
    </w:pPr>
    <w:rPr>
      <w:rFonts w:eastAsia="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855E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855E0F"/>
    <w:rPr>
      <w:rFonts w:ascii="Franklin Gothic Book" w:eastAsia="MS Mincho" w:hAnsi="Franklin Gothic Book" w:cs="Calibri"/>
      <w:color w:val="342568"/>
      <w:sz w:val="24"/>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paragraph" w:customStyle="1" w:styleId="ListItem">
    <w:name w:val="List Item"/>
    <w:basedOn w:val="ListBullet"/>
    <w:link w:val="ListItemChar"/>
    <w:qFormat/>
    <w:rsid w:val="00983AF7"/>
    <w:pPr>
      <w:spacing w:before="120" w:after="120" w:line="276" w:lineRule="auto"/>
      <w:contextualSpacing w:val="0"/>
    </w:pPr>
    <w:rPr>
      <w:rFonts w:ascii="Calibri" w:eastAsiaTheme="minorEastAsia" w:hAnsi="Calibri" w:cstheme="minorBidi"/>
      <w:sz w:val="22"/>
      <w:szCs w:val="22"/>
      <w:lang w:eastAsia="en-US"/>
    </w:rPr>
  </w:style>
  <w:style w:type="character" w:customStyle="1" w:styleId="ListItemChar">
    <w:name w:val="List Item Char"/>
    <w:basedOn w:val="DefaultParagraphFont"/>
    <w:link w:val="ListItem"/>
    <w:rsid w:val="00983AF7"/>
    <w:rPr>
      <w:rFonts w:ascii="Calibri" w:eastAsiaTheme="minorEastAsia" w:hAnsi="Calibri" w:cstheme="minorBidi"/>
      <w:szCs w:val="22"/>
      <w:lang w:val="en-AU"/>
    </w:rPr>
  </w:style>
  <w:style w:type="paragraph" w:styleId="ListBullet">
    <w:name w:val="List Bullet"/>
    <w:basedOn w:val="Normal"/>
    <w:uiPriority w:val="99"/>
    <w:semiHidden/>
    <w:unhideWhenUsed/>
    <w:rsid w:val="00983AF7"/>
    <w:pPr>
      <w:ind w:left="360" w:hanging="360"/>
      <w:contextualSpacing/>
    </w:pPr>
  </w:style>
  <w:style w:type="character" w:styleId="Hyperlink">
    <w:name w:val="Hyperlink"/>
    <w:basedOn w:val="DefaultParagraphFont"/>
    <w:uiPriority w:val="99"/>
    <w:unhideWhenUsed/>
    <w:rsid w:val="00114E03"/>
    <w:rPr>
      <w:color w:val="410082" w:themeColor="hyperlink"/>
      <w:u w:val="single"/>
    </w:rPr>
  </w:style>
  <w:style w:type="character" w:customStyle="1" w:styleId="Heading5Char">
    <w:name w:val="Heading 5 Char"/>
    <w:basedOn w:val="DefaultParagraphFont"/>
    <w:link w:val="Heading5"/>
    <w:uiPriority w:val="9"/>
    <w:semiHidden/>
    <w:rsid w:val="00EA34D5"/>
    <w:rPr>
      <w:rFonts w:asciiTheme="majorHAnsi" w:eastAsiaTheme="majorEastAsia" w:hAnsiTheme="majorHAnsi" w:cstheme="majorBidi"/>
      <w:color w:val="140C19" w:themeColor="accent1" w:themeShade="7F"/>
      <w:sz w:val="24"/>
      <w:lang w:val="en-AU" w:eastAsia="en-AU"/>
    </w:rPr>
  </w:style>
  <w:style w:type="paragraph" w:styleId="NoSpacing">
    <w:name w:val="No Spacing"/>
    <w:uiPriority w:val="1"/>
    <w:qFormat/>
    <w:rsid w:val="00CB505A"/>
    <w:pPr>
      <w:spacing w:after="0" w:line="240" w:lineRule="auto"/>
    </w:pPr>
    <w:rPr>
      <w:rFonts w:ascii="Times New Roman" w:eastAsia="Times New Roman" w:hAnsi="Times New Roman" w:cs="Times New Roman"/>
      <w:sz w:val="24"/>
      <w:lang w:val="en-AU" w:eastAsia="en-AU"/>
    </w:rPr>
  </w:style>
  <w:style w:type="table" w:customStyle="1" w:styleId="TableGrid1">
    <w:name w:val="Table Grid1"/>
    <w:basedOn w:val="TableNormal"/>
    <w:next w:val="TableGrid"/>
    <w:uiPriority w:val="59"/>
    <w:rsid w:val="00664552"/>
    <w:pPr>
      <w:spacing w:after="0" w:line="240" w:lineRule="auto"/>
    </w:pPr>
    <w:rPr>
      <w:rFonts w:eastAsia="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reativecommons.org/licenses/by-nc/3.0/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3F080-B94C-4E5C-9273-FC641CF92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7</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Giles</dc:creator>
  <cp:keywords/>
  <dc:description/>
  <cp:lastModifiedBy>Jo Merrey</cp:lastModifiedBy>
  <cp:revision>44</cp:revision>
  <cp:lastPrinted>2015-06-25T01:08:00Z</cp:lastPrinted>
  <dcterms:created xsi:type="dcterms:W3CDTF">2015-04-17T01:34:00Z</dcterms:created>
  <dcterms:modified xsi:type="dcterms:W3CDTF">2019-07-29T01:25:00Z</dcterms:modified>
</cp:coreProperties>
</file>