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66" w:rsidRDefault="008B7966" w:rsidP="008B7966">
      <w:bookmarkStart w:id="0" w:name="_Toc382915639"/>
      <w:bookmarkStart w:id="1" w:name="_Toc359503799"/>
      <w:bookmarkStart w:id="2" w:name="_Toc358372280"/>
    </w:p>
    <w:p w:rsidR="008B7966" w:rsidRPr="006652C4" w:rsidRDefault="008B7966" w:rsidP="008B7966">
      <w:pPr>
        <w:jc w:val="center"/>
        <w:rPr>
          <w:b/>
          <w:bCs/>
          <w:sz w:val="44"/>
          <w:szCs w:val="44"/>
        </w:rPr>
      </w:pPr>
    </w:p>
    <w:p w:rsidR="008B7966" w:rsidRDefault="008B7966" w:rsidP="008B7966">
      <w:pPr>
        <w:tabs>
          <w:tab w:val="left" w:pos="3552"/>
        </w:tabs>
        <w:jc w:val="center"/>
        <w:rPr>
          <w:b/>
          <w:bCs/>
          <w:sz w:val="44"/>
          <w:szCs w:val="44"/>
        </w:rPr>
      </w:pPr>
    </w:p>
    <w:p w:rsidR="008B7966" w:rsidRPr="006652C4" w:rsidRDefault="008B7966" w:rsidP="008B7966">
      <w:pPr>
        <w:jc w:val="center"/>
        <w:rPr>
          <w:b/>
          <w:bCs/>
          <w:sz w:val="44"/>
          <w:szCs w:val="44"/>
        </w:rPr>
      </w:pPr>
    </w:p>
    <w:p w:rsidR="008B7966" w:rsidRDefault="008B7966" w:rsidP="008B7966">
      <w:pPr>
        <w:jc w:val="center"/>
        <w:rPr>
          <w:b/>
          <w:bCs/>
          <w:sz w:val="40"/>
          <w:szCs w:val="40"/>
        </w:rPr>
      </w:pPr>
    </w:p>
    <w:p w:rsidR="008B7966" w:rsidRPr="007701F7" w:rsidRDefault="008B7966" w:rsidP="008B7966">
      <w:pPr>
        <w:jc w:val="center"/>
        <w:rPr>
          <w:b/>
          <w:bCs/>
          <w:szCs w:val="40"/>
        </w:rPr>
      </w:pPr>
    </w:p>
    <w:p w:rsidR="008B7966" w:rsidRPr="0074708C" w:rsidRDefault="008B7966" w:rsidP="008B7966">
      <w:pPr>
        <w:jc w:val="center"/>
        <w:rPr>
          <w:b/>
          <w:bCs/>
          <w:sz w:val="40"/>
          <w:szCs w:val="40"/>
        </w:rPr>
      </w:pPr>
      <w:r w:rsidRPr="008B7966">
        <w:rPr>
          <w:b/>
          <w:bCs/>
          <w:sz w:val="40"/>
          <w:szCs w:val="40"/>
        </w:rPr>
        <w:t>Accounting</w:t>
      </w:r>
      <w:r>
        <w:rPr>
          <w:b/>
          <w:bCs/>
          <w:sz w:val="40"/>
          <w:szCs w:val="40"/>
        </w:rPr>
        <w:t xml:space="preserve"> </w:t>
      </w:r>
      <w:r w:rsidRPr="008B7966">
        <w:rPr>
          <w:b/>
          <w:bCs/>
          <w:sz w:val="40"/>
          <w:szCs w:val="40"/>
        </w:rPr>
        <w:t>and</w:t>
      </w:r>
      <w:r>
        <w:rPr>
          <w:b/>
          <w:bCs/>
          <w:sz w:val="40"/>
          <w:szCs w:val="40"/>
        </w:rPr>
        <w:t xml:space="preserve"> </w:t>
      </w:r>
      <w:r w:rsidRPr="008B7966">
        <w:rPr>
          <w:b/>
          <w:bCs/>
          <w:sz w:val="40"/>
          <w:szCs w:val="40"/>
        </w:rPr>
        <w:t>Finance</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8B7966" w:rsidRPr="0065454B" w:rsidRDefault="008B7966" w:rsidP="008B7966">
      <w:pPr>
        <w:jc w:val="center"/>
        <w:rPr>
          <w:rStyle w:val="Strong"/>
        </w:rPr>
      </w:pPr>
    </w:p>
    <w:p w:rsidR="008B7966" w:rsidRPr="0074708C" w:rsidRDefault="008B7966" w:rsidP="008B796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8B7966" w:rsidRPr="00E0618D" w:rsidRDefault="008B7966" w:rsidP="008B7966">
      <w:pPr>
        <w:jc w:val="center"/>
        <w:rPr>
          <w:rStyle w:val="Strong"/>
        </w:rPr>
      </w:pPr>
    </w:p>
    <w:p w:rsidR="008B7966" w:rsidRPr="0074708C" w:rsidRDefault="008B7966" w:rsidP="008B7966">
      <w:pPr>
        <w:jc w:val="center"/>
        <w:rPr>
          <w:b/>
          <w:bCs/>
          <w:sz w:val="40"/>
          <w:szCs w:val="40"/>
        </w:rPr>
      </w:pPr>
      <w:r w:rsidRPr="0074708C">
        <w:rPr>
          <w:b/>
          <w:bCs/>
          <w:sz w:val="40"/>
          <w:szCs w:val="40"/>
        </w:rPr>
        <w:t>Externally set task 2017</w:t>
      </w:r>
    </w:p>
    <w:p w:rsidR="008B7966" w:rsidRDefault="008B7966" w:rsidP="008B7966">
      <w:pPr>
        <w:rPr>
          <w:b/>
          <w:bCs/>
          <w:sz w:val="44"/>
          <w:szCs w:val="44"/>
        </w:rPr>
      </w:pPr>
    </w:p>
    <w:p w:rsidR="00581506" w:rsidRDefault="00581506" w:rsidP="008B7966">
      <w:pPr>
        <w:rPr>
          <w:b/>
          <w:bCs/>
          <w:sz w:val="44"/>
          <w:szCs w:val="44"/>
        </w:rPr>
      </w:pPr>
    </w:p>
    <w:p w:rsidR="008B7966" w:rsidRDefault="008B7966" w:rsidP="008B7966">
      <w:pPr>
        <w:rPr>
          <w:b/>
          <w:bCs/>
          <w:sz w:val="44"/>
          <w:szCs w:val="44"/>
        </w:rPr>
      </w:pPr>
    </w:p>
    <w:p w:rsidR="008B7966" w:rsidRDefault="008B7966" w:rsidP="008B7966">
      <w:pPr>
        <w:rPr>
          <w:b/>
          <w:bCs/>
          <w:sz w:val="44"/>
          <w:szCs w:val="44"/>
        </w:rPr>
      </w:pPr>
    </w:p>
    <w:p w:rsidR="008B7966" w:rsidRDefault="008B7966" w:rsidP="008B7966">
      <w:pPr>
        <w:rPr>
          <w:b/>
          <w:bCs/>
          <w:sz w:val="44"/>
          <w:szCs w:val="44"/>
        </w:rPr>
      </w:pPr>
    </w:p>
    <w:p w:rsidR="008B7966" w:rsidRPr="0074708C" w:rsidRDefault="008B7966" w:rsidP="008B796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1F762BA8" wp14:editId="13759A69">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8B7966" w:rsidRPr="002A6754" w:rsidRDefault="008B7966" w:rsidP="008B7966">
                            <w:pPr>
                              <w:spacing w:after="0"/>
                            </w:pPr>
                            <w:r w:rsidRPr="002A6754">
                              <w:t xml:space="preserve">This document is an extract from the </w:t>
                            </w:r>
                            <w:r w:rsidRPr="008B7966">
                              <w:rPr>
                                <w:i/>
                              </w:rPr>
                              <w:t xml:space="preserve">Accounting and Finance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8B7966" w:rsidRPr="002A6754" w:rsidRDefault="008B7966" w:rsidP="008B7966">
                            <w:pPr>
                              <w:spacing w:after="0"/>
                            </w:pPr>
                          </w:p>
                          <w:p w:rsidR="008B7966" w:rsidRPr="002A6754" w:rsidRDefault="008B7966" w:rsidP="008B796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8B7966" w:rsidRPr="002A6754" w:rsidRDefault="008B7966" w:rsidP="008B7966">
                            <w:pPr>
                              <w:spacing w:after="0"/>
                            </w:pPr>
                          </w:p>
                          <w:p w:rsidR="008B7966" w:rsidRPr="002A6754" w:rsidRDefault="008B7966" w:rsidP="008B796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2BA8"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8B7966" w:rsidRPr="002A6754" w:rsidRDefault="008B7966" w:rsidP="008B7966">
                      <w:pPr>
                        <w:spacing w:after="0"/>
                      </w:pPr>
                      <w:r w:rsidRPr="002A6754">
                        <w:t xml:space="preserve">This document is an extract from the </w:t>
                      </w:r>
                      <w:r w:rsidRPr="008B7966">
                        <w:rPr>
                          <w:i/>
                        </w:rPr>
                        <w:t xml:space="preserve">Accounting and Finance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8B7966" w:rsidRPr="002A6754" w:rsidRDefault="008B7966" w:rsidP="008B7966">
                      <w:pPr>
                        <w:spacing w:after="0"/>
                      </w:pPr>
                    </w:p>
                    <w:p w:rsidR="008B7966" w:rsidRPr="002A6754" w:rsidRDefault="008B7966" w:rsidP="008B796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8B7966" w:rsidRPr="002A6754" w:rsidRDefault="008B7966" w:rsidP="008B7966">
                      <w:pPr>
                        <w:spacing w:after="0"/>
                      </w:pPr>
                    </w:p>
                    <w:p w:rsidR="008B7966" w:rsidRPr="002A6754" w:rsidRDefault="008B7966" w:rsidP="008B796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B7966" w:rsidRDefault="008B7966">
      <w:pPr>
        <w:spacing w:line="276" w:lineRule="auto"/>
        <w:rPr>
          <w:rFonts w:asciiTheme="majorHAnsi" w:eastAsiaTheme="majorEastAsia" w:hAnsiTheme="majorHAnsi" w:cstheme="majorBidi"/>
          <w:b/>
          <w:bCs/>
          <w:color w:val="000000" w:themeColor="text1"/>
          <w:sz w:val="40"/>
          <w:szCs w:val="28"/>
        </w:rPr>
      </w:pPr>
      <w:bookmarkStart w:id="3" w:name="_GoBack"/>
      <w:bookmarkEnd w:id="3"/>
      <w:r>
        <w:rPr>
          <w:color w:val="000000" w:themeColor="text1"/>
        </w:rPr>
        <w:br w:type="page"/>
      </w:r>
    </w:p>
    <w:p w:rsidR="008743F4" w:rsidRPr="003566C9" w:rsidRDefault="008743F4" w:rsidP="003566C9">
      <w:pPr>
        <w:pStyle w:val="Heading1"/>
      </w:pPr>
      <w:r w:rsidRPr="00EB6AC2">
        <w:rPr>
          <w:color w:val="000000" w:themeColor="text1"/>
        </w:rPr>
        <w:lastRenderedPageBreak/>
        <w:t>Unit 3</w:t>
      </w:r>
      <w:bookmarkEnd w:id="0"/>
      <w:r w:rsidRPr="003566C9">
        <w:t xml:space="preserve"> </w:t>
      </w:r>
    </w:p>
    <w:p w:rsidR="00E44502" w:rsidRPr="003566C9" w:rsidRDefault="00E44502" w:rsidP="006854CE">
      <w:pPr>
        <w:pStyle w:val="Heading2"/>
      </w:pPr>
      <w:bookmarkStart w:id="4" w:name="_Toc382915640"/>
      <w:r w:rsidRPr="003566C9">
        <w:t>Unit description</w:t>
      </w:r>
      <w:bookmarkEnd w:id="1"/>
      <w:bookmarkEnd w:id="4"/>
    </w:p>
    <w:p w:rsidR="00D729A2" w:rsidRPr="00D729A2" w:rsidRDefault="00D729A2" w:rsidP="00D729A2">
      <w:pPr>
        <w:pStyle w:val="Paragraph"/>
      </w:pPr>
      <w:bookmarkStart w:id="5" w:name="_Toc360700414"/>
      <w:r w:rsidRPr="00D729A2">
        <w:t xml:space="preserve">The focus for this unit is </w:t>
      </w:r>
      <w:r w:rsidR="00F2102F">
        <w:rPr>
          <w:lang w:val="en-US"/>
        </w:rPr>
        <w:t>double-</w:t>
      </w:r>
      <w:r w:rsidRPr="00D729A2">
        <w:rPr>
          <w:lang w:val="en-US"/>
        </w:rPr>
        <w:t xml:space="preserve">entry accounting </w:t>
      </w:r>
      <w:r w:rsidRPr="00D729A2">
        <w:t>for small businesses. Students apply their understanding of financial principles, systems and institutions to manage financial information and make decisions in a variety of small businesses. Students develop an understanding of the rationale for the use of particular conventions and principles and the consequences of disregarding them. Students record and process financi</w:t>
      </w:r>
      <w:r w:rsidR="00F2102F">
        <w:t>al information using the double-</w:t>
      </w:r>
      <w:r w:rsidRPr="00D729A2">
        <w:t>entry system and apply the principles of Goods and Services Tax (GST). Students learn about the various forms of business organisations adopted by small business.</w:t>
      </w:r>
    </w:p>
    <w:p w:rsidR="00D729A2" w:rsidRPr="00D729A2" w:rsidRDefault="00D729A2" w:rsidP="00D729A2">
      <w:pPr>
        <w:pStyle w:val="Paragraph"/>
      </w:pPr>
      <w:r w:rsidRPr="00D729A2">
        <w:rPr>
          <w:lang w:val="en-US"/>
        </w:rPr>
        <w:t xml:space="preserve">In implementing </w:t>
      </w:r>
      <w:r w:rsidR="003D3BA3">
        <w:rPr>
          <w:lang w:val="en-US"/>
        </w:rPr>
        <w:t>this syllabus</w:t>
      </w:r>
      <w:r w:rsidRPr="00D729A2">
        <w:rPr>
          <w:lang w:val="en-US"/>
        </w:rPr>
        <w:t>, teachers must refer to the current practices as prescribed by the Australian Accounting Standards Board and other relevant legislation.</w:t>
      </w:r>
    </w:p>
    <w:p w:rsidR="008E32B1" w:rsidRPr="003566C9" w:rsidRDefault="008E32B1" w:rsidP="006854CE">
      <w:pPr>
        <w:pStyle w:val="Heading2"/>
      </w:pPr>
      <w:bookmarkStart w:id="6" w:name="_Toc382915641"/>
      <w:bookmarkEnd w:id="5"/>
      <w:r w:rsidRPr="003566C9">
        <w:t>Unit content</w:t>
      </w:r>
      <w:bookmarkEnd w:id="2"/>
      <w:bookmarkEnd w:id="6"/>
    </w:p>
    <w:p w:rsidR="00D729A2" w:rsidRDefault="00A97B98" w:rsidP="00880079">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880079">
      <w:pPr>
        <w:spacing w:before="120" w:line="276" w:lineRule="auto"/>
      </w:pPr>
      <w:r w:rsidRPr="003566C9">
        <w:t>This unit includes the knowledge, understandings and skills described below.</w:t>
      </w:r>
    </w:p>
    <w:p w:rsidR="00A97B98" w:rsidRPr="003566C9" w:rsidRDefault="00D729A2" w:rsidP="00CC2910">
      <w:pPr>
        <w:pStyle w:val="Heading3"/>
      </w:pPr>
      <w:r w:rsidRPr="00D729A2">
        <w:t>Financial institutions and systems</w:t>
      </w:r>
    </w:p>
    <w:p w:rsidR="00D729A2" w:rsidRPr="00D729A2" w:rsidRDefault="00D729A2" w:rsidP="00D729A2">
      <w:pPr>
        <w:pStyle w:val="Paragraph"/>
        <w:rPr>
          <w:b/>
        </w:rPr>
      </w:pPr>
      <w:r w:rsidRPr="00D729A2">
        <w:rPr>
          <w:b/>
        </w:rPr>
        <w:t xml:space="preserve">Financial institutions </w:t>
      </w:r>
    </w:p>
    <w:p w:rsidR="00D729A2" w:rsidRPr="00D729A2" w:rsidRDefault="00D729A2" w:rsidP="00D729A2">
      <w:pPr>
        <w:pStyle w:val="ListItem"/>
      </w:pPr>
      <w:r w:rsidRPr="00D729A2">
        <w:t xml:space="preserve">sources of finance, other than equity, available to small businesses </w:t>
      </w:r>
    </w:p>
    <w:p w:rsidR="00D729A2" w:rsidRPr="00D729A2" w:rsidRDefault="00D729A2" w:rsidP="00D729A2">
      <w:pPr>
        <w:pStyle w:val="ListItem"/>
      </w:pPr>
      <w:r w:rsidRPr="00D729A2">
        <w:t xml:space="preserve">advantages and disadvantages of these sources of finance </w:t>
      </w:r>
    </w:p>
    <w:p w:rsidR="00D729A2" w:rsidRPr="00D729A2" w:rsidRDefault="00D729A2" w:rsidP="00D729A2">
      <w:pPr>
        <w:pStyle w:val="ListItem"/>
        <w:spacing w:after="0"/>
      </w:pPr>
      <w:r w:rsidRPr="00D729A2">
        <w:t xml:space="preserve">factors </w:t>
      </w:r>
      <w:r w:rsidR="003D3BA3">
        <w:t xml:space="preserve">considered by </w:t>
      </w:r>
      <w:r w:rsidRPr="00D729A2">
        <w:t>financial institutions when approving finance</w:t>
      </w:r>
    </w:p>
    <w:p w:rsidR="003D3BA3"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risk (collateral, liqu</w:t>
      </w:r>
      <w:r w:rsidR="003D3BA3">
        <w:rPr>
          <w:rFonts w:ascii="Calibri" w:hAnsi="Calibri" w:cs="Arial"/>
          <w:szCs w:val="22"/>
        </w:rPr>
        <w:t>idity, history, guarantors)</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return (interest rate, future business)</w:t>
      </w:r>
    </w:p>
    <w:p w:rsidR="00A97B98" w:rsidRPr="003566C9" w:rsidRDefault="00D729A2" w:rsidP="00330625">
      <w:pPr>
        <w:pStyle w:val="Heading3"/>
      </w:pPr>
      <w:r w:rsidRPr="00D729A2">
        <w:t>Financial sys</w:t>
      </w:r>
      <w:r>
        <w:t>tems and fundamental principles</w:t>
      </w:r>
    </w:p>
    <w:p w:rsidR="00D729A2" w:rsidRPr="00D729A2" w:rsidRDefault="00D729A2" w:rsidP="00D729A2">
      <w:pPr>
        <w:pStyle w:val="ListItem"/>
        <w:spacing w:after="0"/>
      </w:pPr>
      <w:r w:rsidRPr="00D729A2">
        <w:t>characteristics of the main types of small business ownership: sole trader, partnership and small proprietary company</w:t>
      </w:r>
      <w:r w:rsidR="00C846AE">
        <w:t>,</w:t>
      </w:r>
      <w:r w:rsidRPr="00D729A2">
        <w:t xml:space="preserve"> including:</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number of owners</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liability of owners</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ability to raise capital or borrow funds</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distribution of profits</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transfer of ownership</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separate accounting or legal entity</w:t>
      </w:r>
    </w:p>
    <w:p w:rsidR="00D729A2" w:rsidRPr="00D729A2" w:rsidRDefault="00D729A2" w:rsidP="008922C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continuity of existence</w:t>
      </w:r>
    </w:p>
    <w:p w:rsidR="00D729A2" w:rsidRPr="00D729A2" w:rsidRDefault="00D729A2" w:rsidP="00D729A2">
      <w:pPr>
        <w:pStyle w:val="ListItem"/>
        <w:spacing w:after="0"/>
      </w:pPr>
      <w:r w:rsidRPr="00D729A2">
        <w:t>advantages and disadvantages of the main types of small business ownership</w:t>
      </w:r>
    </w:p>
    <w:p w:rsidR="00D729A2" w:rsidRPr="00D729A2" w:rsidRDefault="00D729A2" w:rsidP="00D729A2">
      <w:pPr>
        <w:pStyle w:val="ListItem"/>
        <w:spacing w:after="0"/>
      </w:pPr>
      <w:r w:rsidRPr="00D729A2">
        <w:t>different types and characteristics of business undertakings</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manufacturing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trading/retailing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service providing</w:t>
      </w:r>
    </w:p>
    <w:p w:rsidR="00D729A2" w:rsidRPr="00D729A2" w:rsidRDefault="00D729A2" w:rsidP="008D1B0D">
      <w:pPr>
        <w:pStyle w:val="ListItem"/>
        <w:shd w:val="clear" w:color="auto" w:fill="D9D9D9" w:themeFill="background1" w:themeFillShade="D9"/>
        <w:spacing w:after="0"/>
      </w:pPr>
      <w:r w:rsidRPr="00D729A2">
        <w:lastRenderedPageBreak/>
        <w:t>fundamental concepts and conventions of financial accounting</w:t>
      </w:r>
      <w:r w:rsidR="00F2102F">
        <w:t>,</w:t>
      </w:r>
      <w:r w:rsidRPr="00D729A2">
        <w:t xml:space="preserve"> including:</w:t>
      </w:r>
    </w:p>
    <w:p w:rsidR="00D729A2" w:rsidRPr="00D729A2" w:rsidRDefault="00D729A2" w:rsidP="00000620">
      <w:pPr>
        <w:numPr>
          <w:ilvl w:val="1"/>
          <w:numId w:val="3"/>
        </w:numPr>
        <w:spacing w:after="0" w:line="276" w:lineRule="auto"/>
        <w:ind w:left="653" w:right="-79" w:hanging="284"/>
        <w:rPr>
          <w:rFonts w:eastAsia="Times New Roman" w:cs="Calibri"/>
        </w:rPr>
      </w:pPr>
      <w:r w:rsidRPr="00D729A2">
        <w:rPr>
          <w:rFonts w:eastAsia="Times New Roman" w:cs="Calibri"/>
        </w:rPr>
        <w:t>the accounting equation</w:t>
      </w:r>
    </w:p>
    <w:p w:rsidR="00D729A2" w:rsidRPr="00D729A2" w:rsidRDefault="00F2102F" w:rsidP="008D1B0D">
      <w:pPr>
        <w:numPr>
          <w:ilvl w:val="1"/>
          <w:numId w:val="3"/>
        </w:numPr>
        <w:shd w:val="clear" w:color="auto" w:fill="D9D9D9" w:themeFill="background1" w:themeFillShade="D9"/>
        <w:spacing w:after="0" w:line="276" w:lineRule="auto"/>
        <w:ind w:left="653" w:right="-79" w:hanging="284"/>
        <w:rPr>
          <w:rFonts w:eastAsia="Times New Roman" w:cs="Calibri"/>
        </w:rPr>
      </w:pPr>
      <w:r>
        <w:rPr>
          <w:rFonts w:eastAsia="Times New Roman" w:cs="Calibri"/>
        </w:rPr>
        <w:t>double-</w:t>
      </w:r>
      <w:r w:rsidR="00D729A2" w:rsidRPr="00D729A2">
        <w:rPr>
          <w:rFonts w:eastAsia="Times New Roman" w:cs="Calibri"/>
        </w:rPr>
        <w:t>entry accounting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the accounting cycle: documents, journals, ledger, adjusting entries, closing entries and financial statements</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principles of the perpetual inventory system</w:t>
      </w:r>
    </w:p>
    <w:p w:rsidR="00D729A2" w:rsidRPr="00D729A2" w:rsidRDefault="00D729A2" w:rsidP="00D729A2">
      <w:pPr>
        <w:pStyle w:val="ListItem"/>
        <w:spacing w:after="0"/>
      </w:pPr>
      <w:r w:rsidRPr="00D729A2">
        <w:t>principles and features of the GST</w:t>
      </w:r>
      <w:r w:rsidR="00C846AE">
        <w:t>,</w:t>
      </w:r>
      <w:r w:rsidRPr="00D729A2">
        <w:t xml:space="preserve"> including: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taxable supplies, GST-free supplies and input taxed supplies</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accounting and reporting for the GST</w:t>
      </w:r>
      <w:r w:rsidR="00A0784D">
        <w:rPr>
          <w:rFonts w:eastAsia="Times New Roman" w:cs="Calibri"/>
        </w:rPr>
        <w:t>,</w:t>
      </w:r>
      <w:r w:rsidRPr="00D729A2">
        <w:rPr>
          <w:rFonts w:eastAsia="Times New Roman" w:cs="Calibri"/>
        </w:rPr>
        <w:t xml:space="preserve"> including the </w:t>
      </w:r>
      <w:r w:rsidR="00A0784D">
        <w:rPr>
          <w:rFonts w:eastAsia="Times New Roman" w:cs="Calibri"/>
        </w:rPr>
        <w:t>b</w:t>
      </w:r>
      <w:r w:rsidR="002F51EE">
        <w:rPr>
          <w:rFonts w:eastAsia="Times New Roman" w:cs="Calibri"/>
        </w:rPr>
        <w:t xml:space="preserve">usiness </w:t>
      </w:r>
      <w:r w:rsidR="00A0784D">
        <w:rPr>
          <w:rFonts w:eastAsia="Times New Roman" w:cs="Calibri"/>
        </w:rPr>
        <w:t>a</w:t>
      </w:r>
      <w:r w:rsidR="002F51EE">
        <w:rPr>
          <w:rFonts w:eastAsia="Times New Roman" w:cs="Calibri"/>
        </w:rPr>
        <w:t xml:space="preserve">ctivity </w:t>
      </w:r>
      <w:r w:rsidR="00A0784D">
        <w:rPr>
          <w:rFonts w:eastAsia="Times New Roman" w:cs="Calibri"/>
        </w:rPr>
        <w:t>s</w:t>
      </w:r>
      <w:r w:rsidR="002F51EE">
        <w:rPr>
          <w:rFonts w:eastAsia="Times New Roman" w:cs="Calibri"/>
        </w:rPr>
        <w:t>tatement (</w:t>
      </w:r>
      <w:r w:rsidRPr="00D729A2">
        <w:rPr>
          <w:rFonts w:eastAsia="Times New Roman" w:cs="Calibri"/>
        </w:rPr>
        <w:t>BAS</w:t>
      </w:r>
      <w:r w:rsidR="002F51EE">
        <w:rPr>
          <w:rFonts w:eastAsia="Times New Roman" w:cs="Calibri"/>
        </w:rPr>
        <w:t>)</w:t>
      </w:r>
    </w:p>
    <w:p w:rsidR="00D729A2" w:rsidRPr="00D729A2" w:rsidRDefault="00D729A2" w:rsidP="00D729A2">
      <w:pPr>
        <w:pStyle w:val="ListItem"/>
        <w:spacing w:after="0"/>
      </w:pPr>
      <w:r w:rsidRPr="00D729A2">
        <w:t>accepted accounting principles and conventions</w:t>
      </w:r>
      <w:r w:rsidR="00C846AE">
        <w:t>,</w:t>
      </w:r>
      <w:r w:rsidRPr="00D729A2">
        <w:t xml:space="preserve"> including: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accounting entity</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monetary</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historical cost</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 xml:space="preserve">materiality </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accounting period</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going concern</w:t>
      </w:r>
    </w:p>
    <w:p w:rsidR="00D729A2" w:rsidRPr="00D729A2" w:rsidRDefault="00D729A2" w:rsidP="00D729A2">
      <w:pPr>
        <w:pStyle w:val="ListItem"/>
        <w:spacing w:after="0"/>
      </w:pPr>
      <w:r w:rsidRPr="00D729A2">
        <w:t>perpetual versus periodic inventory methods</w:t>
      </w:r>
    </w:p>
    <w:p w:rsidR="00D729A2" w:rsidRPr="00D729A2" w:rsidRDefault="00D729A2" w:rsidP="00803497">
      <w:pPr>
        <w:pStyle w:val="ListItem"/>
        <w:spacing w:after="0"/>
      </w:pPr>
      <w:r w:rsidRPr="00D729A2">
        <w:t xml:space="preserve">purpose of trial balance </w:t>
      </w:r>
    </w:p>
    <w:p w:rsidR="00D729A2" w:rsidRPr="00D729A2" w:rsidRDefault="00D729A2" w:rsidP="00803497">
      <w:pPr>
        <w:numPr>
          <w:ilvl w:val="1"/>
          <w:numId w:val="3"/>
        </w:numPr>
        <w:spacing w:after="0" w:line="276" w:lineRule="auto"/>
        <w:ind w:left="653" w:right="-79" w:hanging="284"/>
        <w:rPr>
          <w:rFonts w:eastAsia="Times New Roman" w:cs="Calibri"/>
        </w:rPr>
      </w:pPr>
      <w:r w:rsidRPr="00D729A2">
        <w:rPr>
          <w:rFonts w:eastAsia="Times New Roman" w:cs="Calibri"/>
        </w:rPr>
        <w:t>errors disclosed/not disclosed by trial balance</w:t>
      </w:r>
    </w:p>
    <w:p w:rsidR="003D3BA3" w:rsidRPr="003D3BA3" w:rsidRDefault="003D3BA3" w:rsidP="003D3BA3">
      <w:pPr>
        <w:pStyle w:val="ListItem"/>
        <w:spacing w:after="0"/>
        <w:rPr>
          <w:i/>
        </w:rPr>
      </w:pPr>
      <w:r>
        <w:t xml:space="preserve">definition of the </w:t>
      </w:r>
      <w:r w:rsidR="00D729A2" w:rsidRPr="00D729A2">
        <w:t>elements</w:t>
      </w:r>
      <w:r>
        <w:t xml:space="preserve"> of financial statements</w:t>
      </w:r>
    </w:p>
    <w:p w:rsidR="00D729A2" w:rsidRDefault="003D3BA3" w:rsidP="008922CC">
      <w:pPr>
        <w:numPr>
          <w:ilvl w:val="1"/>
          <w:numId w:val="3"/>
        </w:numPr>
        <w:spacing w:after="0" w:line="276" w:lineRule="auto"/>
        <w:ind w:left="709" w:right="-77" w:hanging="283"/>
        <w:rPr>
          <w:rFonts w:eastAsia="Times New Roman" w:cs="Calibri"/>
        </w:rPr>
      </w:pPr>
      <w:r>
        <w:rPr>
          <w:rFonts w:eastAsia="Times New Roman" w:cs="Calibri"/>
        </w:rPr>
        <w:t>assets</w:t>
      </w:r>
    </w:p>
    <w:p w:rsidR="003D3BA3" w:rsidRDefault="003D3BA3" w:rsidP="008922CC">
      <w:pPr>
        <w:numPr>
          <w:ilvl w:val="1"/>
          <w:numId w:val="3"/>
        </w:numPr>
        <w:spacing w:after="0" w:line="276" w:lineRule="auto"/>
        <w:ind w:left="709" w:right="-77" w:hanging="283"/>
        <w:rPr>
          <w:rFonts w:eastAsia="Times New Roman" w:cs="Calibri"/>
        </w:rPr>
      </w:pPr>
      <w:r>
        <w:rPr>
          <w:rFonts w:eastAsia="Times New Roman" w:cs="Calibri"/>
        </w:rPr>
        <w:t>liabilities</w:t>
      </w:r>
    </w:p>
    <w:p w:rsidR="003D3BA3" w:rsidRDefault="003D3BA3" w:rsidP="008922CC">
      <w:pPr>
        <w:numPr>
          <w:ilvl w:val="1"/>
          <w:numId w:val="3"/>
        </w:numPr>
        <w:spacing w:after="0" w:line="276" w:lineRule="auto"/>
        <w:ind w:left="709" w:right="-77" w:hanging="283"/>
        <w:rPr>
          <w:rFonts w:eastAsia="Times New Roman" w:cs="Calibri"/>
        </w:rPr>
      </w:pPr>
      <w:r>
        <w:rPr>
          <w:rFonts w:eastAsia="Times New Roman" w:cs="Calibri"/>
        </w:rPr>
        <w:t>equity</w:t>
      </w:r>
    </w:p>
    <w:p w:rsidR="003D3BA3" w:rsidRDefault="003D3BA3" w:rsidP="008922CC">
      <w:pPr>
        <w:numPr>
          <w:ilvl w:val="1"/>
          <w:numId w:val="3"/>
        </w:numPr>
        <w:spacing w:after="0" w:line="276" w:lineRule="auto"/>
        <w:ind w:left="709" w:right="-77" w:hanging="283"/>
        <w:rPr>
          <w:rFonts w:eastAsia="Times New Roman" w:cs="Calibri"/>
        </w:rPr>
      </w:pPr>
      <w:r>
        <w:rPr>
          <w:rFonts w:eastAsia="Times New Roman" w:cs="Calibri"/>
        </w:rPr>
        <w:t>income</w:t>
      </w:r>
    </w:p>
    <w:p w:rsidR="003D3BA3" w:rsidRPr="00D729A2" w:rsidRDefault="003D3BA3" w:rsidP="008922CC">
      <w:pPr>
        <w:numPr>
          <w:ilvl w:val="1"/>
          <w:numId w:val="3"/>
        </w:numPr>
        <w:spacing w:after="0" w:line="276" w:lineRule="auto"/>
        <w:ind w:left="709" w:right="-77" w:hanging="283"/>
        <w:rPr>
          <w:rFonts w:eastAsia="Times New Roman" w:cs="Calibri"/>
        </w:rPr>
      </w:pPr>
      <w:r>
        <w:rPr>
          <w:rFonts w:eastAsia="Times New Roman" w:cs="Calibri"/>
        </w:rPr>
        <w:t>expenses</w:t>
      </w:r>
    </w:p>
    <w:p w:rsidR="00D729A2" w:rsidRPr="00D729A2" w:rsidRDefault="00D729A2" w:rsidP="00D729A2">
      <w:pPr>
        <w:pStyle w:val="ListItem"/>
        <w:spacing w:after="0"/>
      </w:pPr>
      <w:r w:rsidRPr="00D729A2">
        <w:t>purpose of financial statements</w:t>
      </w:r>
      <w:r w:rsidR="00C846AE">
        <w:t>,</w:t>
      </w:r>
      <w:r w:rsidRPr="00D729A2">
        <w:t xml:space="preserve"> including:</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performance</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financial position</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liquidity</w:t>
      </w:r>
    </w:p>
    <w:p w:rsidR="00A97B98" w:rsidRPr="003566C9" w:rsidRDefault="00D729A2" w:rsidP="00330625">
      <w:pPr>
        <w:pStyle w:val="Heading3"/>
      </w:pPr>
      <w:r w:rsidRPr="00D729A2">
        <w:t>Recording, using and evaluating financial information</w:t>
      </w:r>
    </w:p>
    <w:p w:rsidR="00D729A2" w:rsidRPr="00D729A2" w:rsidRDefault="00D729A2" w:rsidP="0058541E">
      <w:pPr>
        <w:shd w:val="clear" w:color="auto" w:fill="D9D9D9" w:themeFill="background1" w:themeFillShade="D9"/>
        <w:spacing w:before="120" w:line="276" w:lineRule="auto"/>
        <w:rPr>
          <w:rFonts w:eastAsia="Calibri" w:cs="Calibri"/>
          <w:b/>
          <w:lang w:val="en-US" w:eastAsia="en-AU"/>
        </w:rPr>
      </w:pPr>
      <w:r w:rsidRPr="00D729A2">
        <w:rPr>
          <w:rFonts w:eastAsia="Calibri" w:cs="Calibri"/>
          <w:b/>
          <w:lang w:eastAsia="en-AU"/>
        </w:rPr>
        <w:t xml:space="preserve">Recording, processing and communicating financial information </w:t>
      </w:r>
    </w:p>
    <w:p w:rsidR="00D729A2" w:rsidRPr="00D729A2" w:rsidRDefault="00D729A2" w:rsidP="00D729A2">
      <w:pPr>
        <w:pStyle w:val="ListItem"/>
        <w:spacing w:after="0"/>
      </w:pPr>
      <w:r w:rsidRPr="00000620">
        <w:rPr>
          <w:shd w:val="clear" w:color="auto" w:fill="D9D9D9" w:themeFill="background1" w:themeFillShade="D9"/>
        </w:rPr>
        <w:t>calculation of the GST receivable or payable</w:t>
      </w:r>
    </w:p>
    <w:p w:rsidR="00D729A2" w:rsidRPr="00D729A2" w:rsidRDefault="00D729A2" w:rsidP="008D1B0D">
      <w:pPr>
        <w:pStyle w:val="ListItem"/>
        <w:shd w:val="clear" w:color="auto" w:fill="D9D9D9" w:themeFill="background1" w:themeFillShade="D9"/>
        <w:spacing w:after="0"/>
      </w:pPr>
      <w:r w:rsidRPr="00D729A2">
        <w:t>manual preparation of the general journal and general ledger</w:t>
      </w:r>
      <w:r w:rsidR="00E72C1A">
        <w:t xml:space="preserve"> </w:t>
      </w:r>
      <w:r w:rsidRPr="00D729A2">
        <w:t>(including GST) to include:</w:t>
      </w:r>
    </w:p>
    <w:p w:rsidR="00D729A2" w:rsidRPr="00D729A2" w:rsidRDefault="00D729A2" w:rsidP="00000620">
      <w:pPr>
        <w:numPr>
          <w:ilvl w:val="1"/>
          <w:numId w:val="3"/>
        </w:numPr>
        <w:spacing w:after="0" w:line="276" w:lineRule="auto"/>
        <w:ind w:left="653" w:right="-79" w:hanging="284"/>
        <w:rPr>
          <w:rFonts w:eastAsia="Times New Roman" w:cs="Calibri"/>
        </w:rPr>
      </w:pPr>
      <w:r w:rsidRPr="00D729A2">
        <w:rPr>
          <w:rFonts w:eastAsia="Times New Roman" w:cs="Calibri"/>
        </w:rPr>
        <w:t>entries to commence business</w:t>
      </w:r>
    </w:p>
    <w:p w:rsidR="00D729A2" w:rsidRPr="00D729A2" w:rsidRDefault="00D729A2" w:rsidP="008D1B0D">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cash and credit transactions to include cash receipts, cash payments, sales, purchases, sales returns, purchases returns, discount allowed</w:t>
      </w:r>
      <w:r w:rsidR="004334B6">
        <w:rPr>
          <w:rFonts w:eastAsia="Times New Roman" w:cs="Calibri"/>
        </w:rPr>
        <w:t xml:space="preserve"> and</w:t>
      </w:r>
      <w:r w:rsidRPr="00D729A2">
        <w:rPr>
          <w:rFonts w:eastAsia="Times New Roman" w:cs="Calibri"/>
        </w:rPr>
        <w:t xml:space="preserve"> discount received</w:t>
      </w:r>
    </w:p>
    <w:p w:rsidR="00D729A2" w:rsidRPr="00D729A2" w:rsidRDefault="00D729A2" w:rsidP="00000620">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 xml:space="preserve">perpetual inventory system </w:t>
      </w:r>
      <w:r w:rsidR="00E72C1A">
        <w:rPr>
          <w:rFonts w:eastAsia="Times New Roman" w:cs="Calibri"/>
        </w:rPr>
        <w:t>given the cost of sales (Note: there is n</w:t>
      </w:r>
      <w:r w:rsidRPr="00D729A2">
        <w:rPr>
          <w:rFonts w:eastAsia="Times New Roman" w:cs="Calibri"/>
        </w:rPr>
        <w:t>o requirement to teach inventory costing systems</w:t>
      </w:r>
      <w:r w:rsidR="00C03FE2">
        <w:rPr>
          <w:rFonts w:eastAsia="Times New Roman" w:cs="Calibri"/>
        </w:rPr>
        <w:t>,</w:t>
      </w:r>
      <w:r w:rsidRPr="00D729A2">
        <w:rPr>
          <w:rFonts w:eastAsia="Times New Roman" w:cs="Calibri"/>
        </w:rPr>
        <w:t xml:space="preserve"> such as Last-in First-out, First-in First-out and weighted average)</w:t>
      </w:r>
    </w:p>
    <w:p w:rsidR="00D729A2" w:rsidRPr="00D729A2" w:rsidRDefault="00D729A2" w:rsidP="008D1B0D">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purchase of non-current assets</w:t>
      </w:r>
    </w:p>
    <w:p w:rsidR="00D729A2" w:rsidRPr="00D729A2" w:rsidRDefault="00D729A2" w:rsidP="008D1B0D">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write-off bad debts</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lastRenderedPageBreak/>
        <w:t>withdrawal of inventory or cash by the proprietor</w:t>
      </w:r>
    </w:p>
    <w:p w:rsidR="00D729A2" w:rsidRPr="00D729A2" w:rsidRDefault="00D729A2" w:rsidP="00803497">
      <w:pPr>
        <w:numPr>
          <w:ilvl w:val="1"/>
          <w:numId w:val="3"/>
        </w:numPr>
        <w:spacing w:after="0" w:line="276" w:lineRule="auto"/>
        <w:ind w:left="653" w:right="-79" w:hanging="284"/>
        <w:rPr>
          <w:rFonts w:eastAsia="Times New Roman" w:cs="Calibri"/>
        </w:rPr>
      </w:pPr>
      <w:r w:rsidRPr="00D729A2">
        <w:rPr>
          <w:rFonts w:eastAsia="Times New Roman" w:cs="Calibri"/>
        </w:rPr>
        <w:t>correction of errors</w:t>
      </w:r>
    </w:p>
    <w:p w:rsidR="00D729A2" w:rsidRPr="00D729A2" w:rsidRDefault="00D729A2" w:rsidP="008922CC">
      <w:pPr>
        <w:numPr>
          <w:ilvl w:val="1"/>
          <w:numId w:val="3"/>
        </w:numPr>
        <w:spacing w:after="0" w:line="276" w:lineRule="auto"/>
        <w:ind w:left="653" w:right="-79" w:hanging="284"/>
        <w:rPr>
          <w:rFonts w:eastAsia="Times New Roman" w:cs="Calibri"/>
        </w:rPr>
      </w:pPr>
      <w:r w:rsidRPr="00D729A2">
        <w:rPr>
          <w:rFonts w:eastAsia="Times New Roman" w:cs="Calibri"/>
        </w:rPr>
        <w:t xml:space="preserve">closing entries </w:t>
      </w:r>
    </w:p>
    <w:p w:rsidR="00D729A2" w:rsidRPr="00D729A2" w:rsidRDefault="00D729A2" w:rsidP="00000620">
      <w:pPr>
        <w:pStyle w:val="ListItem"/>
        <w:spacing w:after="0"/>
      </w:pPr>
      <w:r w:rsidRPr="00D729A2">
        <w:t>manual preparation of trial balance</w:t>
      </w:r>
    </w:p>
    <w:p w:rsidR="00D729A2" w:rsidRPr="00D729A2" w:rsidRDefault="00D729A2" w:rsidP="008D1B0D">
      <w:pPr>
        <w:pStyle w:val="ListItem"/>
        <w:shd w:val="clear" w:color="auto" w:fill="D9D9D9" w:themeFill="background1" w:themeFillShade="D9"/>
        <w:spacing w:after="0"/>
      </w:pPr>
      <w:r w:rsidRPr="00D729A2">
        <w:t>manual preparation of simple classified financial statements for a sole trader excluding balance day adjustments</w:t>
      </w:r>
    </w:p>
    <w:p w:rsidR="00D729A2" w:rsidRPr="00D729A2" w:rsidRDefault="00D729A2" w:rsidP="008D1B0D">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 xml:space="preserve">income statements </w:t>
      </w:r>
    </w:p>
    <w:p w:rsidR="00D729A2" w:rsidRPr="00D729A2" w:rsidRDefault="00D729A2" w:rsidP="008D1B0D">
      <w:pPr>
        <w:numPr>
          <w:ilvl w:val="1"/>
          <w:numId w:val="3"/>
        </w:numPr>
        <w:shd w:val="clear" w:color="auto" w:fill="D9D9D9" w:themeFill="background1" w:themeFillShade="D9"/>
        <w:spacing w:after="0" w:line="276" w:lineRule="auto"/>
        <w:ind w:left="653" w:right="-79" w:hanging="284"/>
        <w:rPr>
          <w:rFonts w:eastAsia="Times New Roman" w:cs="Calibri"/>
        </w:rPr>
      </w:pPr>
      <w:r w:rsidRPr="00D729A2">
        <w:rPr>
          <w:rFonts w:eastAsia="Times New Roman" w:cs="Calibri"/>
        </w:rPr>
        <w:t>balance sheet (statement of financial position) for a trading/merchandising/service business</w:t>
      </w:r>
    </w:p>
    <w:p w:rsidR="00D729A2" w:rsidRPr="00D729A2" w:rsidRDefault="00D729A2" w:rsidP="00D729A2">
      <w:pPr>
        <w:spacing w:before="120" w:line="276" w:lineRule="auto"/>
        <w:rPr>
          <w:rFonts w:eastAsia="Calibri" w:cs="Calibri"/>
          <w:b/>
          <w:lang w:eastAsia="en-AU"/>
        </w:rPr>
      </w:pPr>
      <w:r w:rsidRPr="00D729A2">
        <w:rPr>
          <w:rFonts w:eastAsia="Calibri" w:cs="Calibri"/>
          <w:b/>
          <w:lang w:eastAsia="en-AU"/>
        </w:rPr>
        <w:t>Evaluating financial information for</w:t>
      </w:r>
      <w:r w:rsidRPr="00D729A2">
        <w:rPr>
          <w:rFonts w:eastAsia="Calibri" w:cs="Calibri"/>
          <w:b/>
          <w:lang w:val="en-US" w:eastAsia="en-AU"/>
        </w:rPr>
        <w:t xml:space="preserve"> planning, coordinating, controlling and investing</w:t>
      </w:r>
    </w:p>
    <w:p w:rsidR="00D729A2" w:rsidRPr="00D729A2" w:rsidRDefault="00D729A2" w:rsidP="00D729A2">
      <w:pPr>
        <w:pStyle w:val="ListItem"/>
        <w:spacing w:after="0"/>
      </w:pPr>
      <w:r w:rsidRPr="00D729A2">
        <w:t>principles of internal control</w:t>
      </w:r>
    </w:p>
    <w:p w:rsidR="00D729A2" w:rsidRPr="00D729A2" w:rsidRDefault="00D729A2" w:rsidP="00D729A2">
      <w:pPr>
        <w:pStyle w:val="ListItem"/>
        <w:spacing w:after="0"/>
      </w:pPr>
      <w:r w:rsidRPr="00D729A2">
        <w:t>application of the principles of internal control over cash, inventory, accounts receivable, accounts payable and non-current assets</w:t>
      </w:r>
    </w:p>
    <w:p w:rsidR="00D729A2" w:rsidRPr="00D729A2" w:rsidRDefault="00D729A2" w:rsidP="00D729A2">
      <w:pPr>
        <w:pStyle w:val="ListItem"/>
        <w:spacing w:after="0"/>
      </w:pPr>
      <w:r w:rsidRPr="00D729A2">
        <w:t>limitations of internal control</w:t>
      </w:r>
    </w:p>
    <w:p w:rsidR="00C86E69" w:rsidRPr="00C86E69" w:rsidRDefault="00C86E69" w:rsidP="00330625">
      <w:pPr>
        <w:pStyle w:val="Heading3"/>
      </w:pPr>
      <w:r w:rsidRPr="00C86E69">
        <w:t>Government and the community</w:t>
      </w:r>
    </w:p>
    <w:p w:rsidR="00C86E69" w:rsidRPr="00C86E69" w:rsidRDefault="00C86E69" w:rsidP="00C86E69">
      <w:pPr>
        <w:pStyle w:val="Paragraph"/>
        <w:rPr>
          <w:b/>
        </w:rPr>
      </w:pPr>
      <w:r w:rsidRPr="00C86E69">
        <w:rPr>
          <w:b/>
        </w:rPr>
        <w:t>The role and influence of governments and other bodies</w:t>
      </w:r>
    </w:p>
    <w:p w:rsidR="003D3BA3" w:rsidRDefault="00C86E69" w:rsidP="00C86E69">
      <w:pPr>
        <w:pStyle w:val="ListItem"/>
        <w:spacing w:after="0"/>
      </w:pPr>
      <w:r w:rsidRPr="00C86E69">
        <w:t>legislation relating to the formation of sole traders and partnership</w:t>
      </w:r>
      <w:r w:rsidR="00AF72A2">
        <w:t>,</w:t>
      </w:r>
      <w:r w:rsidRPr="00C86E69">
        <w:t xml:space="preserve"> including</w:t>
      </w:r>
      <w:r w:rsidR="003D3BA3">
        <w:t>:</w:t>
      </w:r>
    </w:p>
    <w:p w:rsidR="003D3BA3" w:rsidRDefault="00C86E69" w:rsidP="003D3BA3">
      <w:pPr>
        <w:numPr>
          <w:ilvl w:val="1"/>
          <w:numId w:val="3"/>
        </w:numPr>
        <w:spacing w:after="0" w:line="276" w:lineRule="auto"/>
        <w:ind w:left="653" w:right="-79" w:hanging="284"/>
      </w:pPr>
      <w:r w:rsidRPr="00C86E69">
        <w:rPr>
          <w:i/>
        </w:rPr>
        <w:t>GST Act 1999</w:t>
      </w:r>
      <w:r w:rsidR="003D3BA3">
        <w:t xml:space="preserve"> (WA)</w:t>
      </w:r>
    </w:p>
    <w:p w:rsidR="00DD53B7" w:rsidRPr="000D17D5" w:rsidRDefault="00DD53B7" w:rsidP="00DD53B7">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Business Names </w:t>
      </w:r>
      <w:r>
        <w:rPr>
          <w:rFonts w:ascii="Calibri" w:hAnsi="Calibri" w:cs="Arial"/>
          <w:i/>
          <w:szCs w:val="22"/>
        </w:rPr>
        <w:t xml:space="preserve">Registration </w:t>
      </w:r>
      <w:r w:rsidRPr="003B7450">
        <w:rPr>
          <w:rFonts w:ascii="Calibri" w:hAnsi="Calibri" w:cs="Arial"/>
          <w:i/>
          <w:szCs w:val="22"/>
        </w:rPr>
        <w:t xml:space="preserve">Act </w:t>
      </w:r>
      <w:r>
        <w:rPr>
          <w:rFonts w:ascii="Calibri" w:hAnsi="Calibri" w:cs="Arial"/>
          <w:i/>
          <w:szCs w:val="22"/>
        </w:rPr>
        <w:t xml:space="preserve">2011 </w:t>
      </w:r>
      <w:r>
        <w:rPr>
          <w:rFonts w:ascii="Calibri" w:hAnsi="Calibri" w:cs="Arial"/>
          <w:szCs w:val="22"/>
        </w:rPr>
        <w:t>(</w:t>
      </w:r>
      <w:proofErr w:type="spellStart"/>
      <w:r>
        <w:rPr>
          <w:rFonts w:ascii="Calibri" w:hAnsi="Calibri" w:cs="Arial"/>
          <w:szCs w:val="22"/>
        </w:rPr>
        <w:t>Cth</w:t>
      </w:r>
      <w:proofErr w:type="spellEnd"/>
      <w:r w:rsidRPr="000D17D5">
        <w:rPr>
          <w:rFonts w:ascii="Calibri" w:hAnsi="Calibri" w:cs="Arial"/>
          <w:szCs w:val="22"/>
        </w:rPr>
        <w:t>)</w:t>
      </w:r>
    </w:p>
    <w:p w:rsidR="00C86E69" w:rsidRPr="00C86E69" w:rsidRDefault="00C86E69" w:rsidP="003D3BA3">
      <w:pPr>
        <w:numPr>
          <w:ilvl w:val="1"/>
          <w:numId w:val="3"/>
        </w:numPr>
        <w:spacing w:after="0" w:line="276" w:lineRule="auto"/>
        <w:ind w:left="653" w:right="-79" w:hanging="284"/>
      </w:pPr>
      <w:r w:rsidRPr="00C86E69">
        <w:rPr>
          <w:i/>
        </w:rPr>
        <w:t>Partnership Act 1895</w:t>
      </w:r>
      <w:r w:rsidRPr="00C86E69">
        <w:t xml:space="preserve"> (WA)</w:t>
      </w:r>
    </w:p>
    <w:p w:rsidR="00C86E69" w:rsidRPr="00C86E69" w:rsidRDefault="00C86E69" w:rsidP="00C86E69">
      <w:pPr>
        <w:pStyle w:val="ListItem"/>
        <w:spacing w:after="0"/>
      </w:pPr>
      <w:r w:rsidRPr="00C86E69">
        <w:t>the impact of GST legal requirements on small businesses</w:t>
      </w:r>
      <w:r w:rsidR="00C846AE">
        <w:t>,</w:t>
      </w:r>
      <w:r w:rsidRPr="00C86E69">
        <w:t xml:space="preserve"> including:</w:t>
      </w:r>
    </w:p>
    <w:p w:rsidR="00C86E69" w:rsidRPr="00C86E69" w:rsidRDefault="00C86E69" w:rsidP="008922CC">
      <w:pPr>
        <w:numPr>
          <w:ilvl w:val="1"/>
          <w:numId w:val="3"/>
        </w:numPr>
        <w:spacing w:after="0" w:line="276" w:lineRule="auto"/>
        <w:ind w:left="653" w:right="-79" w:hanging="284"/>
        <w:rPr>
          <w:rFonts w:eastAsia="Times New Roman" w:cs="Calibri"/>
        </w:rPr>
      </w:pPr>
      <w:r w:rsidRPr="00C86E69">
        <w:rPr>
          <w:rFonts w:eastAsia="Times New Roman" w:cs="Calibri"/>
        </w:rPr>
        <w:t>registering for GST</w:t>
      </w:r>
    </w:p>
    <w:p w:rsidR="00C86E69" w:rsidRPr="00C86E69" w:rsidRDefault="00C86E69" w:rsidP="008922CC">
      <w:pPr>
        <w:numPr>
          <w:ilvl w:val="1"/>
          <w:numId w:val="3"/>
        </w:numPr>
        <w:spacing w:after="0" w:line="276" w:lineRule="auto"/>
        <w:ind w:left="653" w:right="-79" w:hanging="284"/>
        <w:rPr>
          <w:rFonts w:eastAsia="Times New Roman" w:cs="Calibri"/>
        </w:rPr>
      </w:pPr>
      <w:r w:rsidRPr="00C86E69">
        <w:rPr>
          <w:rFonts w:eastAsia="Times New Roman" w:cs="Calibri"/>
        </w:rPr>
        <w:t>Australian Business Number (ABN)</w:t>
      </w:r>
    </w:p>
    <w:p w:rsidR="00C86E69" w:rsidRPr="00C86E69" w:rsidRDefault="00C86E69" w:rsidP="00C86E69">
      <w:pPr>
        <w:pStyle w:val="ListItem"/>
        <w:spacing w:after="0"/>
      </w:pPr>
      <w:r w:rsidRPr="00C86E69">
        <w:t xml:space="preserve">the concept of bankruptcy as defined by the </w:t>
      </w:r>
      <w:r w:rsidRPr="00C86E69">
        <w:rPr>
          <w:i/>
        </w:rPr>
        <w:t>Bankruptcy Act 1966</w:t>
      </w:r>
      <w:r w:rsidRPr="00C86E69">
        <w:t xml:space="preserve"> (WA)</w:t>
      </w:r>
    </w:p>
    <w:p w:rsidR="00C86E69" w:rsidRPr="00C86E69" w:rsidRDefault="00C86E69" w:rsidP="0058541E">
      <w:pPr>
        <w:shd w:val="clear" w:color="auto" w:fill="D9D9D9" w:themeFill="background1" w:themeFillShade="D9"/>
        <w:spacing w:before="120" w:line="276" w:lineRule="auto"/>
        <w:rPr>
          <w:rFonts w:eastAsia="Calibri" w:cs="Calibri"/>
          <w:b/>
          <w:lang w:eastAsia="en-AU"/>
        </w:rPr>
      </w:pPr>
      <w:r w:rsidRPr="00C86E69">
        <w:rPr>
          <w:rFonts w:eastAsia="Calibri" w:cs="Calibri"/>
          <w:b/>
          <w:lang w:eastAsia="en-AU"/>
        </w:rPr>
        <w:t>The influence of social, environmental and ethical factors</w:t>
      </w:r>
    </w:p>
    <w:p w:rsidR="00C86E69" w:rsidRPr="00C86E69" w:rsidRDefault="00C86E69" w:rsidP="00330625">
      <w:pPr>
        <w:pStyle w:val="ListItem"/>
        <w:shd w:val="clear" w:color="auto" w:fill="D9D9D9" w:themeFill="background1" w:themeFillShade="D9"/>
        <w:spacing w:after="0"/>
      </w:pPr>
      <w:r w:rsidRPr="00C86E69">
        <w:t>costs and benefits for small business of engaging in socially, environmentally and ethically responsible behaviour</w:t>
      </w:r>
      <w:r w:rsidR="00C846AE">
        <w:t>,</w:t>
      </w:r>
      <w:r w:rsidRPr="00C86E69">
        <w:t xml:space="preserve"> including: </w:t>
      </w:r>
    </w:p>
    <w:p w:rsidR="00C86E69" w:rsidRPr="00C86E69" w:rsidRDefault="00C86E69" w:rsidP="00330625">
      <w:pPr>
        <w:numPr>
          <w:ilvl w:val="1"/>
          <w:numId w:val="3"/>
        </w:numPr>
        <w:shd w:val="clear" w:color="auto" w:fill="D9D9D9" w:themeFill="background1" w:themeFillShade="D9"/>
        <w:spacing w:after="0" w:line="276" w:lineRule="auto"/>
        <w:ind w:left="653" w:right="-79" w:hanging="284"/>
        <w:rPr>
          <w:rFonts w:eastAsia="Times New Roman" w:cs="Calibri"/>
        </w:rPr>
      </w:pPr>
      <w:r w:rsidRPr="00C86E69">
        <w:rPr>
          <w:rFonts w:eastAsia="Times New Roman" w:cs="Calibri"/>
        </w:rPr>
        <w:t>sponsorship</w:t>
      </w:r>
    </w:p>
    <w:p w:rsidR="00C86E69" w:rsidRPr="00C86E69" w:rsidRDefault="00C86E69" w:rsidP="00330625">
      <w:pPr>
        <w:numPr>
          <w:ilvl w:val="1"/>
          <w:numId w:val="3"/>
        </w:numPr>
        <w:shd w:val="clear" w:color="auto" w:fill="D9D9D9" w:themeFill="background1" w:themeFillShade="D9"/>
        <w:spacing w:after="0" w:line="276" w:lineRule="auto"/>
        <w:ind w:left="653" w:right="-79" w:hanging="284"/>
        <w:rPr>
          <w:rFonts w:eastAsia="Times New Roman" w:cs="Calibri"/>
        </w:rPr>
      </w:pPr>
      <w:r w:rsidRPr="00C86E69">
        <w:rPr>
          <w:rFonts w:eastAsia="Times New Roman" w:cs="Calibri"/>
        </w:rPr>
        <w:t>resource conservation</w:t>
      </w:r>
    </w:p>
    <w:p w:rsidR="00C86E69" w:rsidRPr="00C86E69" w:rsidRDefault="00C86E69" w:rsidP="00330625">
      <w:pPr>
        <w:numPr>
          <w:ilvl w:val="1"/>
          <w:numId w:val="3"/>
        </w:numPr>
        <w:shd w:val="clear" w:color="auto" w:fill="D9D9D9" w:themeFill="background1" w:themeFillShade="D9"/>
        <w:spacing w:after="0" w:line="276" w:lineRule="auto"/>
        <w:ind w:left="653" w:right="-79" w:hanging="284"/>
        <w:rPr>
          <w:rFonts w:eastAsia="Times New Roman" w:cs="Calibri"/>
        </w:rPr>
      </w:pPr>
      <w:r w:rsidRPr="00C86E69">
        <w:rPr>
          <w:rFonts w:eastAsia="Times New Roman" w:cs="Calibri"/>
        </w:rPr>
        <w:t>taxation responsibility</w:t>
      </w:r>
    </w:p>
    <w:p w:rsidR="00416C3D" w:rsidRPr="003566C9" w:rsidRDefault="00416C3D" w:rsidP="00EB6AC2">
      <w:pPr>
        <w:pStyle w:val="Heading1"/>
      </w:pPr>
    </w:p>
    <w:sectPr w:rsidR="00416C3D" w:rsidRPr="003566C9" w:rsidSect="008B7966">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8C" w:rsidRDefault="0097078C" w:rsidP="00742128">
      <w:pPr>
        <w:spacing w:after="0" w:line="240" w:lineRule="auto"/>
      </w:pPr>
      <w:r>
        <w:separator/>
      </w:r>
    </w:p>
  </w:endnote>
  <w:endnote w:type="continuationSeparator" w:id="0">
    <w:p w:rsidR="0097078C" w:rsidRDefault="0097078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2F" w:rsidRPr="009E1E00" w:rsidRDefault="00F2102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66" w:rsidRPr="008B7966" w:rsidRDefault="008B7966" w:rsidP="008B7966">
    <w:pPr>
      <w:pStyle w:val="Footer"/>
      <w:tabs>
        <w:tab w:val="clear" w:pos="4513"/>
        <w:tab w:val="clear" w:pos="9026"/>
        <w:tab w:val="center" w:pos="4820"/>
        <w:tab w:val="right" w:pos="9639"/>
      </w:tabs>
    </w:pPr>
    <w:r>
      <w:rPr>
        <w:i/>
        <w:sz w:val="16"/>
      </w:rPr>
      <w:tab/>
    </w:r>
    <w:r w:rsidRPr="008B7966">
      <w:rPr>
        <w:i/>
        <w:sz w:val="16"/>
      </w:rPr>
      <w:t xml:space="preserve">Accounting and Finance </w:t>
    </w:r>
    <w:r w:rsidRPr="002A6754">
      <w:rPr>
        <w:i/>
        <w:sz w:val="16"/>
      </w:rPr>
      <w:t>General Year 12: Externally set task content 2017</w:t>
    </w:r>
    <w:r>
      <w:rPr>
        <w:i/>
        <w:sz w:val="16"/>
      </w:rPr>
      <w:tab/>
    </w:r>
    <w:r w:rsidRPr="008B7966">
      <w:rPr>
        <w:sz w:val="16"/>
      </w:rPr>
      <w:fldChar w:fldCharType="begin"/>
    </w:r>
    <w:r w:rsidRPr="008B7966">
      <w:rPr>
        <w:sz w:val="16"/>
      </w:rPr>
      <w:instrText xml:space="preserve"> PAGE   \* MERGEFORMAT </w:instrText>
    </w:r>
    <w:r w:rsidRPr="008B7966">
      <w:rPr>
        <w:sz w:val="16"/>
      </w:rPr>
      <w:fldChar w:fldCharType="separate"/>
    </w:r>
    <w:r w:rsidR="00EC40E0">
      <w:rPr>
        <w:noProof/>
        <w:sz w:val="16"/>
      </w:rPr>
      <w:t>3</w:t>
    </w:r>
    <w:r w:rsidRPr="008B7966">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66" w:rsidRDefault="00805FFF" w:rsidP="008B7966">
    <w:pPr>
      <w:pStyle w:val="Footer"/>
      <w:tabs>
        <w:tab w:val="clear" w:pos="4513"/>
        <w:tab w:val="clear" w:pos="9026"/>
        <w:tab w:val="center" w:pos="4820"/>
        <w:tab w:val="right" w:pos="9639"/>
      </w:tabs>
    </w:pPr>
    <w:r>
      <w:rPr>
        <w:sz w:val="16"/>
      </w:rPr>
      <w:t>2016/18263</w:t>
    </w:r>
    <w:r w:rsidR="00803497">
      <w:rPr>
        <w:sz w:val="16"/>
      </w:rPr>
      <w:t>v</w:t>
    </w:r>
    <w:r w:rsidR="00000620">
      <w:rPr>
        <w:sz w:val="16"/>
      </w:rPr>
      <w:t>3</w:t>
    </w:r>
    <w:r w:rsidR="008B7966">
      <w:rPr>
        <w:i/>
        <w:sz w:val="16"/>
      </w:rPr>
      <w:tab/>
    </w:r>
    <w:r w:rsidR="008B7966" w:rsidRPr="008B7966">
      <w:rPr>
        <w:i/>
        <w:sz w:val="16"/>
      </w:rPr>
      <w:t xml:space="preserve">Accounting and Finance </w:t>
    </w:r>
    <w:r w:rsidR="008B7966" w:rsidRPr="002A6754">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8C" w:rsidRDefault="0097078C" w:rsidP="00742128">
      <w:pPr>
        <w:spacing w:after="0" w:line="240" w:lineRule="auto"/>
      </w:pPr>
      <w:r>
        <w:separator/>
      </w:r>
    </w:p>
  </w:footnote>
  <w:footnote w:type="continuationSeparator" w:id="0">
    <w:p w:rsidR="0097078C" w:rsidRDefault="0097078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2F" w:rsidRPr="001567D0" w:rsidRDefault="00F2102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7966">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66" w:rsidRDefault="005E5BB6">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3AA9"/>
    <w:multiLevelType w:val="hybridMultilevel"/>
    <w:tmpl w:val="A042A2BC"/>
    <w:lvl w:ilvl="0" w:tplc="0E726B06">
      <w:start w:val="1"/>
      <w:numFmt w:val="bullet"/>
      <w:lvlText w:val=""/>
      <w:lvlJc w:val="left"/>
      <w:pPr>
        <w:tabs>
          <w:tab w:val="num" w:pos="170"/>
        </w:tabs>
        <w:ind w:left="170" w:hanging="170"/>
      </w:pPr>
      <w:rPr>
        <w:rFonts w:ascii="Symbol" w:hAnsi="Symbol" w:hint="default"/>
      </w:rPr>
    </w:lvl>
    <w:lvl w:ilvl="1" w:tplc="B94894C8">
      <w:start w:val="1"/>
      <w:numFmt w:val="bullet"/>
      <w:lvlText w:val="o"/>
      <w:lvlJc w:val="left"/>
      <w:pPr>
        <w:tabs>
          <w:tab w:val="num" w:pos="928"/>
        </w:tabs>
        <w:ind w:left="1078" w:hanging="511"/>
      </w:pPr>
      <w:rPr>
        <w:rFonts w:ascii="Courier New" w:hAnsi="Courier New" w:cs="Times New Roman"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4B24E5"/>
    <w:multiLevelType w:val="hybridMultilevel"/>
    <w:tmpl w:val="F35461AE"/>
    <w:lvl w:ilvl="0" w:tplc="9C665CBE">
      <w:start w:val="1"/>
      <w:numFmt w:val="bullet"/>
      <w:lvlText w:val=""/>
      <w:lvlJc w:val="left"/>
      <w:pPr>
        <w:tabs>
          <w:tab w:val="num" w:pos="717"/>
        </w:tabs>
        <w:ind w:left="717" w:hanging="360"/>
      </w:pPr>
      <w:rPr>
        <w:rFonts w:ascii="Wingdings" w:hAnsi="Wingdings" w:hint="default"/>
        <w:color w:val="auto"/>
      </w:rPr>
    </w:lvl>
    <w:lvl w:ilvl="1" w:tplc="E7D477CA">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620"/>
    <w:rsid w:val="0000306D"/>
    <w:rsid w:val="00022F3C"/>
    <w:rsid w:val="0002336A"/>
    <w:rsid w:val="00027C7E"/>
    <w:rsid w:val="000365E9"/>
    <w:rsid w:val="00047FC5"/>
    <w:rsid w:val="0006013C"/>
    <w:rsid w:val="00062ABB"/>
    <w:rsid w:val="000841F0"/>
    <w:rsid w:val="0009024C"/>
    <w:rsid w:val="000A6ABE"/>
    <w:rsid w:val="000B0A44"/>
    <w:rsid w:val="000C6ACF"/>
    <w:rsid w:val="000D3174"/>
    <w:rsid w:val="000F3AD5"/>
    <w:rsid w:val="000F65F5"/>
    <w:rsid w:val="000F737A"/>
    <w:rsid w:val="0012471F"/>
    <w:rsid w:val="0013465E"/>
    <w:rsid w:val="00144452"/>
    <w:rsid w:val="001451B9"/>
    <w:rsid w:val="001567D0"/>
    <w:rsid w:val="00157E06"/>
    <w:rsid w:val="00160A6B"/>
    <w:rsid w:val="00161D4F"/>
    <w:rsid w:val="001779BF"/>
    <w:rsid w:val="00192605"/>
    <w:rsid w:val="0019340B"/>
    <w:rsid w:val="001D711C"/>
    <w:rsid w:val="001D76C5"/>
    <w:rsid w:val="00206CD9"/>
    <w:rsid w:val="00207572"/>
    <w:rsid w:val="00226D55"/>
    <w:rsid w:val="00241073"/>
    <w:rsid w:val="00252540"/>
    <w:rsid w:val="00270163"/>
    <w:rsid w:val="00281375"/>
    <w:rsid w:val="00285B26"/>
    <w:rsid w:val="002A471E"/>
    <w:rsid w:val="002B007E"/>
    <w:rsid w:val="002B6FEE"/>
    <w:rsid w:val="002C05E5"/>
    <w:rsid w:val="002E78F4"/>
    <w:rsid w:val="002F51EE"/>
    <w:rsid w:val="00304E41"/>
    <w:rsid w:val="00306B04"/>
    <w:rsid w:val="00306C56"/>
    <w:rsid w:val="00330625"/>
    <w:rsid w:val="00333514"/>
    <w:rsid w:val="003372DA"/>
    <w:rsid w:val="003566C9"/>
    <w:rsid w:val="0036440F"/>
    <w:rsid w:val="00370969"/>
    <w:rsid w:val="00374139"/>
    <w:rsid w:val="00392F69"/>
    <w:rsid w:val="00397D03"/>
    <w:rsid w:val="003A2F2D"/>
    <w:rsid w:val="003A73DB"/>
    <w:rsid w:val="003D2A82"/>
    <w:rsid w:val="003D3BA3"/>
    <w:rsid w:val="003D3CBD"/>
    <w:rsid w:val="003D50A2"/>
    <w:rsid w:val="003F5430"/>
    <w:rsid w:val="00413C8C"/>
    <w:rsid w:val="00415D12"/>
    <w:rsid w:val="00416C3D"/>
    <w:rsid w:val="004334B6"/>
    <w:rsid w:val="00433F68"/>
    <w:rsid w:val="0043620D"/>
    <w:rsid w:val="0044627A"/>
    <w:rsid w:val="004574B1"/>
    <w:rsid w:val="00466D3C"/>
    <w:rsid w:val="004819A9"/>
    <w:rsid w:val="004925C6"/>
    <w:rsid w:val="00492C50"/>
    <w:rsid w:val="0049416A"/>
    <w:rsid w:val="004A1CF7"/>
    <w:rsid w:val="004B7DB5"/>
    <w:rsid w:val="004D0B2D"/>
    <w:rsid w:val="004D563A"/>
    <w:rsid w:val="004D68C7"/>
    <w:rsid w:val="00504046"/>
    <w:rsid w:val="0050454E"/>
    <w:rsid w:val="005155A2"/>
    <w:rsid w:val="005263ED"/>
    <w:rsid w:val="00554AC8"/>
    <w:rsid w:val="005739DA"/>
    <w:rsid w:val="00581506"/>
    <w:rsid w:val="0058522A"/>
    <w:rsid w:val="0058541E"/>
    <w:rsid w:val="005A0F57"/>
    <w:rsid w:val="005A1C74"/>
    <w:rsid w:val="005D4D0C"/>
    <w:rsid w:val="005E0ECB"/>
    <w:rsid w:val="005E18DA"/>
    <w:rsid w:val="005E26A0"/>
    <w:rsid w:val="005E5BB6"/>
    <w:rsid w:val="005E6287"/>
    <w:rsid w:val="005E7CC3"/>
    <w:rsid w:val="00605928"/>
    <w:rsid w:val="00622483"/>
    <w:rsid w:val="00630C3D"/>
    <w:rsid w:val="00637F0D"/>
    <w:rsid w:val="00640F84"/>
    <w:rsid w:val="00666385"/>
    <w:rsid w:val="00666FEB"/>
    <w:rsid w:val="006748E6"/>
    <w:rsid w:val="006854CE"/>
    <w:rsid w:val="00691A72"/>
    <w:rsid w:val="00693261"/>
    <w:rsid w:val="006A0DDE"/>
    <w:rsid w:val="006E1D80"/>
    <w:rsid w:val="006E6E35"/>
    <w:rsid w:val="006F7C1C"/>
    <w:rsid w:val="00711C93"/>
    <w:rsid w:val="00726E5A"/>
    <w:rsid w:val="00737E63"/>
    <w:rsid w:val="00742128"/>
    <w:rsid w:val="00753EA1"/>
    <w:rsid w:val="00755BF6"/>
    <w:rsid w:val="007706AF"/>
    <w:rsid w:val="00793207"/>
    <w:rsid w:val="00803497"/>
    <w:rsid w:val="00805FFF"/>
    <w:rsid w:val="008079E9"/>
    <w:rsid w:val="008324A6"/>
    <w:rsid w:val="00846AF5"/>
    <w:rsid w:val="0086228D"/>
    <w:rsid w:val="008743F4"/>
    <w:rsid w:val="00880079"/>
    <w:rsid w:val="0088053A"/>
    <w:rsid w:val="008922CC"/>
    <w:rsid w:val="008A2ECB"/>
    <w:rsid w:val="008B7966"/>
    <w:rsid w:val="008C02F1"/>
    <w:rsid w:val="008C78C7"/>
    <w:rsid w:val="008D0A7B"/>
    <w:rsid w:val="008D1B0D"/>
    <w:rsid w:val="008E144B"/>
    <w:rsid w:val="008E32B1"/>
    <w:rsid w:val="008F6BB3"/>
    <w:rsid w:val="00904BFC"/>
    <w:rsid w:val="0093403F"/>
    <w:rsid w:val="0094007F"/>
    <w:rsid w:val="00945408"/>
    <w:rsid w:val="00952A49"/>
    <w:rsid w:val="009558DE"/>
    <w:rsid w:val="00955E93"/>
    <w:rsid w:val="00964696"/>
    <w:rsid w:val="0097078C"/>
    <w:rsid w:val="009732C7"/>
    <w:rsid w:val="009909CD"/>
    <w:rsid w:val="009B2394"/>
    <w:rsid w:val="009E1E00"/>
    <w:rsid w:val="009E36DB"/>
    <w:rsid w:val="009F2C21"/>
    <w:rsid w:val="00A0784D"/>
    <w:rsid w:val="00A15969"/>
    <w:rsid w:val="00A163CB"/>
    <w:rsid w:val="00A24944"/>
    <w:rsid w:val="00A26119"/>
    <w:rsid w:val="00A35708"/>
    <w:rsid w:val="00A659C3"/>
    <w:rsid w:val="00A65DC6"/>
    <w:rsid w:val="00A97B98"/>
    <w:rsid w:val="00AA0085"/>
    <w:rsid w:val="00AE0CDE"/>
    <w:rsid w:val="00AE57D9"/>
    <w:rsid w:val="00AF72A2"/>
    <w:rsid w:val="00B04173"/>
    <w:rsid w:val="00B11D1C"/>
    <w:rsid w:val="00B22F69"/>
    <w:rsid w:val="00B45B36"/>
    <w:rsid w:val="00B70748"/>
    <w:rsid w:val="00B74535"/>
    <w:rsid w:val="00B81380"/>
    <w:rsid w:val="00B9029E"/>
    <w:rsid w:val="00BB4454"/>
    <w:rsid w:val="00BB5E1D"/>
    <w:rsid w:val="00BC1F96"/>
    <w:rsid w:val="00BD0125"/>
    <w:rsid w:val="00BD5EE7"/>
    <w:rsid w:val="00C00627"/>
    <w:rsid w:val="00C01FE0"/>
    <w:rsid w:val="00C02D56"/>
    <w:rsid w:val="00C03FE2"/>
    <w:rsid w:val="00C1764E"/>
    <w:rsid w:val="00C30D00"/>
    <w:rsid w:val="00C43A9A"/>
    <w:rsid w:val="00C45575"/>
    <w:rsid w:val="00C51F9A"/>
    <w:rsid w:val="00C53F50"/>
    <w:rsid w:val="00C57CDD"/>
    <w:rsid w:val="00C652EC"/>
    <w:rsid w:val="00C824C8"/>
    <w:rsid w:val="00C846AE"/>
    <w:rsid w:val="00C86E69"/>
    <w:rsid w:val="00C9498A"/>
    <w:rsid w:val="00CA51CE"/>
    <w:rsid w:val="00CC2910"/>
    <w:rsid w:val="00CD0FAA"/>
    <w:rsid w:val="00CD261D"/>
    <w:rsid w:val="00CD63AD"/>
    <w:rsid w:val="00CE0E01"/>
    <w:rsid w:val="00D018ED"/>
    <w:rsid w:val="00D12351"/>
    <w:rsid w:val="00D17A5D"/>
    <w:rsid w:val="00D25CFD"/>
    <w:rsid w:val="00D2693E"/>
    <w:rsid w:val="00D27E3C"/>
    <w:rsid w:val="00D41433"/>
    <w:rsid w:val="00D43C5A"/>
    <w:rsid w:val="00D64648"/>
    <w:rsid w:val="00D729A2"/>
    <w:rsid w:val="00DB1EC4"/>
    <w:rsid w:val="00DB4B3C"/>
    <w:rsid w:val="00DC28B0"/>
    <w:rsid w:val="00DC3A58"/>
    <w:rsid w:val="00DC3E79"/>
    <w:rsid w:val="00DD1D21"/>
    <w:rsid w:val="00DD51A8"/>
    <w:rsid w:val="00DD53B7"/>
    <w:rsid w:val="00E0341A"/>
    <w:rsid w:val="00E14CBA"/>
    <w:rsid w:val="00E15C16"/>
    <w:rsid w:val="00E25745"/>
    <w:rsid w:val="00E327A3"/>
    <w:rsid w:val="00E41C0A"/>
    <w:rsid w:val="00E4353E"/>
    <w:rsid w:val="00E44502"/>
    <w:rsid w:val="00E449D0"/>
    <w:rsid w:val="00E509CF"/>
    <w:rsid w:val="00E5490A"/>
    <w:rsid w:val="00E721B6"/>
    <w:rsid w:val="00E72C1A"/>
    <w:rsid w:val="00E81900"/>
    <w:rsid w:val="00EA7315"/>
    <w:rsid w:val="00EB3C04"/>
    <w:rsid w:val="00EB5A5E"/>
    <w:rsid w:val="00EB6AC2"/>
    <w:rsid w:val="00EC40E0"/>
    <w:rsid w:val="00ED3190"/>
    <w:rsid w:val="00ED3A00"/>
    <w:rsid w:val="00EE0075"/>
    <w:rsid w:val="00EE0DE1"/>
    <w:rsid w:val="00EF0533"/>
    <w:rsid w:val="00F05B2D"/>
    <w:rsid w:val="00F17C25"/>
    <w:rsid w:val="00F2102F"/>
    <w:rsid w:val="00F24EC9"/>
    <w:rsid w:val="00F33CCB"/>
    <w:rsid w:val="00F40210"/>
    <w:rsid w:val="00F4271F"/>
    <w:rsid w:val="00F45180"/>
    <w:rsid w:val="00F81088"/>
    <w:rsid w:val="00F83152"/>
    <w:rsid w:val="00FC23D9"/>
    <w:rsid w:val="00FC2705"/>
    <w:rsid w:val="00FC7A32"/>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6F3B838-AE5E-4DF3-AC7A-A77E9654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659C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659C3"/>
    <w:rPr>
      <w:rFonts w:eastAsiaTheme="minorHAnsi" w:cs="Calibri"/>
      <w:lang w:eastAsia="en-AU"/>
    </w:rPr>
  </w:style>
  <w:style w:type="paragraph" w:customStyle="1" w:styleId="ListItem">
    <w:name w:val="List Item"/>
    <w:basedOn w:val="Paragraph"/>
    <w:link w:val="ListItemChar"/>
    <w:qFormat/>
    <w:rsid w:val="00622483"/>
    <w:pPr>
      <w:numPr>
        <w:numId w:val="2"/>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8B7966"/>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E648-DC3F-4A63-B3B7-F6E4C756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13</cp:revision>
  <cp:lastPrinted>2016-08-25T03:26:00Z</cp:lastPrinted>
  <dcterms:created xsi:type="dcterms:W3CDTF">2016-03-11T03:32:00Z</dcterms:created>
  <dcterms:modified xsi:type="dcterms:W3CDTF">2016-08-25T03:26:00Z</dcterms:modified>
</cp:coreProperties>
</file>