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E2" w:rsidRPr="00B340E2" w:rsidRDefault="00B340E2" w:rsidP="00B340E2">
      <w:pPr>
        <w:keepNext/>
        <w:spacing w:before="3500" w:after="200" w:line="276" w:lineRule="auto"/>
        <w:jc w:val="center"/>
        <w:outlineLvl w:val="0"/>
        <w:rPr>
          <w:rFonts w:ascii="Franklin Gothic Book" w:eastAsia="SimSun" w:hAnsi="Franklin Gothic Book"/>
          <w:b/>
          <w:smallCaps/>
          <w:color w:val="9688BE"/>
          <w:sz w:val="36"/>
          <w:szCs w:val="36"/>
          <w:lang w:val="en-AU" w:eastAsia="x-none"/>
        </w:rPr>
      </w:pPr>
      <w:r w:rsidRPr="00B340E2">
        <w:rPr>
          <w:rFonts w:ascii="Franklin Gothic Medium" w:eastAsia="SimSun" w:hAnsi="Franklin Gothic Medium"/>
          <w:smallCaps/>
          <w:noProof/>
          <w:color w:val="463969"/>
          <w:sz w:val="52"/>
          <w:szCs w:val="52"/>
          <w:lang w:val="en-AU"/>
        </w:rPr>
        <w:drawing>
          <wp:anchor distT="0" distB="0" distL="114300" distR="114300" simplePos="0" relativeHeight="251659264" behindDoc="1" locked="1" layoutInCell="1" allowOverlap="1" wp14:anchorId="27B37C27" wp14:editId="2BAE9BD7">
            <wp:simplePos x="0" y="0"/>
            <wp:positionH relativeFrom="column">
              <wp:posOffset>-6105525</wp:posOffset>
            </wp:positionH>
            <wp:positionV relativeFrom="paragraph">
              <wp:posOffset>419735</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B340E2">
        <w:rPr>
          <w:rFonts w:ascii="Franklin Gothic Book" w:eastAsia="SimSun" w:hAnsi="Franklin Gothic Book"/>
          <w:b/>
          <w:smallCaps/>
          <w:color w:val="9688BE"/>
          <w:sz w:val="36"/>
          <w:szCs w:val="36"/>
          <w:lang w:val="en-AU" w:eastAsia="x-none"/>
        </w:rPr>
        <w:t>Sample Assessment Outline</w:t>
      </w:r>
    </w:p>
    <w:p w:rsidR="00B340E2" w:rsidRPr="00B340E2" w:rsidRDefault="00B340E2" w:rsidP="00B340E2">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eastAsia="x-none"/>
        </w:rPr>
      </w:pPr>
      <w:r>
        <w:rPr>
          <w:rFonts w:ascii="Franklin Gothic Medium" w:eastAsia="SimSun" w:hAnsi="Franklin Gothic Medium"/>
          <w:smallCaps/>
          <w:color w:val="5F497A"/>
          <w:sz w:val="28"/>
          <w:szCs w:val="28"/>
          <w:lang w:val="en-AU" w:eastAsia="x-none"/>
        </w:rPr>
        <w:t>Chemistry</w:t>
      </w:r>
    </w:p>
    <w:p w:rsidR="00B340E2" w:rsidRPr="00B340E2" w:rsidRDefault="00B340E2" w:rsidP="00B340E2">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eastAsia="x-none"/>
        </w:rPr>
      </w:pPr>
      <w:r w:rsidRPr="00B340E2">
        <w:rPr>
          <w:rFonts w:ascii="Franklin Gothic Medium" w:eastAsia="SimSun" w:hAnsi="Franklin Gothic Medium"/>
          <w:smallCaps/>
          <w:color w:val="5F497A"/>
          <w:sz w:val="28"/>
          <w:szCs w:val="28"/>
          <w:lang w:val="en-AU" w:eastAsia="x-none"/>
        </w:rPr>
        <w:t>ATAR Year 11</w:t>
      </w:r>
    </w:p>
    <w:p w:rsidR="00B340E2" w:rsidRPr="00B340E2" w:rsidRDefault="00B340E2" w:rsidP="00B340E2">
      <w:pPr>
        <w:spacing w:line="264" w:lineRule="auto"/>
        <w:rPr>
          <w:rFonts w:ascii="Times New Roman" w:eastAsia="SimSun" w:hAnsi="Times New Roman"/>
          <w:sz w:val="24"/>
          <w:szCs w:val="24"/>
          <w:lang w:val="en-AU" w:eastAsia="zh-CN"/>
        </w:rPr>
      </w:pPr>
      <w:r w:rsidRPr="00B340E2">
        <w:rPr>
          <w:rFonts w:ascii="Times New Roman" w:eastAsia="SimSun" w:hAnsi="Times New Roman"/>
          <w:sz w:val="24"/>
          <w:szCs w:val="24"/>
          <w:lang w:val="en-AU" w:eastAsia="zh-CN"/>
        </w:rPr>
        <w:br w:type="page"/>
      </w:r>
    </w:p>
    <w:p w:rsidR="00B340E2" w:rsidRPr="00B340E2" w:rsidRDefault="00B340E2" w:rsidP="00B340E2">
      <w:pPr>
        <w:spacing w:before="10000" w:after="80" w:line="264" w:lineRule="auto"/>
        <w:jc w:val="both"/>
        <w:rPr>
          <w:rFonts w:ascii="Times New Roman" w:eastAsia="SimSun" w:hAnsi="Times New Roman"/>
          <w:b/>
          <w:sz w:val="16"/>
          <w:szCs w:val="24"/>
          <w:lang w:val="en-AU" w:eastAsia="zh-CN"/>
        </w:rPr>
      </w:pPr>
    </w:p>
    <w:p w:rsidR="00B340E2" w:rsidRPr="00B340E2" w:rsidRDefault="00B340E2" w:rsidP="00B340E2">
      <w:pPr>
        <w:spacing w:before="10000" w:after="80" w:line="264" w:lineRule="auto"/>
        <w:ind w:right="68"/>
        <w:jc w:val="both"/>
        <w:rPr>
          <w:rFonts w:ascii="Calibri" w:eastAsia="SimSun" w:hAnsi="Calibri"/>
          <w:b/>
          <w:sz w:val="16"/>
          <w:szCs w:val="24"/>
          <w:lang w:val="en-AU" w:eastAsia="zh-CN"/>
        </w:rPr>
      </w:pPr>
      <w:r w:rsidRPr="00B340E2">
        <w:rPr>
          <w:rFonts w:ascii="Calibri" w:eastAsia="SimSun" w:hAnsi="Calibri"/>
          <w:b/>
          <w:sz w:val="16"/>
          <w:szCs w:val="24"/>
          <w:lang w:val="en-AU" w:eastAsia="zh-CN"/>
        </w:rPr>
        <w:t>Copyright</w:t>
      </w:r>
    </w:p>
    <w:p w:rsidR="00B340E2" w:rsidRPr="00B340E2" w:rsidRDefault="00B340E2" w:rsidP="00B340E2">
      <w:pPr>
        <w:spacing w:after="80" w:line="264" w:lineRule="auto"/>
        <w:ind w:right="68"/>
        <w:jc w:val="both"/>
        <w:rPr>
          <w:rFonts w:ascii="Calibri" w:eastAsia="SimSun" w:hAnsi="Calibri"/>
          <w:sz w:val="16"/>
          <w:szCs w:val="24"/>
          <w:lang w:val="en-AU" w:eastAsia="zh-CN"/>
        </w:rPr>
      </w:pPr>
      <w:r w:rsidRPr="00B340E2">
        <w:rPr>
          <w:rFonts w:ascii="Calibri" w:eastAsia="SimSun" w:hAnsi="Calibri"/>
          <w:sz w:val="16"/>
          <w:szCs w:val="24"/>
          <w:lang w:val="en-AU" w:eastAsia="zh-CN"/>
        </w:rPr>
        <w:t>© School Curriculum and Standards Authority, 2014</w:t>
      </w:r>
    </w:p>
    <w:p w:rsidR="00B340E2" w:rsidRPr="00B340E2" w:rsidRDefault="00B340E2" w:rsidP="00B340E2">
      <w:pPr>
        <w:spacing w:after="80" w:line="264" w:lineRule="auto"/>
        <w:ind w:right="68"/>
        <w:jc w:val="both"/>
        <w:rPr>
          <w:rFonts w:ascii="Calibri" w:eastAsia="SimSun" w:hAnsi="Calibri"/>
          <w:sz w:val="16"/>
          <w:szCs w:val="24"/>
          <w:lang w:val="en-AU" w:eastAsia="zh-CN"/>
        </w:rPr>
      </w:pPr>
      <w:r w:rsidRPr="00B340E2">
        <w:rPr>
          <w:rFonts w:ascii="Calibri" w:eastAsia="SimSun" w:hAnsi="Calibri"/>
          <w:sz w:val="16"/>
          <w:szCs w:val="24"/>
          <w:lang w:val="en-AU" w:eastAsia="zh-CN"/>
        </w:rPr>
        <w:t>This document</w:t>
      </w:r>
      <w:r w:rsidR="001766FB">
        <w:rPr>
          <w:rFonts w:ascii="Calibri" w:eastAsia="SimSun" w:hAnsi="Calibri"/>
          <w:sz w:val="16"/>
          <w:szCs w:val="24"/>
          <w:lang w:val="en-AU" w:eastAsia="zh-CN"/>
        </w:rPr>
        <w:t xml:space="preserve"> </w:t>
      </w:r>
      <w:r w:rsidRPr="00B340E2">
        <w:rPr>
          <w:rFonts w:ascii="Calibri" w:eastAsia="SimSun" w:hAnsi="Calibri"/>
          <w:sz w:val="16"/>
          <w:szCs w:val="24"/>
          <w:lang w:val="en-AU" w:eastAsia="zh-CN"/>
        </w:rPr>
        <w:t>apart from any third party copyright material contained in it</w:t>
      </w:r>
      <w:r w:rsidR="001766FB">
        <w:rPr>
          <w:rFonts w:ascii="Calibri" w:eastAsia="SimSun" w:hAnsi="Calibri"/>
          <w:sz w:val="16"/>
          <w:szCs w:val="24"/>
          <w:lang w:val="en-AU" w:eastAsia="zh-CN"/>
        </w:rPr>
        <w:t xml:space="preserve"> </w:t>
      </w:r>
      <w:r w:rsidRPr="00B340E2">
        <w:rPr>
          <w:rFonts w:ascii="Calibri" w:eastAsia="SimSun" w:hAnsi="Calibri"/>
          <w:sz w:val="16"/>
          <w:szCs w:val="24"/>
          <w:lang w:val="en-AU" w:eastAsia="zh-CN"/>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340E2" w:rsidRPr="00B340E2" w:rsidRDefault="00B340E2" w:rsidP="00B340E2">
      <w:pPr>
        <w:spacing w:after="80" w:line="264" w:lineRule="auto"/>
        <w:ind w:right="68"/>
        <w:jc w:val="both"/>
        <w:rPr>
          <w:rFonts w:asciiTheme="minorHAnsi" w:eastAsia="SimSun" w:hAnsiTheme="minorHAnsi"/>
          <w:sz w:val="16"/>
          <w:szCs w:val="16"/>
          <w:lang w:val="en-AU" w:eastAsia="zh-CN"/>
        </w:rPr>
      </w:pPr>
      <w:r w:rsidRPr="00B340E2">
        <w:rPr>
          <w:rFonts w:ascii="Calibri" w:eastAsia="SimSun" w:hAnsi="Calibri"/>
          <w:sz w:val="16"/>
          <w:szCs w:val="24"/>
          <w:lang w:val="en-AU" w:eastAsia="zh-CN"/>
        </w:rPr>
        <w:t xml:space="preserve">Copying or communication for any other purpose can be done only within the terms of the </w:t>
      </w:r>
      <w:r w:rsidRPr="00B340E2">
        <w:rPr>
          <w:rFonts w:ascii="Calibri" w:eastAsia="SimSun" w:hAnsi="Calibri"/>
          <w:i/>
          <w:iCs/>
          <w:sz w:val="16"/>
          <w:szCs w:val="24"/>
          <w:lang w:val="en-AU" w:eastAsia="zh-CN"/>
        </w:rPr>
        <w:t>Copyright Act 1968</w:t>
      </w:r>
      <w:r w:rsidRPr="00B340E2">
        <w:rPr>
          <w:rFonts w:ascii="Calibri" w:eastAsia="SimSun" w:hAnsi="Calibri"/>
          <w:sz w:val="16"/>
          <w:szCs w:val="24"/>
          <w:lang w:val="en-AU" w:eastAsia="zh-CN"/>
        </w:rPr>
        <w:t xml:space="preserve"> or with prior written </w:t>
      </w:r>
      <w:r w:rsidRPr="00B340E2">
        <w:rPr>
          <w:rFonts w:asciiTheme="minorHAnsi" w:eastAsia="SimSun" w:hAnsiTheme="minorHAnsi"/>
          <w:sz w:val="16"/>
          <w:szCs w:val="16"/>
          <w:lang w:val="en-AU" w:eastAsia="zh-CN"/>
        </w:rPr>
        <w:t xml:space="preserve">permission of the School Curriculum and Standards Authority. Copying or communication of any third party copyright material can be done only within the terms of the </w:t>
      </w:r>
      <w:r w:rsidRPr="00B340E2">
        <w:rPr>
          <w:rFonts w:asciiTheme="minorHAnsi" w:eastAsia="SimSun" w:hAnsiTheme="minorHAnsi"/>
          <w:i/>
          <w:iCs/>
          <w:sz w:val="16"/>
          <w:szCs w:val="16"/>
          <w:lang w:val="en-AU" w:eastAsia="zh-CN"/>
        </w:rPr>
        <w:t>Copyright Act 1968</w:t>
      </w:r>
      <w:r w:rsidRPr="00B340E2">
        <w:rPr>
          <w:rFonts w:asciiTheme="minorHAnsi" w:eastAsia="SimSun" w:hAnsiTheme="minorHAnsi"/>
          <w:sz w:val="16"/>
          <w:szCs w:val="16"/>
          <w:lang w:val="en-AU" w:eastAsia="zh-CN"/>
        </w:rPr>
        <w:t xml:space="preserve"> or with permission of the copyright owners.</w:t>
      </w:r>
    </w:p>
    <w:p w:rsidR="00B340E2" w:rsidRPr="00B340E2" w:rsidRDefault="00B340E2" w:rsidP="00B340E2">
      <w:pPr>
        <w:spacing w:after="80" w:line="264" w:lineRule="auto"/>
        <w:ind w:right="68"/>
        <w:jc w:val="both"/>
        <w:rPr>
          <w:rFonts w:ascii="Calibri" w:eastAsia="SimSun" w:hAnsi="Calibri"/>
          <w:sz w:val="16"/>
          <w:szCs w:val="24"/>
          <w:lang w:val="en-AU" w:eastAsia="zh-CN"/>
        </w:rPr>
      </w:pPr>
      <w:r w:rsidRPr="00B340E2">
        <w:rPr>
          <w:rFonts w:asciiTheme="minorHAnsi" w:eastAsia="SimSun" w:hAnsiTheme="minorHAnsi"/>
          <w:sz w:val="16"/>
          <w:szCs w:val="16"/>
          <w:lang w:val="en-AU" w:eastAsia="zh-CN"/>
        </w:rPr>
        <w:t xml:space="preserve">Any content in this document that has been derived from the Australian Curriculum may be used under the terms of the </w:t>
      </w:r>
      <w:hyperlink r:id="rId8" w:history="1">
        <w:r w:rsidRPr="00B340E2">
          <w:rPr>
            <w:rFonts w:asciiTheme="minorHAnsi" w:eastAsia="SimSun" w:hAnsiTheme="minorHAnsi" w:cs="Arial"/>
            <w:color w:val="3333CC"/>
            <w:sz w:val="16"/>
            <w:szCs w:val="16"/>
            <w:u w:val="single"/>
            <w:lang w:val="en-AU" w:eastAsia="zh-CN"/>
          </w:rPr>
          <w:t>Creative Commons Attribution-NonCommercial 3.0 Australia licence</w:t>
        </w:r>
      </w:hyperlink>
    </w:p>
    <w:p w:rsidR="00B340E2" w:rsidRPr="00B340E2" w:rsidRDefault="00B340E2" w:rsidP="00B340E2">
      <w:pPr>
        <w:spacing w:after="80" w:line="264" w:lineRule="auto"/>
        <w:ind w:right="68"/>
        <w:jc w:val="both"/>
        <w:rPr>
          <w:rFonts w:ascii="Calibri" w:eastAsia="SimSun" w:hAnsi="Calibri"/>
          <w:b/>
          <w:sz w:val="16"/>
          <w:szCs w:val="24"/>
          <w:lang w:val="en-AU" w:eastAsia="zh-CN"/>
        </w:rPr>
      </w:pPr>
      <w:r w:rsidRPr="00B340E2">
        <w:rPr>
          <w:rFonts w:ascii="Calibri" w:eastAsia="SimSun" w:hAnsi="Calibri"/>
          <w:b/>
          <w:sz w:val="16"/>
          <w:szCs w:val="24"/>
          <w:lang w:val="en-AU" w:eastAsia="zh-CN"/>
        </w:rPr>
        <w:t>Disclaimer</w:t>
      </w:r>
    </w:p>
    <w:p w:rsidR="00B340E2" w:rsidRPr="00B340E2" w:rsidRDefault="00B340E2" w:rsidP="00B340E2">
      <w:pPr>
        <w:spacing w:line="264" w:lineRule="auto"/>
        <w:ind w:right="68"/>
        <w:jc w:val="both"/>
        <w:rPr>
          <w:rFonts w:ascii="Calibri" w:eastAsia="SimSun" w:hAnsi="Calibri"/>
          <w:sz w:val="16"/>
          <w:szCs w:val="24"/>
          <w:lang w:val="en-AU" w:eastAsia="zh-CN"/>
        </w:rPr>
      </w:pPr>
      <w:r w:rsidRPr="00B340E2">
        <w:rPr>
          <w:rFonts w:ascii="Calibri" w:eastAsia="SimSun" w:hAnsi="Calibri"/>
          <w:sz w:val="16"/>
          <w:szCs w:val="24"/>
          <w:lang w:val="en-AU"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340E2" w:rsidRPr="00B340E2" w:rsidRDefault="00B340E2" w:rsidP="00B340E2">
      <w:pPr>
        <w:spacing w:line="264" w:lineRule="auto"/>
        <w:ind w:right="68"/>
        <w:jc w:val="both"/>
        <w:rPr>
          <w:rFonts w:ascii="Calibri" w:eastAsia="SimSun" w:hAnsi="Calibri"/>
          <w:sz w:val="16"/>
          <w:szCs w:val="24"/>
          <w:lang w:val="en-AU" w:eastAsia="zh-CN"/>
        </w:rPr>
        <w:sectPr w:rsidR="00B340E2" w:rsidRPr="00B340E2" w:rsidSect="00B340E2">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B340E2" w:rsidRPr="00B340E2" w:rsidRDefault="00B340E2" w:rsidP="00202388">
      <w:pPr>
        <w:pStyle w:val="Heading1"/>
        <w:spacing w:after="0"/>
      </w:pPr>
      <w:r w:rsidRPr="00B340E2">
        <w:lastRenderedPageBreak/>
        <w:t>Sample assessment outline</w:t>
      </w:r>
    </w:p>
    <w:p w:rsidR="00B340E2" w:rsidRPr="00B340E2" w:rsidRDefault="00B340E2" w:rsidP="00202388">
      <w:pPr>
        <w:pStyle w:val="Heading1"/>
        <w:spacing w:after="0"/>
      </w:pPr>
      <w:r>
        <w:t>Chemistry</w:t>
      </w:r>
      <w:r w:rsidR="001766FB">
        <w:t xml:space="preserve"> </w:t>
      </w:r>
      <w:r w:rsidR="00B952E6">
        <w:t xml:space="preserve">– </w:t>
      </w:r>
      <w:r w:rsidRPr="00B340E2">
        <w:t>ATAR Year 11</w:t>
      </w:r>
    </w:p>
    <w:p w:rsidR="00DC04C7" w:rsidRDefault="00533331" w:rsidP="00202388">
      <w:pPr>
        <w:pStyle w:val="Heading2"/>
        <w:spacing w:before="0"/>
      </w:pPr>
      <w:r>
        <w:t>Unit</w:t>
      </w:r>
      <w:r w:rsidR="00B340E2" w:rsidRPr="00B340E2">
        <w:t xml:space="preserve"> 1 and </w:t>
      </w:r>
      <w:r>
        <w:t xml:space="preserve">Unit </w:t>
      </w:r>
      <w:r w:rsidR="00B340E2" w:rsidRPr="00B340E2">
        <w:t>2</w:t>
      </w:r>
    </w:p>
    <w:tbl>
      <w:tblPr>
        <w:tblW w:w="14601" w:type="dxa"/>
        <w:tblInd w:w="-281" w:type="dxa"/>
        <w:tbl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insideH w:val="single" w:sz="4" w:space="0" w:color="C3A9D3" w:themeColor="accent3" w:themeTint="99"/>
          <w:insideV w:val="single" w:sz="4" w:space="0" w:color="C3A9D3" w:themeColor="accent3" w:themeTint="99"/>
        </w:tblBorders>
        <w:tblLayout w:type="fixed"/>
        <w:tblCellMar>
          <w:top w:w="28" w:type="dxa"/>
          <w:left w:w="0" w:type="dxa"/>
          <w:bottom w:w="28" w:type="dxa"/>
          <w:right w:w="0" w:type="dxa"/>
        </w:tblCellMar>
        <w:tblLook w:val="04A0" w:firstRow="1" w:lastRow="0" w:firstColumn="1" w:lastColumn="0" w:noHBand="0" w:noVBand="1"/>
      </w:tblPr>
      <w:tblGrid>
        <w:gridCol w:w="2269"/>
        <w:gridCol w:w="1416"/>
        <w:gridCol w:w="1419"/>
        <w:gridCol w:w="1983"/>
        <w:gridCol w:w="7514"/>
      </w:tblGrid>
      <w:tr w:rsidR="00F1056D" w:rsidRPr="00F261F4" w:rsidTr="002650EC">
        <w:trPr>
          <w:tblHeader/>
        </w:trPr>
        <w:tc>
          <w:tcPr>
            <w:tcW w:w="777" w:type="pct"/>
            <w:tcBorders>
              <w:right w:val="nil"/>
            </w:tcBorders>
            <w:shd w:val="clear" w:color="auto" w:fill="BD9FCF" w:themeFill="accent4"/>
            <w:vAlign w:val="center"/>
            <w:hideMark/>
          </w:tcPr>
          <w:p w:rsidR="00F1056D" w:rsidRPr="00B340E2" w:rsidRDefault="00F1056D" w:rsidP="0034740B">
            <w:pPr>
              <w:jc w:val="center"/>
              <w:rPr>
                <w:rFonts w:asciiTheme="minorHAnsi" w:hAnsiTheme="minorHAnsi" w:cs="Arial"/>
                <w:b/>
                <w:color w:val="FFFFFF" w:themeColor="background1"/>
                <w:sz w:val="20"/>
                <w:szCs w:val="20"/>
              </w:rPr>
            </w:pPr>
            <w:r w:rsidRPr="00B340E2">
              <w:rPr>
                <w:rFonts w:asciiTheme="minorHAnsi" w:hAnsiTheme="minorHAnsi" w:cs="Arial"/>
                <w:b/>
                <w:color w:val="FFFFFF" w:themeColor="background1"/>
                <w:sz w:val="20"/>
                <w:szCs w:val="20"/>
              </w:rPr>
              <w:t xml:space="preserve">Assessment type </w:t>
            </w:r>
            <w:r>
              <w:rPr>
                <w:rFonts w:asciiTheme="minorHAnsi" w:hAnsiTheme="minorHAnsi" w:cs="Arial"/>
                <w:b/>
                <w:color w:val="FFFFFF" w:themeColor="background1"/>
                <w:sz w:val="20"/>
                <w:szCs w:val="20"/>
              </w:rPr>
              <w:br/>
            </w:r>
            <w:r w:rsidRPr="00B340E2">
              <w:rPr>
                <w:rFonts w:asciiTheme="minorHAnsi" w:hAnsiTheme="minorHAnsi" w:cs="Arial"/>
                <w:b/>
                <w:color w:val="FFFFFF" w:themeColor="background1"/>
                <w:sz w:val="20"/>
                <w:szCs w:val="20"/>
              </w:rPr>
              <w:t>(from syllabus)</w:t>
            </w:r>
          </w:p>
        </w:tc>
        <w:tc>
          <w:tcPr>
            <w:tcW w:w="485" w:type="pct"/>
            <w:tcBorders>
              <w:left w:val="nil"/>
              <w:right w:val="nil"/>
            </w:tcBorders>
            <w:shd w:val="clear" w:color="auto" w:fill="BD9FCF" w:themeFill="accent4"/>
            <w:vAlign w:val="center"/>
          </w:tcPr>
          <w:p w:rsidR="00F1056D" w:rsidRPr="00B340E2" w:rsidRDefault="00F1056D" w:rsidP="0034740B">
            <w:pPr>
              <w:jc w:val="center"/>
              <w:rPr>
                <w:rFonts w:asciiTheme="minorHAnsi" w:hAnsiTheme="minorHAnsi" w:cs="Arial"/>
                <w:b/>
                <w:color w:val="FFFFFF" w:themeColor="background1"/>
                <w:sz w:val="20"/>
                <w:szCs w:val="20"/>
              </w:rPr>
            </w:pPr>
            <w:r w:rsidRPr="00B340E2">
              <w:rPr>
                <w:rFonts w:asciiTheme="minorHAnsi" w:hAnsiTheme="minorHAnsi" w:cs="Arial"/>
                <w:b/>
                <w:color w:val="FFFFFF" w:themeColor="background1"/>
                <w:sz w:val="20"/>
                <w:szCs w:val="20"/>
              </w:rPr>
              <w:t xml:space="preserve">Assessment </w:t>
            </w:r>
            <w:r>
              <w:rPr>
                <w:rFonts w:asciiTheme="minorHAnsi" w:hAnsiTheme="minorHAnsi" w:cs="Arial"/>
                <w:b/>
                <w:color w:val="FFFFFF" w:themeColor="background1"/>
                <w:sz w:val="20"/>
                <w:szCs w:val="20"/>
              </w:rPr>
              <w:br/>
            </w:r>
            <w:r w:rsidRPr="00B340E2">
              <w:rPr>
                <w:rFonts w:asciiTheme="minorHAnsi" w:hAnsiTheme="minorHAnsi" w:cs="Arial"/>
                <w:b/>
                <w:color w:val="FFFFFF" w:themeColor="background1"/>
                <w:sz w:val="20"/>
                <w:szCs w:val="20"/>
              </w:rPr>
              <w:t>type weighting (from syllabus)</w:t>
            </w:r>
          </w:p>
        </w:tc>
        <w:tc>
          <w:tcPr>
            <w:tcW w:w="486" w:type="pct"/>
            <w:tcBorders>
              <w:left w:val="nil"/>
              <w:right w:val="nil"/>
            </w:tcBorders>
            <w:shd w:val="clear" w:color="auto" w:fill="BD9FCF" w:themeFill="accent4"/>
            <w:vAlign w:val="center"/>
          </w:tcPr>
          <w:p w:rsidR="00F1056D" w:rsidRPr="00B340E2" w:rsidRDefault="00F1056D" w:rsidP="0034740B">
            <w:pPr>
              <w:pStyle w:val="Title"/>
              <w:rPr>
                <w:rFonts w:asciiTheme="minorHAnsi" w:hAnsiTheme="minorHAnsi" w:cs="Arial"/>
                <w:bCs w:val="0"/>
                <w:color w:val="FFFFFF" w:themeColor="background1"/>
                <w:sz w:val="20"/>
                <w:szCs w:val="20"/>
                <w:lang w:val="it-IT" w:eastAsia="en-AU"/>
              </w:rPr>
            </w:pPr>
            <w:r w:rsidRPr="00B340E2">
              <w:rPr>
                <w:rFonts w:asciiTheme="minorHAnsi" w:hAnsiTheme="minorHAnsi" w:cs="Arial"/>
                <w:bCs w:val="0"/>
                <w:color w:val="FFFFFF" w:themeColor="background1"/>
                <w:sz w:val="20"/>
                <w:szCs w:val="20"/>
                <w:lang w:val="it-IT" w:eastAsia="en-AU"/>
              </w:rPr>
              <w:t xml:space="preserve">Assessment </w:t>
            </w:r>
            <w:r>
              <w:rPr>
                <w:rFonts w:asciiTheme="minorHAnsi" w:hAnsiTheme="minorHAnsi" w:cs="Arial"/>
                <w:bCs w:val="0"/>
                <w:color w:val="FFFFFF" w:themeColor="background1"/>
                <w:sz w:val="20"/>
                <w:szCs w:val="20"/>
                <w:lang w:val="it-IT" w:eastAsia="en-AU"/>
              </w:rPr>
              <w:br/>
            </w:r>
            <w:r w:rsidRPr="00B340E2">
              <w:rPr>
                <w:rFonts w:asciiTheme="minorHAnsi" w:hAnsiTheme="minorHAnsi" w:cs="Arial"/>
                <w:bCs w:val="0"/>
                <w:color w:val="FFFFFF" w:themeColor="background1"/>
                <w:sz w:val="20"/>
                <w:szCs w:val="20"/>
                <w:lang w:val="it-IT" w:eastAsia="en-AU"/>
              </w:rPr>
              <w:t xml:space="preserve">task </w:t>
            </w:r>
            <w:r>
              <w:rPr>
                <w:rFonts w:asciiTheme="minorHAnsi" w:hAnsiTheme="minorHAnsi" w:cs="Arial"/>
                <w:bCs w:val="0"/>
                <w:color w:val="FFFFFF" w:themeColor="background1"/>
                <w:sz w:val="20"/>
                <w:szCs w:val="20"/>
                <w:lang w:val="it-IT" w:eastAsia="en-AU"/>
              </w:rPr>
              <w:br/>
            </w:r>
            <w:r w:rsidRPr="00B340E2">
              <w:rPr>
                <w:rFonts w:asciiTheme="minorHAnsi" w:hAnsiTheme="minorHAnsi" w:cs="Arial"/>
                <w:bCs w:val="0"/>
                <w:color w:val="FFFFFF" w:themeColor="background1"/>
                <w:sz w:val="20"/>
                <w:szCs w:val="20"/>
                <w:lang w:val="it-IT" w:eastAsia="en-AU"/>
              </w:rPr>
              <w:t>weighting</w:t>
            </w:r>
          </w:p>
        </w:tc>
        <w:tc>
          <w:tcPr>
            <w:tcW w:w="679" w:type="pct"/>
            <w:tcBorders>
              <w:left w:val="nil"/>
              <w:right w:val="nil"/>
            </w:tcBorders>
            <w:shd w:val="clear" w:color="auto" w:fill="BD9FCF" w:themeFill="accent4"/>
            <w:vAlign w:val="center"/>
          </w:tcPr>
          <w:p w:rsidR="00F1056D" w:rsidRPr="00B340E2" w:rsidRDefault="00F1056D" w:rsidP="00202388">
            <w:pPr>
              <w:jc w:val="center"/>
              <w:rPr>
                <w:rFonts w:asciiTheme="minorHAnsi" w:hAnsiTheme="minorHAnsi" w:cs="Arial"/>
                <w:b/>
                <w:color w:val="FFFFFF" w:themeColor="background1"/>
                <w:sz w:val="20"/>
                <w:szCs w:val="20"/>
              </w:rPr>
            </w:pPr>
            <w:r w:rsidRPr="00B340E2">
              <w:rPr>
                <w:rFonts w:asciiTheme="minorHAnsi" w:hAnsiTheme="minorHAnsi" w:cs="Arial"/>
                <w:b/>
                <w:color w:val="FFFFFF" w:themeColor="background1"/>
                <w:sz w:val="20"/>
                <w:szCs w:val="20"/>
              </w:rPr>
              <w:t>When</w:t>
            </w:r>
          </w:p>
        </w:tc>
        <w:tc>
          <w:tcPr>
            <w:tcW w:w="2573" w:type="pct"/>
            <w:tcBorders>
              <w:left w:val="nil"/>
            </w:tcBorders>
            <w:shd w:val="clear" w:color="auto" w:fill="BD9FCF" w:themeFill="accent4"/>
            <w:vAlign w:val="center"/>
            <w:hideMark/>
          </w:tcPr>
          <w:p w:rsidR="00F1056D" w:rsidRPr="00B340E2" w:rsidRDefault="00F1056D" w:rsidP="0034740B">
            <w:pPr>
              <w:jc w:val="center"/>
              <w:rPr>
                <w:rFonts w:asciiTheme="minorHAnsi" w:hAnsiTheme="minorHAnsi" w:cs="Arial"/>
                <w:b/>
                <w:color w:val="FFFFFF" w:themeColor="background1"/>
                <w:sz w:val="20"/>
                <w:szCs w:val="20"/>
              </w:rPr>
            </w:pPr>
            <w:r w:rsidRPr="00B340E2">
              <w:rPr>
                <w:rFonts w:asciiTheme="minorHAnsi" w:hAnsiTheme="minorHAnsi" w:cs="Arial"/>
                <w:b/>
                <w:color w:val="FFFFFF" w:themeColor="background1"/>
                <w:sz w:val="20"/>
                <w:szCs w:val="20"/>
              </w:rPr>
              <w:t>Assessment task</w:t>
            </w:r>
          </w:p>
        </w:tc>
      </w:tr>
      <w:tr w:rsidR="00F1056D" w:rsidRPr="00F261F4" w:rsidTr="002650EC">
        <w:trPr>
          <w:trHeight w:val="20"/>
        </w:trPr>
        <w:tc>
          <w:tcPr>
            <w:tcW w:w="777" w:type="pct"/>
            <w:vMerge w:val="restart"/>
            <w:vAlign w:val="center"/>
          </w:tcPr>
          <w:p w:rsidR="00F1056D" w:rsidRPr="00B340E2" w:rsidRDefault="00F1056D" w:rsidP="0034740B">
            <w:pPr>
              <w:tabs>
                <w:tab w:val="left" w:pos="1440"/>
                <w:tab w:val="left" w:pos="4140"/>
                <w:tab w:val="left" w:pos="4800"/>
              </w:tabs>
              <w:ind w:left="3"/>
              <w:jc w:val="center"/>
              <w:rPr>
                <w:rFonts w:asciiTheme="minorHAnsi" w:hAnsiTheme="minorHAnsi" w:cs="Arial"/>
                <w:sz w:val="20"/>
                <w:szCs w:val="20"/>
                <w:lang w:val="en-AU"/>
              </w:rPr>
            </w:pPr>
            <w:r w:rsidRPr="00B340E2">
              <w:rPr>
                <w:rFonts w:asciiTheme="minorHAnsi" w:hAnsiTheme="minorHAnsi" w:cs="Arial"/>
                <w:sz w:val="20"/>
                <w:szCs w:val="20"/>
                <w:lang w:val="en-AU"/>
              </w:rPr>
              <w:t>Science inquiry/</w:t>
            </w:r>
            <w:r>
              <w:rPr>
                <w:rFonts w:asciiTheme="minorHAnsi" w:hAnsiTheme="minorHAnsi" w:cs="Arial"/>
                <w:sz w:val="20"/>
                <w:szCs w:val="20"/>
                <w:lang w:val="en-AU"/>
              </w:rPr>
              <w:br/>
            </w:r>
            <w:r w:rsidRPr="00B340E2">
              <w:rPr>
                <w:rFonts w:asciiTheme="minorHAnsi" w:hAnsiTheme="minorHAnsi" w:cs="Arial"/>
                <w:sz w:val="20"/>
                <w:szCs w:val="20"/>
                <w:lang w:val="en-AU"/>
              </w:rPr>
              <w:t>Practical/</w:t>
            </w:r>
            <w:r>
              <w:rPr>
                <w:rFonts w:asciiTheme="minorHAnsi" w:hAnsiTheme="minorHAnsi" w:cs="Arial"/>
                <w:sz w:val="20"/>
                <w:szCs w:val="20"/>
                <w:lang w:val="en-AU"/>
              </w:rPr>
              <w:br/>
            </w:r>
            <w:r w:rsidRPr="00B340E2">
              <w:rPr>
                <w:rFonts w:asciiTheme="minorHAnsi" w:hAnsiTheme="minorHAnsi" w:cs="Arial"/>
                <w:sz w:val="20"/>
                <w:szCs w:val="20"/>
                <w:lang w:val="en-AU"/>
              </w:rPr>
              <w:t>Investigation</w:t>
            </w:r>
          </w:p>
        </w:tc>
        <w:tc>
          <w:tcPr>
            <w:tcW w:w="485" w:type="pct"/>
            <w:vMerge w:val="restart"/>
            <w:vAlign w:val="center"/>
          </w:tcPr>
          <w:p w:rsidR="00F1056D" w:rsidRPr="002650EC" w:rsidRDefault="00F1056D" w:rsidP="0034740B">
            <w:pPr>
              <w:tabs>
                <w:tab w:val="left" w:pos="4140"/>
                <w:tab w:val="left" w:pos="4800"/>
              </w:tabs>
              <w:ind w:left="93" w:right="71"/>
              <w:jc w:val="center"/>
              <w:rPr>
                <w:rFonts w:asciiTheme="minorHAnsi" w:hAnsiTheme="minorHAnsi" w:cs="Arial"/>
                <w:bCs/>
                <w:sz w:val="20"/>
                <w:szCs w:val="20"/>
                <w:lang w:eastAsia="en-US"/>
              </w:rPr>
            </w:pPr>
            <w:r w:rsidRPr="002650EC">
              <w:rPr>
                <w:rFonts w:asciiTheme="minorHAnsi" w:hAnsiTheme="minorHAnsi" w:cs="Arial"/>
                <w:bCs/>
                <w:sz w:val="20"/>
                <w:szCs w:val="20"/>
                <w:lang w:eastAsia="en-US"/>
              </w:rPr>
              <w:t>25%</w:t>
            </w:r>
          </w:p>
        </w:tc>
        <w:tc>
          <w:tcPr>
            <w:tcW w:w="486" w:type="pct"/>
            <w:vAlign w:val="center"/>
          </w:tcPr>
          <w:p w:rsidR="00F1056D" w:rsidRPr="001D7490" w:rsidRDefault="00F1056D" w:rsidP="0034740B">
            <w:pPr>
              <w:pStyle w:val="Title"/>
              <w:rPr>
                <w:rFonts w:asciiTheme="minorHAnsi" w:hAnsiTheme="minorHAnsi" w:cs="Arial"/>
                <w:b w:val="0"/>
                <w:bCs w:val="0"/>
                <w:sz w:val="20"/>
                <w:szCs w:val="20"/>
              </w:rPr>
            </w:pPr>
            <w:r>
              <w:rPr>
                <w:rFonts w:asciiTheme="minorHAnsi" w:hAnsiTheme="minorHAnsi" w:cs="Arial"/>
                <w:b w:val="0"/>
                <w:bCs w:val="0"/>
                <w:sz w:val="20"/>
                <w:szCs w:val="20"/>
              </w:rPr>
              <w:t>5%</w:t>
            </w:r>
          </w:p>
        </w:tc>
        <w:tc>
          <w:tcPr>
            <w:tcW w:w="679" w:type="pct"/>
            <w:vAlign w:val="center"/>
          </w:tcPr>
          <w:p w:rsidR="00765213" w:rsidRDefault="00765213" w:rsidP="0034740B">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F1056D" w:rsidRPr="001D7490" w:rsidRDefault="00F1056D" w:rsidP="0034740B">
            <w:pPr>
              <w:pStyle w:val="Title"/>
              <w:ind w:left="141"/>
              <w:jc w:val="left"/>
              <w:rPr>
                <w:rFonts w:asciiTheme="minorHAnsi" w:hAnsiTheme="minorHAnsi" w:cs="Arial"/>
                <w:b w:val="0"/>
                <w:bCs w:val="0"/>
                <w:sz w:val="20"/>
                <w:szCs w:val="20"/>
                <w:lang w:val="en-AU"/>
              </w:rPr>
            </w:pPr>
            <w:r w:rsidRPr="001D7490">
              <w:rPr>
                <w:rFonts w:asciiTheme="minorHAnsi" w:hAnsiTheme="minorHAnsi" w:cs="Arial"/>
                <w:b w:val="0"/>
                <w:bCs w:val="0"/>
                <w:sz w:val="20"/>
                <w:szCs w:val="20"/>
                <w:lang w:val="en-AU"/>
              </w:rPr>
              <w:t>Week</w:t>
            </w:r>
            <w:r>
              <w:rPr>
                <w:rFonts w:asciiTheme="minorHAnsi" w:hAnsiTheme="minorHAnsi" w:cs="Arial"/>
                <w:b w:val="0"/>
                <w:bCs w:val="0"/>
                <w:sz w:val="20"/>
                <w:szCs w:val="20"/>
                <w:lang w:val="en-AU"/>
              </w:rPr>
              <w:t xml:space="preserve"> 3</w:t>
            </w:r>
          </w:p>
        </w:tc>
        <w:tc>
          <w:tcPr>
            <w:tcW w:w="2573" w:type="pct"/>
          </w:tcPr>
          <w:p w:rsidR="00F1056D" w:rsidRPr="00B340E2" w:rsidRDefault="00F1056D" w:rsidP="002650EC">
            <w:pPr>
              <w:tabs>
                <w:tab w:val="left" w:pos="4140"/>
                <w:tab w:val="left" w:pos="4800"/>
              </w:tabs>
              <w:ind w:left="93" w:right="142"/>
              <w:rPr>
                <w:rFonts w:asciiTheme="minorHAnsi" w:hAnsiTheme="minorHAnsi" w:cs="Arial"/>
                <w:b/>
                <w:sz w:val="20"/>
                <w:szCs w:val="20"/>
              </w:rPr>
            </w:pPr>
            <w:r w:rsidRPr="00C63D25">
              <w:rPr>
                <w:rFonts w:asciiTheme="minorHAnsi" w:hAnsiTheme="minorHAnsi" w:cs="Arial"/>
                <w:b/>
                <w:sz w:val="20"/>
                <w:szCs w:val="20"/>
                <w:lang w:eastAsia="en-US"/>
              </w:rPr>
              <w:t xml:space="preserve">Task 1: </w:t>
            </w:r>
            <w:r>
              <w:rPr>
                <w:rFonts w:asciiTheme="minorHAnsi" w:hAnsiTheme="minorHAnsi" w:cs="Arial"/>
                <w:sz w:val="20"/>
                <w:szCs w:val="20"/>
                <w:lang w:eastAsia="en-US"/>
              </w:rPr>
              <w:t>Practical –</w:t>
            </w:r>
            <w:r w:rsidR="009A35A8">
              <w:rPr>
                <w:rFonts w:asciiTheme="minorHAnsi" w:hAnsiTheme="minorHAnsi" w:cs="Arial"/>
                <w:sz w:val="20"/>
                <w:szCs w:val="20"/>
                <w:lang w:eastAsia="en-US"/>
              </w:rPr>
              <w:t xml:space="preserve"> </w:t>
            </w:r>
            <w:r w:rsidR="002650EC">
              <w:rPr>
                <w:rFonts w:asciiTheme="minorHAnsi" w:hAnsiTheme="minorHAnsi" w:cs="Arial"/>
                <w:sz w:val="20"/>
                <w:szCs w:val="20"/>
                <w:lang w:eastAsia="en-US"/>
              </w:rPr>
              <w:t>R</w:t>
            </w:r>
            <w:r>
              <w:rPr>
                <w:rFonts w:asciiTheme="minorHAnsi" w:hAnsiTheme="minorHAnsi" w:cs="Arial"/>
                <w:sz w:val="20"/>
                <w:szCs w:val="20"/>
                <w:lang w:eastAsia="en-US"/>
              </w:rPr>
              <w:t>eport on conduct of flame tests and observations of emission spectra and respon</w:t>
            </w:r>
            <w:r w:rsidR="002650EC">
              <w:rPr>
                <w:rFonts w:asciiTheme="minorHAnsi" w:hAnsiTheme="minorHAnsi" w:cs="Arial"/>
                <w:sz w:val="20"/>
                <w:szCs w:val="20"/>
                <w:lang w:eastAsia="en-US"/>
              </w:rPr>
              <w:t>d to laboratory quiz questions</w:t>
            </w:r>
          </w:p>
        </w:tc>
      </w:tr>
      <w:tr w:rsidR="00F1056D" w:rsidRPr="00F261F4" w:rsidTr="002650EC">
        <w:trPr>
          <w:trHeight w:val="20"/>
        </w:trPr>
        <w:tc>
          <w:tcPr>
            <w:tcW w:w="777" w:type="pct"/>
            <w:vMerge/>
            <w:vAlign w:val="center"/>
          </w:tcPr>
          <w:p w:rsidR="00F1056D" w:rsidRPr="00B340E2" w:rsidRDefault="00F1056D" w:rsidP="0034740B">
            <w:pPr>
              <w:tabs>
                <w:tab w:val="left" w:pos="1440"/>
                <w:tab w:val="left" w:pos="4140"/>
                <w:tab w:val="left" w:pos="4800"/>
              </w:tabs>
              <w:ind w:left="3"/>
              <w:jc w:val="center"/>
              <w:rPr>
                <w:rFonts w:asciiTheme="minorHAnsi" w:hAnsiTheme="minorHAnsi" w:cs="Arial"/>
                <w:sz w:val="20"/>
                <w:szCs w:val="20"/>
                <w:lang w:val="en-AU"/>
              </w:rPr>
            </w:pPr>
          </w:p>
        </w:tc>
        <w:tc>
          <w:tcPr>
            <w:tcW w:w="485" w:type="pct"/>
            <w:vMerge/>
            <w:vAlign w:val="center"/>
          </w:tcPr>
          <w:p w:rsidR="00F1056D" w:rsidRPr="00B340E2" w:rsidRDefault="00F1056D" w:rsidP="0034740B">
            <w:pPr>
              <w:tabs>
                <w:tab w:val="left" w:pos="4140"/>
                <w:tab w:val="left" w:pos="4800"/>
              </w:tabs>
              <w:ind w:left="93" w:right="71"/>
              <w:jc w:val="center"/>
              <w:rPr>
                <w:rFonts w:asciiTheme="minorHAnsi" w:hAnsiTheme="minorHAnsi" w:cs="Arial"/>
                <w:b/>
                <w:bCs/>
                <w:sz w:val="20"/>
                <w:szCs w:val="20"/>
                <w:lang w:eastAsia="en-US"/>
              </w:rPr>
            </w:pPr>
          </w:p>
        </w:tc>
        <w:tc>
          <w:tcPr>
            <w:tcW w:w="486" w:type="pct"/>
            <w:vAlign w:val="center"/>
          </w:tcPr>
          <w:p w:rsidR="00F1056D" w:rsidRPr="001D7490" w:rsidRDefault="00F1056D" w:rsidP="0034740B">
            <w:pPr>
              <w:pStyle w:val="Title"/>
              <w:rPr>
                <w:rFonts w:asciiTheme="minorHAnsi" w:hAnsiTheme="minorHAnsi" w:cs="Arial"/>
                <w:b w:val="0"/>
                <w:bCs w:val="0"/>
                <w:sz w:val="20"/>
                <w:szCs w:val="20"/>
              </w:rPr>
            </w:pPr>
            <w:r w:rsidRPr="001D7490">
              <w:rPr>
                <w:rFonts w:asciiTheme="minorHAnsi" w:hAnsiTheme="minorHAnsi" w:cs="Arial"/>
                <w:b w:val="0"/>
                <w:bCs w:val="0"/>
                <w:sz w:val="20"/>
                <w:szCs w:val="20"/>
              </w:rPr>
              <w:t>5</w:t>
            </w:r>
            <w:r w:rsidRPr="001D7490">
              <w:rPr>
                <w:rFonts w:asciiTheme="minorHAnsi" w:hAnsiTheme="minorHAnsi" w:cs="Arial"/>
                <w:b w:val="0"/>
                <w:sz w:val="20"/>
                <w:szCs w:val="20"/>
              </w:rPr>
              <w:t>%</w:t>
            </w:r>
          </w:p>
        </w:tc>
        <w:tc>
          <w:tcPr>
            <w:tcW w:w="679" w:type="pct"/>
            <w:vAlign w:val="center"/>
          </w:tcPr>
          <w:p w:rsidR="00765213" w:rsidRDefault="00765213" w:rsidP="00765213">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F1056D" w:rsidRPr="001D7490" w:rsidRDefault="00F1056D" w:rsidP="0034740B">
            <w:pPr>
              <w:pStyle w:val="Title"/>
              <w:ind w:left="141"/>
              <w:jc w:val="left"/>
              <w:rPr>
                <w:rFonts w:asciiTheme="minorHAnsi" w:hAnsiTheme="minorHAnsi" w:cs="Arial"/>
                <w:b w:val="0"/>
                <w:bCs w:val="0"/>
                <w:sz w:val="20"/>
                <w:szCs w:val="20"/>
                <w:lang w:val="en-AU"/>
              </w:rPr>
            </w:pPr>
            <w:r w:rsidRPr="001D7490">
              <w:rPr>
                <w:rFonts w:asciiTheme="minorHAnsi" w:hAnsiTheme="minorHAnsi" w:cs="Arial"/>
                <w:b w:val="0"/>
                <w:bCs w:val="0"/>
                <w:sz w:val="20"/>
                <w:szCs w:val="20"/>
                <w:lang w:val="en-AU"/>
              </w:rPr>
              <w:t>Week 9</w:t>
            </w:r>
          </w:p>
        </w:tc>
        <w:tc>
          <w:tcPr>
            <w:tcW w:w="2573" w:type="pct"/>
          </w:tcPr>
          <w:p w:rsidR="00F1056D" w:rsidRPr="00B340E2" w:rsidRDefault="00F1056D" w:rsidP="0034740B">
            <w:pPr>
              <w:tabs>
                <w:tab w:val="left" w:pos="4140"/>
                <w:tab w:val="left" w:pos="4800"/>
              </w:tabs>
              <w:ind w:left="93" w:right="142"/>
              <w:rPr>
                <w:rFonts w:asciiTheme="minorHAnsi" w:hAnsiTheme="minorHAnsi" w:cs="Arial"/>
                <w:sz w:val="20"/>
                <w:szCs w:val="20"/>
              </w:rPr>
            </w:pPr>
            <w:r w:rsidRPr="00B340E2">
              <w:rPr>
                <w:rFonts w:asciiTheme="minorHAnsi" w:hAnsiTheme="minorHAnsi" w:cs="Arial"/>
                <w:b/>
                <w:sz w:val="20"/>
                <w:szCs w:val="20"/>
              </w:rPr>
              <w:t xml:space="preserve">Task </w:t>
            </w:r>
            <w:r>
              <w:rPr>
                <w:rFonts w:asciiTheme="minorHAnsi" w:hAnsiTheme="minorHAnsi" w:cs="Arial"/>
                <w:b/>
                <w:sz w:val="20"/>
                <w:szCs w:val="20"/>
              </w:rPr>
              <w:t>3</w:t>
            </w:r>
            <w:r w:rsidRPr="00B340E2">
              <w:rPr>
                <w:rFonts w:asciiTheme="minorHAnsi" w:hAnsiTheme="minorHAnsi" w:cs="Arial"/>
                <w:b/>
                <w:sz w:val="20"/>
                <w:szCs w:val="20"/>
              </w:rPr>
              <w:t>:</w:t>
            </w:r>
            <w:r w:rsidRPr="00B340E2">
              <w:rPr>
                <w:rFonts w:asciiTheme="minorHAnsi" w:hAnsiTheme="minorHAnsi" w:cs="Arial"/>
                <w:sz w:val="20"/>
                <w:szCs w:val="20"/>
              </w:rPr>
              <w:t xml:space="preserve"> Investigation</w:t>
            </w:r>
            <w:r>
              <w:rPr>
                <w:rFonts w:asciiTheme="minorHAnsi" w:hAnsiTheme="minorHAnsi" w:cs="Arial"/>
                <w:sz w:val="20"/>
                <w:szCs w:val="20"/>
              </w:rPr>
              <w:t xml:space="preserve"> – </w:t>
            </w:r>
            <w:r w:rsidRPr="00B340E2">
              <w:rPr>
                <w:rFonts w:asciiTheme="minorHAnsi" w:hAnsiTheme="minorHAnsi" w:cs="Arial"/>
                <w:sz w:val="20"/>
                <w:szCs w:val="20"/>
              </w:rPr>
              <w:t xml:space="preserve">Design and conduct of experiment to determine any effect of the anion (or cation) on the </w:t>
            </w:r>
            <w:r w:rsidRPr="00B340E2">
              <w:rPr>
                <w:rFonts w:asciiTheme="minorHAnsi" w:hAnsiTheme="minorHAnsi" w:cs="Arial"/>
                <w:sz w:val="20"/>
                <w:szCs w:val="20"/>
                <w:lang w:val="en-AU"/>
              </w:rPr>
              <w:t xml:space="preserve">enthalpy changes in dissolving of ionic compounds (enthalpy of solution) </w:t>
            </w:r>
          </w:p>
        </w:tc>
      </w:tr>
      <w:tr w:rsidR="00F1056D" w:rsidRPr="00F261F4" w:rsidTr="002650EC">
        <w:trPr>
          <w:trHeight w:val="20"/>
        </w:trPr>
        <w:tc>
          <w:tcPr>
            <w:tcW w:w="777" w:type="pct"/>
            <w:vMerge/>
            <w:vAlign w:val="center"/>
          </w:tcPr>
          <w:p w:rsidR="00F1056D" w:rsidRPr="00B340E2" w:rsidRDefault="00F1056D" w:rsidP="0034740B">
            <w:pPr>
              <w:tabs>
                <w:tab w:val="left" w:pos="1440"/>
                <w:tab w:val="left" w:pos="4140"/>
                <w:tab w:val="left" w:pos="4800"/>
              </w:tabs>
              <w:ind w:left="3"/>
              <w:jc w:val="center"/>
              <w:rPr>
                <w:rFonts w:asciiTheme="minorHAnsi" w:hAnsiTheme="minorHAnsi" w:cs="Arial"/>
                <w:sz w:val="20"/>
                <w:szCs w:val="20"/>
                <w:lang w:val="en-AU"/>
              </w:rPr>
            </w:pPr>
          </w:p>
        </w:tc>
        <w:tc>
          <w:tcPr>
            <w:tcW w:w="485" w:type="pct"/>
            <w:vMerge/>
            <w:vAlign w:val="center"/>
          </w:tcPr>
          <w:p w:rsidR="00F1056D" w:rsidRPr="00B340E2" w:rsidRDefault="00F1056D" w:rsidP="0034740B">
            <w:pPr>
              <w:tabs>
                <w:tab w:val="left" w:pos="4140"/>
                <w:tab w:val="left" w:pos="4800"/>
              </w:tabs>
              <w:ind w:left="93" w:right="71"/>
              <w:jc w:val="center"/>
              <w:rPr>
                <w:rFonts w:asciiTheme="minorHAnsi" w:hAnsiTheme="minorHAnsi" w:cs="Arial"/>
                <w:b/>
                <w:bCs/>
                <w:sz w:val="20"/>
                <w:szCs w:val="20"/>
                <w:lang w:eastAsia="en-US"/>
              </w:rPr>
            </w:pPr>
          </w:p>
        </w:tc>
        <w:tc>
          <w:tcPr>
            <w:tcW w:w="486" w:type="pct"/>
            <w:vAlign w:val="center"/>
          </w:tcPr>
          <w:p w:rsidR="00F1056D" w:rsidRPr="001D7490" w:rsidRDefault="00F1056D" w:rsidP="0034740B">
            <w:pPr>
              <w:pStyle w:val="Title"/>
              <w:rPr>
                <w:rFonts w:asciiTheme="minorHAnsi" w:hAnsiTheme="minorHAnsi" w:cs="Arial"/>
                <w:b w:val="0"/>
                <w:bCs w:val="0"/>
                <w:sz w:val="20"/>
                <w:szCs w:val="20"/>
              </w:rPr>
            </w:pPr>
            <w:r>
              <w:rPr>
                <w:rFonts w:asciiTheme="minorHAnsi" w:hAnsiTheme="minorHAnsi" w:cs="Arial"/>
                <w:b w:val="0"/>
                <w:bCs w:val="0"/>
                <w:sz w:val="20"/>
                <w:szCs w:val="20"/>
              </w:rPr>
              <w:t>5%</w:t>
            </w:r>
          </w:p>
        </w:tc>
        <w:tc>
          <w:tcPr>
            <w:tcW w:w="679" w:type="pct"/>
            <w:vAlign w:val="center"/>
          </w:tcPr>
          <w:p w:rsidR="00765213" w:rsidRDefault="00765213" w:rsidP="00765213">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F1056D" w:rsidRPr="001D7490" w:rsidRDefault="00F1056D" w:rsidP="0034740B">
            <w:pPr>
              <w:pStyle w:val="Title"/>
              <w:ind w:left="141"/>
              <w:jc w:val="left"/>
              <w:rPr>
                <w:rFonts w:asciiTheme="minorHAnsi" w:hAnsiTheme="minorHAnsi" w:cs="Arial"/>
                <w:b w:val="0"/>
                <w:bCs w:val="0"/>
                <w:sz w:val="20"/>
                <w:szCs w:val="20"/>
                <w:lang w:val="en-AU"/>
              </w:rPr>
            </w:pPr>
            <w:r w:rsidRPr="001D7490">
              <w:rPr>
                <w:rFonts w:asciiTheme="minorHAnsi" w:hAnsiTheme="minorHAnsi" w:cs="Arial"/>
                <w:b w:val="0"/>
                <w:bCs w:val="0"/>
                <w:sz w:val="20"/>
                <w:szCs w:val="20"/>
                <w:lang w:val="en-AU"/>
              </w:rPr>
              <w:t>Week</w:t>
            </w:r>
            <w:r>
              <w:rPr>
                <w:rFonts w:asciiTheme="minorHAnsi" w:hAnsiTheme="minorHAnsi" w:cs="Arial"/>
                <w:b w:val="0"/>
                <w:bCs w:val="0"/>
                <w:sz w:val="20"/>
                <w:szCs w:val="20"/>
                <w:lang w:val="en-AU"/>
              </w:rPr>
              <w:t xml:space="preserve"> 11</w:t>
            </w:r>
          </w:p>
        </w:tc>
        <w:tc>
          <w:tcPr>
            <w:tcW w:w="2573" w:type="pct"/>
          </w:tcPr>
          <w:p w:rsidR="00F1056D" w:rsidRPr="00B340E2" w:rsidRDefault="00F1056D" w:rsidP="002650EC">
            <w:pPr>
              <w:tabs>
                <w:tab w:val="left" w:pos="4140"/>
                <w:tab w:val="left" w:pos="4800"/>
              </w:tabs>
              <w:ind w:left="93" w:right="142"/>
              <w:rPr>
                <w:rFonts w:asciiTheme="minorHAnsi" w:hAnsiTheme="minorHAnsi" w:cs="Arial"/>
                <w:b/>
                <w:sz w:val="20"/>
                <w:szCs w:val="20"/>
              </w:rPr>
            </w:pPr>
            <w:r w:rsidRPr="00C63D25">
              <w:rPr>
                <w:rFonts w:asciiTheme="minorHAnsi" w:hAnsiTheme="minorHAnsi" w:cs="Arial"/>
                <w:b/>
                <w:sz w:val="20"/>
                <w:szCs w:val="20"/>
                <w:lang w:eastAsia="en-US"/>
              </w:rPr>
              <w:t xml:space="preserve">Task </w:t>
            </w:r>
            <w:r>
              <w:rPr>
                <w:rFonts w:asciiTheme="minorHAnsi" w:hAnsiTheme="minorHAnsi" w:cs="Arial"/>
                <w:b/>
                <w:sz w:val="20"/>
                <w:szCs w:val="20"/>
                <w:lang w:eastAsia="en-US"/>
              </w:rPr>
              <w:t>5</w:t>
            </w:r>
            <w:r w:rsidRPr="00C63D25">
              <w:rPr>
                <w:rFonts w:asciiTheme="minorHAnsi" w:hAnsiTheme="minorHAnsi" w:cs="Arial"/>
                <w:b/>
                <w:sz w:val="20"/>
                <w:szCs w:val="20"/>
                <w:lang w:eastAsia="en-US"/>
              </w:rPr>
              <w:t xml:space="preserve">: </w:t>
            </w:r>
            <w:r>
              <w:rPr>
                <w:rFonts w:asciiTheme="minorHAnsi" w:hAnsiTheme="minorHAnsi" w:cs="Arial"/>
                <w:sz w:val="20"/>
                <w:szCs w:val="20"/>
                <w:lang w:eastAsia="en-US"/>
              </w:rPr>
              <w:t>Data analysis –</w:t>
            </w:r>
            <w:r w:rsidR="00570E11">
              <w:rPr>
                <w:rFonts w:asciiTheme="minorHAnsi" w:hAnsiTheme="minorHAnsi" w:cs="Arial"/>
                <w:sz w:val="20"/>
                <w:szCs w:val="20"/>
                <w:lang w:eastAsia="en-US"/>
              </w:rPr>
              <w:t xml:space="preserve"> </w:t>
            </w:r>
            <w:r w:rsidR="002650EC">
              <w:rPr>
                <w:rFonts w:asciiTheme="minorHAnsi" w:hAnsiTheme="minorHAnsi" w:cs="Arial"/>
                <w:sz w:val="20"/>
                <w:szCs w:val="20"/>
                <w:lang w:eastAsia="en-US"/>
              </w:rPr>
              <w:t>G</w:t>
            </w:r>
            <w:r>
              <w:rPr>
                <w:rFonts w:asciiTheme="minorHAnsi" w:hAnsiTheme="minorHAnsi" w:cs="Arial"/>
                <w:sz w:val="20"/>
                <w:szCs w:val="20"/>
                <w:lang w:eastAsia="en-US"/>
              </w:rPr>
              <w:t xml:space="preserve">raph and analyse data on melting points of hydrocarbons </w:t>
            </w:r>
            <w:r w:rsidR="002650EC">
              <w:rPr>
                <w:rFonts w:asciiTheme="minorHAnsi" w:hAnsiTheme="minorHAnsi" w:cs="Arial"/>
                <w:sz w:val="20"/>
                <w:szCs w:val="20"/>
                <w:lang w:eastAsia="en-US"/>
              </w:rPr>
              <w:t>to identify and explain trends</w:t>
            </w:r>
          </w:p>
        </w:tc>
      </w:tr>
      <w:tr w:rsidR="00F1056D" w:rsidRPr="00F261F4" w:rsidTr="002650EC">
        <w:trPr>
          <w:trHeight w:val="20"/>
        </w:trPr>
        <w:tc>
          <w:tcPr>
            <w:tcW w:w="777" w:type="pct"/>
            <w:vMerge/>
            <w:vAlign w:val="center"/>
          </w:tcPr>
          <w:p w:rsidR="00F1056D" w:rsidRPr="00B340E2" w:rsidRDefault="00F1056D" w:rsidP="0034740B">
            <w:pPr>
              <w:tabs>
                <w:tab w:val="left" w:pos="1440"/>
                <w:tab w:val="left" w:pos="4140"/>
                <w:tab w:val="left" w:pos="4800"/>
              </w:tabs>
              <w:ind w:left="3"/>
              <w:jc w:val="center"/>
              <w:rPr>
                <w:rFonts w:asciiTheme="minorHAnsi" w:hAnsiTheme="minorHAnsi" w:cs="Arial"/>
                <w:sz w:val="20"/>
                <w:szCs w:val="20"/>
                <w:lang w:val="en-AU"/>
              </w:rPr>
            </w:pPr>
          </w:p>
        </w:tc>
        <w:tc>
          <w:tcPr>
            <w:tcW w:w="485" w:type="pct"/>
            <w:vMerge/>
            <w:vAlign w:val="center"/>
          </w:tcPr>
          <w:p w:rsidR="00F1056D" w:rsidRPr="00B340E2" w:rsidRDefault="00F1056D" w:rsidP="0034740B">
            <w:pPr>
              <w:tabs>
                <w:tab w:val="left" w:pos="4140"/>
                <w:tab w:val="left" w:pos="4800"/>
              </w:tabs>
              <w:ind w:left="93" w:right="71"/>
              <w:jc w:val="center"/>
              <w:rPr>
                <w:rFonts w:asciiTheme="minorHAnsi" w:hAnsiTheme="minorHAnsi" w:cs="Arial"/>
                <w:b/>
                <w:bCs/>
                <w:sz w:val="20"/>
                <w:szCs w:val="20"/>
                <w:lang w:eastAsia="en-US"/>
              </w:rPr>
            </w:pPr>
          </w:p>
        </w:tc>
        <w:tc>
          <w:tcPr>
            <w:tcW w:w="486" w:type="pct"/>
            <w:vAlign w:val="center"/>
          </w:tcPr>
          <w:p w:rsidR="00F1056D" w:rsidRPr="001D7490" w:rsidRDefault="00F1056D" w:rsidP="0034740B">
            <w:pPr>
              <w:pStyle w:val="Title"/>
              <w:rPr>
                <w:rFonts w:asciiTheme="minorHAnsi" w:hAnsiTheme="minorHAnsi" w:cs="Arial"/>
                <w:b w:val="0"/>
                <w:bCs w:val="0"/>
                <w:sz w:val="20"/>
                <w:szCs w:val="20"/>
              </w:rPr>
            </w:pPr>
            <w:r w:rsidRPr="001D7490">
              <w:rPr>
                <w:rFonts w:asciiTheme="minorHAnsi" w:hAnsiTheme="minorHAnsi" w:cs="Arial"/>
                <w:b w:val="0"/>
                <w:bCs w:val="0"/>
                <w:sz w:val="20"/>
                <w:szCs w:val="20"/>
              </w:rPr>
              <w:t>5%</w:t>
            </w:r>
          </w:p>
        </w:tc>
        <w:tc>
          <w:tcPr>
            <w:tcW w:w="679" w:type="pct"/>
            <w:vAlign w:val="center"/>
          </w:tcPr>
          <w:p w:rsidR="00765213" w:rsidRDefault="002650EC" w:rsidP="00765213">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F1056D" w:rsidRPr="001D7490" w:rsidRDefault="00F1056D" w:rsidP="00765213">
            <w:pPr>
              <w:pStyle w:val="Title"/>
              <w:ind w:left="141"/>
              <w:jc w:val="left"/>
              <w:rPr>
                <w:rFonts w:asciiTheme="minorHAnsi" w:hAnsiTheme="minorHAnsi" w:cs="Arial"/>
                <w:b w:val="0"/>
                <w:bCs w:val="0"/>
                <w:sz w:val="20"/>
                <w:szCs w:val="20"/>
                <w:lang w:val="en-AU"/>
              </w:rPr>
            </w:pPr>
            <w:r w:rsidRPr="00455F72">
              <w:rPr>
                <w:rFonts w:asciiTheme="minorHAnsi" w:hAnsiTheme="minorHAnsi" w:cs="Arial"/>
                <w:b w:val="0"/>
                <w:bCs w:val="0"/>
                <w:sz w:val="20"/>
                <w:szCs w:val="20"/>
              </w:rPr>
              <w:t xml:space="preserve">Week </w:t>
            </w:r>
            <w:r w:rsidR="00765213">
              <w:rPr>
                <w:rFonts w:asciiTheme="minorHAnsi" w:hAnsiTheme="minorHAnsi" w:cs="Arial"/>
                <w:b w:val="0"/>
                <w:bCs w:val="0"/>
                <w:sz w:val="20"/>
                <w:szCs w:val="20"/>
              </w:rPr>
              <w:t>10</w:t>
            </w:r>
          </w:p>
        </w:tc>
        <w:tc>
          <w:tcPr>
            <w:tcW w:w="2573" w:type="pct"/>
          </w:tcPr>
          <w:p w:rsidR="00F1056D" w:rsidRPr="00B340E2" w:rsidRDefault="00F1056D" w:rsidP="0034740B">
            <w:pPr>
              <w:pStyle w:val="Title"/>
              <w:ind w:left="93" w:right="142"/>
              <w:jc w:val="left"/>
              <w:rPr>
                <w:rFonts w:asciiTheme="minorHAnsi" w:hAnsiTheme="minorHAnsi" w:cs="Arial"/>
                <w:sz w:val="20"/>
                <w:szCs w:val="20"/>
              </w:rPr>
            </w:pPr>
            <w:r w:rsidRPr="00B340E2">
              <w:rPr>
                <w:rFonts w:asciiTheme="minorHAnsi" w:hAnsiTheme="minorHAnsi" w:cs="Arial"/>
                <w:sz w:val="20"/>
                <w:szCs w:val="20"/>
                <w:lang w:val="it-IT"/>
              </w:rPr>
              <w:t xml:space="preserve">Task </w:t>
            </w:r>
            <w:r>
              <w:rPr>
                <w:rFonts w:asciiTheme="minorHAnsi" w:hAnsiTheme="minorHAnsi" w:cs="Arial"/>
                <w:sz w:val="20"/>
                <w:szCs w:val="20"/>
                <w:lang w:val="it-IT"/>
              </w:rPr>
              <w:t>9</w:t>
            </w:r>
            <w:r w:rsidRPr="00B340E2">
              <w:rPr>
                <w:rFonts w:asciiTheme="minorHAnsi" w:hAnsiTheme="minorHAnsi" w:cs="Arial"/>
                <w:sz w:val="20"/>
                <w:szCs w:val="20"/>
                <w:lang w:val="it-IT"/>
              </w:rPr>
              <w:t>:</w:t>
            </w:r>
            <w:r w:rsidRPr="00B340E2">
              <w:rPr>
                <w:rFonts w:asciiTheme="minorHAnsi" w:hAnsiTheme="minorHAnsi" w:cs="Arial"/>
                <w:b w:val="0"/>
                <w:sz w:val="20"/>
                <w:szCs w:val="20"/>
                <w:lang w:val="it-IT"/>
              </w:rPr>
              <w:t xml:space="preserve"> Practical test</w:t>
            </w:r>
            <w:r>
              <w:rPr>
                <w:rFonts w:asciiTheme="minorHAnsi" w:hAnsiTheme="minorHAnsi" w:cs="Arial"/>
                <w:b w:val="0"/>
                <w:sz w:val="20"/>
                <w:szCs w:val="20"/>
                <w:lang w:val="it-IT"/>
              </w:rPr>
              <w:t xml:space="preserve"> – </w:t>
            </w:r>
            <w:r w:rsidR="00202388">
              <w:rPr>
                <w:rFonts w:asciiTheme="minorHAnsi" w:hAnsiTheme="minorHAnsi" w:cs="Arial"/>
                <w:b w:val="0"/>
                <w:sz w:val="20"/>
                <w:szCs w:val="20"/>
                <w:lang w:val="it-IT"/>
              </w:rPr>
              <w:t>Design and carry</w:t>
            </w:r>
            <w:r w:rsidRPr="00B340E2">
              <w:rPr>
                <w:rFonts w:asciiTheme="minorHAnsi" w:hAnsiTheme="minorHAnsi" w:cs="Arial"/>
                <w:b w:val="0"/>
                <w:sz w:val="20"/>
                <w:szCs w:val="20"/>
                <w:lang w:val="it-IT"/>
              </w:rPr>
              <w:t xml:space="preserve"> out tests to identify unknown white powders (flame tests, solubility rules, reactions with acid etc.)</w:t>
            </w:r>
          </w:p>
        </w:tc>
      </w:tr>
      <w:tr w:rsidR="00F1056D" w:rsidRPr="00F261F4" w:rsidTr="002650EC">
        <w:trPr>
          <w:trHeight w:val="20"/>
        </w:trPr>
        <w:tc>
          <w:tcPr>
            <w:tcW w:w="777" w:type="pct"/>
            <w:vMerge/>
            <w:vAlign w:val="center"/>
          </w:tcPr>
          <w:p w:rsidR="00F1056D" w:rsidRPr="00B340E2" w:rsidRDefault="00F1056D" w:rsidP="0034740B">
            <w:pPr>
              <w:rPr>
                <w:rFonts w:asciiTheme="minorHAnsi" w:hAnsiTheme="minorHAnsi" w:cs="Arial"/>
                <w:sz w:val="20"/>
                <w:szCs w:val="20"/>
                <w:lang w:val="en-US" w:eastAsia="en-US"/>
              </w:rPr>
            </w:pPr>
          </w:p>
        </w:tc>
        <w:tc>
          <w:tcPr>
            <w:tcW w:w="485" w:type="pct"/>
            <w:vMerge/>
            <w:vAlign w:val="center"/>
          </w:tcPr>
          <w:p w:rsidR="00F1056D" w:rsidRPr="00B340E2" w:rsidRDefault="00F1056D" w:rsidP="0034740B">
            <w:pPr>
              <w:pStyle w:val="Title"/>
              <w:ind w:left="93" w:right="71"/>
              <w:rPr>
                <w:rFonts w:asciiTheme="minorHAnsi" w:hAnsiTheme="minorHAnsi" w:cs="Arial"/>
                <w:sz w:val="20"/>
                <w:szCs w:val="20"/>
                <w:lang w:val="en-AU"/>
              </w:rPr>
            </w:pPr>
          </w:p>
        </w:tc>
        <w:tc>
          <w:tcPr>
            <w:tcW w:w="486" w:type="pct"/>
            <w:vAlign w:val="center"/>
          </w:tcPr>
          <w:p w:rsidR="00F1056D" w:rsidRPr="001D7490" w:rsidRDefault="00F1056D" w:rsidP="0034740B">
            <w:pPr>
              <w:pStyle w:val="Title"/>
              <w:rPr>
                <w:rFonts w:asciiTheme="minorHAnsi" w:hAnsiTheme="minorHAnsi" w:cs="Arial"/>
                <w:b w:val="0"/>
                <w:bCs w:val="0"/>
                <w:sz w:val="20"/>
                <w:szCs w:val="20"/>
              </w:rPr>
            </w:pPr>
            <w:r w:rsidRPr="001D7490">
              <w:rPr>
                <w:rFonts w:asciiTheme="minorHAnsi" w:hAnsiTheme="minorHAnsi" w:cs="Arial"/>
                <w:b w:val="0"/>
                <w:bCs w:val="0"/>
                <w:sz w:val="20"/>
                <w:szCs w:val="20"/>
              </w:rPr>
              <w:t>5</w:t>
            </w:r>
            <w:r w:rsidRPr="001D7490">
              <w:rPr>
                <w:rFonts w:asciiTheme="minorHAnsi" w:hAnsiTheme="minorHAnsi" w:cs="Arial"/>
                <w:b w:val="0"/>
                <w:sz w:val="20"/>
                <w:szCs w:val="20"/>
              </w:rPr>
              <w:t>%</w:t>
            </w:r>
          </w:p>
        </w:tc>
        <w:tc>
          <w:tcPr>
            <w:tcW w:w="679" w:type="pct"/>
            <w:vAlign w:val="center"/>
          </w:tcPr>
          <w:p w:rsidR="002650EC" w:rsidRDefault="002650EC" w:rsidP="002650EC">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F1056D" w:rsidRPr="001D7490" w:rsidRDefault="00F1056D" w:rsidP="002650EC">
            <w:pPr>
              <w:pStyle w:val="Title"/>
              <w:ind w:left="141"/>
              <w:jc w:val="left"/>
              <w:rPr>
                <w:rFonts w:asciiTheme="minorHAnsi" w:hAnsiTheme="minorHAnsi" w:cs="Arial"/>
                <w:b w:val="0"/>
                <w:sz w:val="20"/>
                <w:szCs w:val="20"/>
              </w:rPr>
            </w:pPr>
            <w:r w:rsidRPr="001D7490">
              <w:rPr>
                <w:rFonts w:asciiTheme="minorHAnsi" w:hAnsiTheme="minorHAnsi" w:cs="Arial"/>
                <w:b w:val="0"/>
                <w:bCs w:val="0"/>
                <w:sz w:val="20"/>
                <w:szCs w:val="20"/>
                <w:lang w:val="en-AU"/>
              </w:rPr>
              <w:t xml:space="preserve">Week </w:t>
            </w:r>
            <w:r w:rsidR="002650EC">
              <w:rPr>
                <w:rFonts w:asciiTheme="minorHAnsi" w:hAnsiTheme="minorHAnsi" w:cs="Arial"/>
                <w:b w:val="0"/>
                <w:bCs w:val="0"/>
                <w:sz w:val="20"/>
                <w:szCs w:val="20"/>
                <w:lang w:val="en-AU"/>
              </w:rPr>
              <w:t>13</w:t>
            </w:r>
          </w:p>
        </w:tc>
        <w:tc>
          <w:tcPr>
            <w:tcW w:w="2573" w:type="pct"/>
          </w:tcPr>
          <w:p w:rsidR="00F1056D" w:rsidRPr="00B340E2" w:rsidRDefault="00F1056D" w:rsidP="0034740B">
            <w:pPr>
              <w:pStyle w:val="Title"/>
              <w:ind w:left="93" w:right="142"/>
              <w:jc w:val="left"/>
              <w:rPr>
                <w:rFonts w:asciiTheme="minorHAnsi" w:hAnsiTheme="minorHAnsi" w:cs="Arial"/>
                <w:sz w:val="20"/>
                <w:szCs w:val="20"/>
              </w:rPr>
            </w:pPr>
            <w:r w:rsidRPr="00B340E2">
              <w:rPr>
                <w:rFonts w:asciiTheme="minorHAnsi" w:hAnsiTheme="minorHAnsi" w:cs="Arial"/>
                <w:sz w:val="20"/>
                <w:szCs w:val="20"/>
              </w:rPr>
              <w:t xml:space="preserve">Task </w:t>
            </w:r>
            <w:r>
              <w:rPr>
                <w:rFonts w:asciiTheme="minorHAnsi" w:hAnsiTheme="minorHAnsi" w:cs="Arial"/>
                <w:sz w:val="20"/>
                <w:szCs w:val="20"/>
              </w:rPr>
              <w:t>12</w:t>
            </w:r>
            <w:r w:rsidRPr="00B340E2">
              <w:rPr>
                <w:rFonts w:asciiTheme="minorHAnsi" w:hAnsiTheme="minorHAnsi" w:cs="Arial"/>
                <w:sz w:val="20"/>
                <w:szCs w:val="20"/>
              </w:rPr>
              <w:t xml:space="preserve">: </w:t>
            </w:r>
            <w:r w:rsidRPr="00B340E2">
              <w:rPr>
                <w:rFonts w:asciiTheme="minorHAnsi" w:hAnsiTheme="minorHAnsi" w:cs="Arial"/>
                <w:b w:val="0"/>
                <w:sz w:val="20"/>
                <w:szCs w:val="20"/>
                <w:lang w:val="it-IT"/>
              </w:rPr>
              <w:t>Investigation</w:t>
            </w:r>
            <w:r>
              <w:rPr>
                <w:rFonts w:asciiTheme="minorHAnsi" w:hAnsiTheme="minorHAnsi" w:cs="Arial"/>
                <w:b w:val="0"/>
                <w:sz w:val="20"/>
                <w:szCs w:val="20"/>
                <w:lang w:val="it-IT"/>
              </w:rPr>
              <w:t xml:space="preserve"> – </w:t>
            </w:r>
            <w:r w:rsidRPr="00B340E2">
              <w:rPr>
                <w:rFonts w:asciiTheme="minorHAnsi" w:hAnsiTheme="minorHAnsi" w:cs="Arial"/>
                <w:b w:val="0"/>
                <w:sz w:val="20"/>
                <w:szCs w:val="20"/>
              </w:rPr>
              <w:t>Design and conduct an investigation to compare the rates</w:t>
            </w:r>
            <w:r w:rsidRPr="00B340E2">
              <w:rPr>
                <w:rFonts w:asciiTheme="minorHAnsi" w:hAnsiTheme="minorHAnsi" w:cs="Arial"/>
                <w:b w:val="0"/>
                <w:sz w:val="20"/>
                <w:szCs w:val="20"/>
                <w:lang w:val="en-AU"/>
              </w:rPr>
              <w:t xml:space="preserve"> of reaction of different acids with metal carbonates</w:t>
            </w:r>
          </w:p>
        </w:tc>
      </w:tr>
      <w:tr w:rsidR="00F1056D" w:rsidRPr="00F261F4" w:rsidTr="002650EC">
        <w:trPr>
          <w:trHeight w:val="20"/>
        </w:trPr>
        <w:tc>
          <w:tcPr>
            <w:tcW w:w="777" w:type="pct"/>
            <w:vMerge w:val="restart"/>
            <w:vAlign w:val="center"/>
          </w:tcPr>
          <w:p w:rsidR="00F1056D" w:rsidRPr="00B340E2" w:rsidRDefault="00F1056D" w:rsidP="0034740B">
            <w:pPr>
              <w:tabs>
                <w:tab w:val="left" w:pos="1440"/>
                <w:tab w:val="left" w:pos="4140"/>
                <w:tab w:val="left" w:pos="4800"/>
              </w:tabs>
              <w:ind w:left="3"/>
              <w:jc w:val="center"/>
              <w:rPr>
                <w:rFonts w:asciiTheme="minorHAnsi" w:hAnsiTheme="minorHAnsi" w:cs="Arial"/>
                <w:sz w:val="20"/>
                <w:szCs w:val="20"/>
                <w:lang w:val="en-AU"/>
              </w:rPr>
            </w:pPr>
            <w:r w:rsidRPr="00B340E2">
              <w:rPr>
                <w:rFonts w:asciiTheme="minorHAnsi" w:hAnsiTheme="minorHAnsi" w:cs="Arial"/>
                <w:sz w:val="20"/>
                <w:szCs w:val="20"/>
                <w:lang w:val="en-AU"/>
              </w:rPr>
              <w:t>Extended response</w:t>
            </w:r>
          </w:p>
        </w:tc>
        <w:tc>
          <w:tcPr>
            <w:tcW w:w="485" w:type="pct"/>
            <w:vMerge w:val="restart"/>
            <w:vAlign w:val="center"/>
          </w:tcPr>
          <w:p w:rsidR="00F1056D" w:rsidRPr="002650EC" w:rsidRDefault="00F1056D" w:rsidP="0034740B">
            <w:pPr>
              <w:pStyle w:val="Title"/>
              <w:ind w:left="93" w:right="71"/>
              <w:rPr>
                <w:rFonts w:asciiTheme="minorHAnsi" w:hAnsiTheme="minorHAnsi" w:cs="Arial"/>
                <w:b w:val="0"/>
                <w:sz w:val="20"/>
                <w:szCs w:val="20"/>
                <w:lang w:val="en-AU"/>
              </w:rPr>
            </w:pPr>
            <w:r w:rsidRPr="002650EC">
              <w:rPr>
                <w:rFonts w:asciiTheme="minorHAnsi" w:hAnsiTheme="minorHAnsi" w:cs="Arial"/>
                <w:b w:val="0"/>
                <w:sz w:val="20"/>
                <w:szCs w:val="20"/>
              </w:rPr>
              <w:t>10%</w:t>
            </w:r>
          </w:p>
        </w:tc>
        <w:tc>
          <w:tcPr>
            <w:tcW w:w="486" w:type="pct"/>
            <w:vAlign w:val="center"/>
          </w:tcPr>
          <w:p w:rsidR="00F1056D" w:rsidRPr="001D7490" w:rsidRDefault="00F1056D" w:rsidP="0034740B">
            <w:pPr>
              <w:pStyle w:val="Title"/>
              <w:rPr>
                <w:rFonts w:asciiTheme="minorHAnsi" w:hAnsiTheme="minorHAnsi" w:cs="Arial"/>
                <w:b w:val="0"/>
                <w:bCs w:val="0"/>
                <w:sz w:val="20"/>
                <w:szCs w:val="20"/>
              </w:rPr>
            </w:pPr>
            <w:r w:rsidRPr="001D7490">
              <w:rPr>
                <w:rFonts w:asciiTheme="minorHAnsi" w:hAnsiTheme="minorHAnsi" w:cs="Arial"/>
                <w:b w:val="0"/>
                <w:bCs w:val="0"/>
                <w:sz w:val="20"/>
                <w:szCs w:val="20"/>
              </w:rPr>
              <w:t>5</w:t>
            </w:r>
            <w:r w:rsidRPr="001D7490">
              <w:rPr>
                <w:rFonts w:asciiTheme="minorHAnsi" w:hAnsiTheme="minorHAnsi" w:cs="Arial"/>
                <w:b w:val="0"/>
                <w:sz w:val="20"/>
                <w:szCs w:val="20"/>
              </w:rPr>
              <w:t>%</w:t>
            </w:r>
          </w:p>
        </w:tc>
        <w:tc>
          <w:tcPr>
            <w:tcW w:w="679" w:type="pct"/>
            <w:vAlign w:val="center"/>
          </w:tcPr>
          <w:p w:rsidR="002650EC" w:rsidRDefault="002650EC" w:rsidP="002650EC">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F1056D" w:rsidRPr="001D7490" w:rsidRDefault="00F1056D" w:rsidP="0034740B">
            <w:pPr>
              <w:pStyle w:val="Title"/>
              <w:ind w:left="141"/>
              <w:jc w:val="left"/>
              <w:rPr>
                <w:rFonts w:asciiTheme="minorHAnsi" w:hAnsiTheme="minorHAnsi" w:cs="Arial"/>
                <w:b w:val="0"/>
                <w:sz w:val="20"/>
                <w:szCs w:val="20"/>
              </w:rPr>
            </w:pPr>
            <w:r w:rsidRPr="001D7490">
              <w:rPr>
                <w:rFonts w:asciiTheme="minorHAnsi" w:hAnsiTheme="minorHAnsi" w:cs="Arial"/>
                <w:b w:val="0"/>
                <w:bCs w:val="0"/>
                <w:sz w:val="20"/>
                <w:szCs w:val="20"/>
                <w:lang w:val="en-AU"/>
              </w:rPr>
              <w:t>Week 14</w:t>
            </w:r>
          </w:p>
        </w:tc>
        <w:tc>
          <w:tcPr>
            <w:tcW w:w="2573" w:type="pct"/>
          </w:tcPr>
          <w:p w:rsidR="00F1056D" w:rsidRPr="00B340E2" w:rsidRDefault="00F1056D" w:rsidP="0034740B">
            <w:pPr>
              <w:pStyle w:val="Title"/>
              <w:ind w:left="93" w:right="142"/>
              <w:jc w:val="left"/>
              <w:rPr>
                <w:rFonts w:asciiTheme="minorHAnsi" w:hAnsiTheme="minorHAnsi" w:cs="Arial"/>
                <w:sz w:val="20"/>
                <w:szCs w:val="20"/>
              </w:rPr>
            </w:pPr>
            <w:r w:rsidRPr="00B340E2">
              <w:rPr>
                <w:rFonts w:asciiTheme="minorHAnsi" w:hAnsiTheme="minorHAnsi" w:cs="Arial"/>
                <w:sz w:val="20"/>
                <w:szCs w:val="20"/>
              </w:rPr>
              <w:t xml:space="preserve">Task </w:t>
            </w:r>
            <w:r>
              <w:rPr>
                <w:rFonts w:asciiTheme="minorHAnsi" w:hAnsiTheme="minorHAnsi" w:cs="Arial"/>
                <w:sz w:val="20"/>
                <w:szCs w:val="20"/>
              </w:rPr>
              <w:t>6</w:t>
            </w:r>
            <w:r w:rsidRPr="00B340E2">
              <w:rPr>
                <w:rFonts w:asciiTheme="minorHAnsi" w:hAnsiTheme="minorHAnsi" w:cs="Arial"/>
                <w:sz w:val="20"/>
                <w:szCs w:val="20"/>
              </w:rPr>
              <w:t xml:space="preserve">: </w:t>
            </w:r>
            <w:r w:rsidRPr="00B340E2">
              <w:rPr>
                <w:rFonts w:asciiTheme="minorHAnsi" w:hAnsiTheme="minorHAnsi" w:cs="Arial"/>
                <w:b w:val="0"/>
                <w:sz w:val="20"/>
                <w:szCs w:val="20"/>
              </w:rPr>
              <w:t>Comparing</w:t>
            </w:r>
            <w:r w:rsidRPr="00B340E2">
              <w:rPr>
                <w:rFonts w:asciiTheme="minorHAnsi" w:hAnsiTheme="minorHAnsi" w:cs="Arial"/>
                <w:sz w:val="20"/>
                <w:szCs w:val="20"/>
              </w:rPr>
              <w:t xml:space="preserve"> </w:t>
            </w:r>
            <w:r w:rsidRPr="00B340E2">
              <w:rPr>
                <w:rFonts w:asciiTheme="minorHAnsi" w:hAnsiTheme="minorHAnsi" w:cs="Arial"/>
                <w:b w:val="0"/>
                <w:sz w:val="20"/>
                <w:szCs w:val="20"/>
                <w:lang w:val="en-AU"/>
              </w:rPr>
              <w:t>energy and CO</w:t>
            </w:r>
            <w:r w:rsidRPr="00B340E2">
              <w:rPr>
                <w:rFonts w:asciiTheme="minorHAnsi" w:hAnsiTheme="minorHAnsi" w:cs="Arial"/>
                <w:b w:val="0"/>
                <w:sz w:val="20"/>
                <w:szCs w:val="20"/>
                <w:vertAlign w:val="subscript"/>
                <w:lang w:val="en-AU"/>
              </w:rPr>
              <w:t>2</w:t>
            </w:r>
            <w:r w:rsidRPr="00B340E2">
              <w:rPr>
                <w:rFonts w:asciiTheme="minorHAnsi" w:hAnsiTheme="minorHAnsi" w:cs="Arial"/>
                <w:b w:val="0"/>
                <w:sz w:val="20"/>
                <w:szCs w:val="20"/>
                <w:lang w:val="en-AU"/>
              </w:rPr>
              <w:t xml:space="preserve"> output for combustion of fossil fuels and biofuels</w:t>
            </w:r>
          </w:p>
        </w:tc>
      </w:tr>
      <w:tr w:rsidR="00F1056D" w:rsidRPr="00F261F4" w:rsidTr="002650EC">
        <w:trPr>
          <w:trHeight w:val="20"/>
        </w:trPr>
        <w:tc>
          <w:tcPr>
            <w:tcW w:w="777" w:type="pct"/>
            <w:vMerge/>
            <w:vAlign w:val="center"/>
          </w:tcPr>
          <w:p w:rsidR="00F1056D" w:rsidRPr="00B340E2" w:rsidRDefault="00F1056D" w:rsidP="0034740B">
            <w:pPr>
              <w:tabs>
                <w:tab w:val="left" w:pos="1440"/>
                <w:tab w:val="left" w:pos="4140"/>
                <w:tab w:val="left" w:pos="4800"/>
              </w:tabs>
              <w:ind w:left="3"/>
              <w:jc w:val="center"/>
              <w:rPr>
                <w:rFonts w:asciiTheme="minorHAnsi" w:hAnsiTheme="minorHAnsi" w:cs="Arial"/>
                <w:sz w:val="20"/>
                <w:szCs w:val="20"/>
                <w:lang w:val="en-AU"/>
              </w:rPr>
            </w:pPr>
          </w:p>
        </w:tc>
        <w:tc>
          <w:tcPr>
            <w:tcW w:w="485" w:type="pct"/>
            <w:vMerge/>
            <w:vAlign w:val="center"/>
          </w:tcPr>
          <w:p w:rsidR="00F1056D" w:rsidRPr="002650EC" w:rsidRDefault="00F1056D" w:rsidP="0034740B">
            <w:pPr>
              <w:pStyle w:val="Title"/>
              <w:ind w:left="93" w:right="71"/>
              <w:rPr>
                <w:rFonts w:asciiTheme="minorHAnsi" w:hAnsiTheme="minorHAnsi" w:cs="Arial"/>
                <w:b w:val="0"/>
                <w:sz w:val="20"/>
                <w:szCs w:val="20"/>
              </w:rPr>
            </w:pPr>
          </w:p>
        </w:tc>
        <w:tc>
          <w:tcPr>
            <w:tcW w:w="486" w:type="pct"/>
            <w:vAlign w:val="center"/>
          </w:tcPr>
          <w:p w:rsidR="00F1056D" w:rsidRPr="001D7490" w:rsidRDefault="00F1056D" w:rsidP="0034740B">
            <w:pPr>
              <w:pStyle w:val="Title"/>
              <w:rPr>
                <w:rFonts w:asciiTheme="minorHAnsi" w:hAnsiTheme="minorHAnsi" w:cs="Arial"/>
                <w:b w:val="0"/>
                <w:bCs w:val="0"/>
                <w:sz w:val="20"/>
                <w:szCs w:val="20"/>
              </w:rPr>
            </w:pPr>
            <w:r w:rsidRPr="001D7490">
              <w:rPr>
                <w:rFonts w:asciiTheme="minorHAnsi" w:hAnsiTheme="minorHAnsi" w:cs="Arial"/>
                <w:b w:val="0"/>
                <w:bCs w:val="0"/>
                <w:sz w:val="20"/>
                <w:szCs w:val="20"/>
              </w:rPr>
              <w:t>5</w:t>
            </w:r>
            <w:r w:rsidRPr="001D7490">
              <w:rPr>
                <w:rFonts w:asciiTheme="minorHAnsi" w:hAnsiTheme="minorHAnsi" w:cs="Arial"/>
                <w:b w:val="0"/>
                <w:sz w:val="20"/>
                <w:szCs w:val="20"/>
              </w:rPr>
              <w:t>%</w:t>
            </w:r>
          </w:p>
        </w:tc>
        <w:tc>
          <w:tcPr>
            <w:tcW w:w="679" w:type="pct"/>
            <w:vAlign w:val="center"/>
          </w:tcPr>
          <w:p w:rsidR="002650EC" w:rsidRDefault="002650EC" w:rsidP="002650EC">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F1056D" w:rsidRPr="001D7490" w:rsidRDefault="002650EC" w:rsidP="0034740B">
            <w:pPr>
              <w:pStyle w:val="Title"/>
              <w:ind w:left="141"/>
              <w:jc w:val="left"/>
              <w:rPr>
                <w:rFonts w:asciiTheme="minorHAnsi" w:hAnsiTheme="minorHAnsi" w:cs="Arial"/>
                <w:b w:val="0"/>
                <w:sz w:val="20"/>
                <w:szCs w:val="20"/>
                <w:lang w:val="en-AU"/>
              </w:rPr>
            </w:pPr>
            <w:r>
              <w:rPr>
                <w:rFonts w:asciiTheme="minorHAnsi" w:hAnsiTheme="minorHAnsi" w:cs="Arial"/>
                <w:b w:val="0"/>
                <w:sz w:val="20"/>
                <w:szCs w:val="20"/>
              </w:rPr>
              <w:t>Week 10</w:t>
            </w:r>
          </w:p>
        </w:tc>
        <w:tc>
          <w:tcPr>
            <w:tcW w:w="2573" w:type="pct"/>
          </w:tcPr>
          <w:p w:rsidR="00F1056D" w:rsidRPr="00B340E2" w:rsidRDefault="00F1056D" w:rsidP="0034740B">
            <w:pPr>
              <w:pStyle w:val="Title"/>
              <w:ind w:left="93" w:right="142"/>
              <w:jc w:val="left"/>
              <w:rPr>
                <w:rFonts w:asciiTheme="minorHAnsi" w:hAnsiTheme="minorHAnsi" w:cs="Arial"/>
                <w:sz w:val="20"/>
                <w:szCs w:val="20"/>
                <w:lang w:val="en-AU" w:eastAsia="en-AU"/>
              </w:rPr>
            </w:pPr>
            <w:r w:rsidRPr="00B340E2">
              <w:rPr>
                <w:rFonts w:asciiTheme="minorHAnsi" w:hAnsiTheme="minorHAnsi" w:cs="Arial"/>
                <w:sz w:val="20"/>
                <w:szCs w:val="20"/>
              </w:rPr>
              <w:t xml:space="preserve">Task </w:t>
            </w:r>
            <w:r>
              <w:rPr>
                <w:rFonts w:asciiTheme="minorHAnsi" w:hAnsiTheme="minorHAnsi" w:cs="Arial"/>
                <w:sz w:val="20"/>
                <w:szCs w:val="20"/>
              </w:rPr>
              <w:t>10</w:t>
            </w:r>
            <w:r w:rsidRPr="00B340E2">
              <w:rPr>
                <w:rFonts w:asciiTheme="minorHAnsi" w:hAnsiTheme="minorHAnsi" w:cs="Arial"/>
                <w:sz w:val="20"/>
                <w:szCs w:val="20"/>
              </w:rPr>
              <w:t xml:space="preserve">: </w:t>
            </w:r>
            <w:r w:rsidRPr="00B340E2">
              <w:rPr>
                <w:rFonts w:asciiTheme="minorHAnsi" w:hAnsiTheme="minorHAnsi" w:cs="Arial"/>
                <w:b w:val="0"/>
                <w:sz w:val="20"/>
                <w:szCs w:val="20"/>
                <w:lang w:val="en-AU"/>
              </w:rPr>
              <w:t>Sources of acid rain and its effects on natural and built environments</w:t>
            </w:r>
          </w:p>
        </w:tc>
      </w:tr>
      <w:tr w:rsidR="00F1056D" w:rsidRPr="00F261F4" w:rsidTr="002650EC">
        <w:trPr>
          <w:trHeight w:val="20"/>
        </w:trPr>
        <w:tc>
          <w:tcPr>
            <w:tcW w:w="777" w:type="pct"/>
            <w:vMerge w:val="restart"/>
            <w:vAlign w:val="center"/>
          </w:tcPr>
          <w:p w:rsidR="00F1056D" w:rsidRPr="00B340E2" w:rsidRDefault="00F1056D" w:rsidP="0034740B">
            <w:pPr>
              <w:ind w:left="3"/>
              <w:jc w:val="center"/>
              <w:rPr>
                <w:rFonts w:asciiTheme="minorHAnsi" w:hAnsiTheme="minorHAnsi" w:cs="Arial"/>
                <w:sz w:val="20"/>
                <w:szCs w:val="20"/>
                <w:lang w:val="en-AU"/>
              </w:rPr>
            </w:pPr>
            <w:r w:rsidRPr="00B340E2">
              <w:rPr>
                <w:rFonts w:asciiTheme="minorHAnsi" w:hAnsiTheme="minorHAnsi" w:cs="Arial"/>
                <w:sz w:val="20"/>
                <w:szCs w:val="20"/>
                <w:lang w:val="en-AU"/>
              </w:rPr>
              <w:t xml:space="preserve">Test </w:t>
            </w:r>
          </w:p>
        </w:tc>
        <w:tc>
          <w:tcPr>
            <w:tcW w:w="485" w:type="pct"/>
            <w:vMerge w:val="restart"/>
            <w:vAlign w:val="center"/>
          </w:tcPr>
          <w:p w:rsidR="00F1056D" w:rsidRPr="002650EC" w:rsidRDefault="00F1056D" w:rsidP="0034740B">
            <w:pPr>
              <w:ind w:left="93" w:right="71"/>
              <w:jc w:val="center"/>
              <w:rPr>
                <w:rFonts w:asciiTheme="minorHAnsi" w:hAnsiTheme="minorHAnsi" w:cs="Arial"/>
                <w:sz w:val="20"/>
                <w:szCs w:val="20"/>
                <w:lang w:val="en-AU"/>
              </w:rPr>
            </w:pPr>
            <w:r w:rsidRPr="002650EC">
              <w:rPr>
                <w:rFonts w:asciiTheme="minorHAnsi" w:hAnsiTheme="minorHAnsi" w:cs="Arial"/>
                <w:bCs/>
                <w:sz w:val="20"/>
                <w:szCs w:val="20"/>
                <w:lang w:eastAsia="en-US"/>
              </w:rPr>
              <w:t>15%</w:t>
            </w:r>
          </w:p>
        </w:tc>
        <w:tc>
          <w:tcPr>
            <w:tcW w:w="486" w:type="pct"/>
            <w:vAlign w:val="center"/>
          </w:tcPr>
          <w:p w:rsidR="00F1056D" w:rsidRPr="001D7490" w:rsidRDefault="00F1056D" w:rsidP="0034740B">
            <w:pPr>
              <w:pStyle w:val="Title"/>
              <w:rPr>
                <w:rFonts w:asciiTheme="minorHAnsi" w:hAnsiTheme="minorHAnsi" w:cs="Arial"/>
                <w:b w:val="0"/>
                <w:bCs w:val="0"/>
                <w:sz w:val="20"/>
                <w:szCs w:val="20"/>
              </w:rPr>
            </w:pPr>
            <w:r>
              <w:rPr>
                <w:rFonts w:asciiTheme="minorHAnsi" w:hAnsiTheme="minorHAnsi" w:cs="Arial"/>
                <w:b w:val="0"/>
                <w:bCs w:val="0"/>
                <w:sz w:val="20"/>
                <w:szCs w:val="20"/>
              </w:rPr>
              <w:t>4</w:t>
            </w:r>
            <w:r w:rsidRPr="001D7490">
              <w:rPr>
                <w:rFonts w:asciiTheme="minorHAnsi" w:hAnsiTheme="minorHAnsi" w:cs="Arial"/>
                <w:b w:val="0"/>
                <w:sz w:val="20"/>
                <w:szCs w:val="20"/>
              </w:rPr>
              <w:t>%</w:t>
            </w:r>
          </w:p>
        </w:tc>
        <w:tc>
          <w:tcPr>
            <w:tcW w:w="679" w:type="pct"/>
            <w:vAlign w:val="center"/>
          </w:tcPr>
          <w:p w:rsidR="002650EC" w:rsidRDefault="002650EC" w:rsidP="002650EC">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F1056D" w:rsidRPr="001D7490" w:rsidRDefault="00F1056D" w:rsidP="0034740B">
            <w:pPr>
              <w:pStyle w:val="Title"/>
              <w:ind w:left="141"/>
              <w:jc w:val="left"/>
              <w:rPr>
                <w:rFonts w:asciiTheme="minorHAnsi" w:hAnsiTheme="minorHAnsi" w:cs="Arial"/>
                <w:b w:val="0"/>
                <w:sz w:val="20"/>
                <w:szCs w:val="20"/>
              </w:rPr>
            </w:pPr>
            <w:r w:rsidRPr="001D7490">
              <w:rPr>
                <w:rFonts w:asciiTheme="minorHAnsi" w:hAnsiTheme="minorHAnsi" w:cs="Arial"/>
                <w:b w:val="0"/>
                <w:bCs w:val="0"/>
                <w:sz w:val="20"/>
                <w:szCs w:val="20"/>
                <w:lang w:val="en-AU"/>
              </w:rPr>
              <w:t xml:space="preserve">Week </w:t>
            </w:r>
            <w:r>
              <w:rPr>
                <w:rFonts w:asciiTheme="minorHAnsi" w:hAnsiTheme="minorHAnsi" w:cs="Arial"/>
                <w:b w:val="0"/>
                <w:bCs w:val="0"/>
                <w:sz w:val="20"/>
                <w:szCs w:val="20"/>
                <w:lang w:val="en-AU"/>
              </w:rPr>
              <w:t>6</w:t>
            </w:r>
          </w:p>
        </w:tc>
        <w:tc>
          <w:tcPr>
            <w:tcW w:w="2573" w:type="pct"/>
          </w:tcPr>
          <w:p w:rsidR="00F1056D" w:rsidRPr="00B340E2" w:rsidRDefault="00F1056D" w:rsidP="0034740B">
            <w:pPr>
              <w:pStyle w:val="Title"/>
              <w:ind w:left="93" w:right="142"/>
              <w:jc w:val="left"/>
              <w:rPr>
                <w:rFonts w:asciiTheme="minorHAnsi" w:hAnsiTheme="minorHAnsi" w:cs="Arial"/>
                <w:b w:val="0"/>
                <w:sz w:val="20"/>
                <w:szCs w:val="20"/>
              </w:rPr>
            </w:pPr>
            <w:r w:rsidRPr="00B340E2">
              <w:rPr>
                <w:rFonts w:asciiTheme="minorHAnsi" w:hAnsiTheme="minorHAnsi" w:cs="Arial"/>
                <w:sz w:val="20"/>
                <w:szCs w:val="20"/>
              </w:rPr>
              <w:t xml:space="preserve">Task </w:t>
            </w:r>
            <w:r>
              <w:rPr>
                <w:rFonts w:asciiTheme="minorHAnsi" w:hAnsiTheme="minorHAnsi" w:cs="Arial"/>
                <w:sz w:val="20"/>
                <w:szCs w:val="20"/>
              </w:rPr>
              <w:t>2</w:t>
            </w:r>
            <w:r w:rsidRPr="00B340E2">
              <w:rPr>
                <w:rFonts w:asciiTheme="minorHAnsi" w:hAnsiTheme="minorHAnsi" w:cs="Arial"/>
                <w:sz w:val="20"/>
                <w:szCs w:val="20"/>
              </w:rPr>
              <w:t>:</w:t>
            </w:r>
            <w:r w:rsidRPr="00B340E2">
              <w:rPr>
                <w:rFonts w:asciiTheme="minorHAnsi" w:hAnsiTheme="minorHAnsi" w:cs="Arial"/>
                <w:b w:val="0"/>
                <w:sz w:val="20"/>
                <w:szCs w:val="20"/>
              </w:rPr>
              <w:t xml:space="preserve"> Properties and structure of atoms</w:t>
            </w:r>
            <w:r>
              <w:rPr>
                <w:rFonts w:asciiTheme="minorHAnsi" w:hAnsiTheme="minorHAnsi" w:cs="Arial"/>
                <w:b w:val="0"/>
                <w:sz w:val="20"/>
                <w:szCs w:val="20"/>
              </w:rPr>
              <w:t xml:space="preserve"> and materials – </w:t>
            </w:r>
            <w:r w:rsidRPr="00B340E2">
              <w:rPr>
                <w:rFonts w:asciiTheme="minorHAnsi" w:hAnsiTheme="minorHAnsi" w:cs="Arial"/>
                <w:b w:val="0"/>
                <w:sz w:val="20"/>
                <w:szCs w:val="20"/>
              </w:rPr>
              <w:t>atomic structure, bond formation, trends in the PT, flame tests, isotopes, relative atomic mass and mass spectroscopy</w:t>
            </w:r>
            <w:r>
              <w:rPr>
                <w:rFonts w:asciiTheme="minorHAnsi" w:hAnsiTheme="minorHAnsi" w:cs="Arial"/>
                <w:b w:val="0"/>
                <w:sz w:val="20"/>
                <w:szCs w:val="20"/>
              </w:rPr>
              <w:t xml:space="preserve">, </w:t>
            </w:r>
            <w:r w:rsidRPr="00816FCC">
              <w:rPr>
                <w:rFonts w:asciiTheme="minorHAnsi" w:hAnsiTheme="minorHAnsi" w:cs="Arial"/>
                <w:b w:val="0"/>
                <w:sz w:val="20"/>
                <w:szCs w:val="20"/>
              </w:rPr>
              <w:t>pure substances, mixtures, elements, compounds, nanomaterials, ionic, metallic and covalent bonding, molecular formulae and percentage composition</w:t>
            </w:r>
          </w:p>
        </w:tc>
      </w:tr>
      <w:tr w:rsidR="00F1056D" w:rsidRPr="00F261F4" w:rsidTr="002650EC">
        <w:trPr>
          <w:trHeight w:val="20"/>
        </w:trPr>
        <w:tc>
          <w:tcPr>
            <w:tcW w:w="777" w:type="pct"/>
            <w:vMerge/>
            <w:vAlign w:val="center"/>
          </w:tcPr>
          <w:p w:rsidR="00F1056D" w:rsidRPr="00B340E2" w:rsidRDefault="00F1056D" w:rsidP="0034740B">
            <w:pPr>
              <w:ind w:left="3"/>
              <w:jc w:val="center"/>
              <w:rPr>
                <w:rFonts w:asciiTheme="minorHAnsi" w:hAnsiTheme="minorHAnsi" w:cs="Arial"/>
                <w:sz w:val="20"/>
                <w:szCs w:val="20"/>
                <w:lang w:val="en-AU"/>
              </w:rPr>
            </w:pPr>
          </w:p>
        </w:tc>
        <w:tc>
          <w:tcPr>
            <w:tcW w:w="485" w:type="pct"/>
            <w:vMerge/>
            <w:vAlign w:val="center"/>
          </w:tcPr>
          <w:p w:rsidR="00F1056D" w:rsidRPr="00B340E2" w:rsidRDefault="00F1056D" w:rsidP="0034740B">
            <w:pPr>
              <w:ind w:left="93" w:right="71"/>
              <w:jc w:val="center"/>
              <w:rPr>
                <w:rFonts w:asciiTheme="minorHAnsi" w:hAnsiTheme="minorHAnsi" w:cs="Arial"/>
                <w:b/>
                <w:bCs/>
                <w:sz w:val="20"/>
                <w:szCs w:val="20"/>
                <w:lang w:eastAsia="en-US"/>
              </w:rPr>
            </w:pPr>
          </w:p>
        </w:tc>
        <w:tc>
          <w:tcPr>
            <w:tcW w:w="486" w:type="pct"/>
            <w:vAlign w:val="center"/>
          </w:tcPr>
          <w:p w:rsidR="00F1056D" w:rsidRPr="001D7490" w:rsidRDefault="00F1056D" w:rsidP="0034740B">
            <w:pPr>
              <w:pStyle w:val="Title"/>
              <w:rPr>
                <w:rFonts w:asciiTheme="minorHAnsi" w:hAnsiTheme="minorHAnsi" w:cs="Arial"/>
                <w:b w:val="0"/>
                <w:bCs w:val="0"/>
                <w:sz w:val="20"/>
                <w:szCs w:val="20"/>
              </w:rPr>
            </w:pPr>
            <w:r w:rsidRPr="001D7490">
              <w:rPr>
                <w:rFonts w:asciiTheme="minorHAnsi" w:hAnsiTheme="minorHAnsi" w:cs="Arial"/>
                <w:b w:val="0"/>
                <w:sz w:val="20"/>
                <w:szCs w:val="20"/>
              </w:rPr>
              <w:t>2%</w:t>
            </w:r>
          </w:p>
        </w:tc>
        <w:tc>
          <w:tcPr>
            <w:tcW w:w="679" w:type="pct"/>
            <w:vAlign w:val="center"/>
          </w:tcPr>
          <w:p w:rsidR="002650EC" w:rsidRDefault="002650EC" w:rsidP="002650EC">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F1056D" w:rsidRPr="001D7490" w:rsidRDefault="00F1056D" w:rsidP="0034740B">
            <w:pPr>
              <w:ind w:left="141"/>
              <w:rPr>
                <w:rFonts w:asciiTheme="minorHAnsi" w:hAnsiTheme="minorHAnsi" w:cs="Arial"/>
                <w:sz w:val="20"/>
                <w:szCs w:val="20"/>
                <w:lang w:val="en-AU"/>
              </w:rPr>
            </w:pPr>
            <w:r w:rsidRPr="001D7490">
              <w:rPr>
                <w:rFonts w:asciiTheme="minorHAnsi" w:hAnsiTheme="minorHAnsi" w:cs="Arial"/>
                <w:bCs/>
                <w:sz w:val="20"/>
                <w:szCs w:val="20"/>
                <w:lang w:val="en-AU"/>
              </w:rPr>
              <w:t>Week 10</w:t>
            </w:r>
          </w:p>
        </w:tc>
        <w:tc>
          <w:tcPr>
            <w:tcW w:w="2573" w:type="pct"/>
          </w:tcPr>
          <w:p w:rsidR="00F1056D" w:rsidRPr="00B340E2" w:rsidRDefault="00F1056D" w:rsidP="0034740B">
            <w:pPr>
              <w:ind w:left="93" w:right="142"/>
              <w:rPr>
                <w:rFonts w:asciiTheme="minorHAnsi" w:hAnsiTheme="minorHAnsi" w:cs="Arial"/>
                <w:sz w:val="20"/>
                <w:szCs w:val="20"/>
                <w:lang w:val="en-AU"/>
              </w:rPr>
            </w:pPr>
            <w:r w:rsidRPr="00B340E2">
              <w:rPr>
                <w:rFonts w:asciiTheme="minorHAnsi" w:hAnsiTheme="minorHAnsi" w:cs="Arial"/>
                <w:b/>
                <w:sz w:val="20"/>
                <w:szCs w:val="20"/>
              </w:rPr>
              <w:t xml:space="preserve">Task </w:t>
            </w:r>
            <w:r>
              <w:rPr>
                <w:rFonts w:asciiTheme="minorHAnsi" w:hAnsiTheme="minorHAnsi" w:cs="Arial"/>
                <w:b/>
                <w:sz w:val="20"/>
                <w:szCs w:val="20"/>
              </w:rPr>
              <w:t>4</w:t>
            </w:r>
            <w:r w:rsidRPr="00B340E2">
              <w:rPr>
                <w:rFonts w:asciiTheme="minorHAnsi" w:hAnsiTheme="minorHAnsi" w:cs="Arial"/>
                <w:b/>
                <w:sz w:val="20"/>
                <w:szCs w:val="20"/>
              </w:rPr>
              <w:t xml:space="preserve">: </w:t>
            </w:r>
            <w:r w:rsidRPr="00B340E2">
              <w:rPr>
                <w:rFonts w:asciiTheme="minorHAnsi" w:hAnsiTheme="minorHAnsi" w:cs="Arial"/>
                <w:sz w:val="20"/>
                <w:szCs w:val="20"/>
                <w:lang w:val="en-AU"/>
              </w:rPr>
              <w:t>Chemical reactions: reactants, products and energy change</w:t>
            </w:r>
          </w:p>
        </w:tc>
      </w:tr>
      <w:tr w:rsidR="00F1056D" w:rsidRPr="00F261F4" w:rsidTr="002650EC">
        <w:trPr>
          <w:trHeight w:val="20"/>
        </w:trPr>
        <w:tc>
          <w:tcPr>
            <w:tcW w:w="777" w:type="pct"/>
            <w:vMerge/>
            <w:vAlign w:val="center"/>
          </w:tcPr>
          <w:p w:rsidR="00F1056D" w:rsidRPr="00B340E2" w:rsidRDefault="00F1056D" w:rsidP="0034740B">
            <w:pPr>
              <w:ind w:left="3"/>
              <w:jc w:val="center"/>
              <w:rPr>
                <w:rFonts w:asciiTheme="minorHAnsi" w:hAnsiTheme="minorHAnsi" w:cs="Arial"/>
                <w:sz w:val="20"/>
                <w:szCs w:val="20"/>
                <w:lang w:val="en-AU"/>
              </w:rPr>
            </w:pPr>
          </w:p>
        </w:tc>
        <w:tc>
          <w:tcPr>
            <w:tcW w:w="485" w:type="pct"/>
            <w:vMerge/>
            <w:vAlign w:val="center"/>
          </w:tcPr>
          <w:p w:rsidR="00F1056D" w:rsidRPr="00B340E2" w:rsidRDefault="00F1056D" w:rsidP="0034740B">
            <w:pPr>
              <w:ind w:left="93" w:right="71"/>
              <w:jc w:val="center"/>
              <w:rPr>
                <w:rFonts w:asciiTheme="minorHAnsi" w:hAnsiTheme="minorHAnsi" w:cs="Arial"/>
                <w:b/>
                <w:bCs/>
                <w:sz w:val="20"/>
                <w:szCs w:val="20"/>
                <w:lang w:eastAsia="en-US"/>
              </w:rPr>
            </w:pPr>
          </w:p>
        </w:tc>
        <w:tc>
          <w:tcPr>
            <w:tcW w:w="486" w:type="pct"/>
            <w:vAlign w:val="center"/>
          </w:tcPr>
          <w:p w:rsidR="00F1056D" w:rsidRPr="001D7490" w:rsidRDefault="00F1056D" w:rsidP="0034740B">
            <w:pPr>
              <w:pStyle w:val="Title"/>
              <w:rPr>
                <w:rFonts w:asciiTheme="minorHAnsi" w:hAnsiTheme="minorHAnsi" w:cs="Arial"/>
                <w:b w:val="0"/>
                <w:bCs w:val="0"/>
                <w:sz w:val="20"/>
                <w:szCs w:val="20"/>
              </w:rPr>
            </w:pPr>
            <w:r w:rsidRPr="001D7490">
              <w:rPr>
                <w:rFonts w:asciiTheme="minorHAnsi" w:hAnsiTheme="minorHAnsi" w:cs="Arial"/>
                <w:b w:val="0"/>
                <w:sz w:val="20"/>
                <w:szCs w:val="20"/>
              </w:rPr>
              <w:t>2%</w:t>
            </w:r>
          </w:p>
        </w:tc>
        <w:tc>
          <w:tcPr>
            <w:tcW w:w="679" w:type="pct"/>
            <w:vAlign w:val="center"/>
          </w:tcPr>
          <w:p w:rsidR="002650EC" w:rsidRDefault="002650EC" w:rsidP="002650EC">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F1056D" w:rsidRPr="001D7490" w:rsidRDefault="00F1056D" w:rsidP="0034740B">
            <w:pPr>
              <w:ind w:left="141"/>
              <w:rPr>
                <w:rFonts w:asciiTheme="minorHAnsi" w:hAnsiTheme="minorHAnsi" w:cs="Arial"/>
                <w:sz w:val="20"/>
                <w:szCs w:val="20"/>
                <w:lang w:val="en-AU"/>
              </w:rPr>
            </w:pPr>
            <w:r w:rsidRPr="001D7490">
              <w:rPr>
                <w:rFonts w:asciiTheme="minorHAnsi" w:hAnsiTheme="minorHAnsi" w:cs="Arial"/>
                <w:bCs/>
                <w:sz w:val="20"/>
                <w:szCs w:val="20"/>
                <w:lang w:val="en-AU"/>
              </w:rPr>
              <w:t>Week 14</w:t>
            </w:r>
          </w:p>
        </w:tc>
        <w:tc>
          <w:tcPr>
            <w:tcW w:w="2573" w:type="pct"/>
          </w:tcPr>
          <w:p w:rsidR="00F1056D" w:rsidRPr="00B340E2" w:rsidRDefault="00F1056D" w:rsidP="0034740B">
            <w:pPr>
              <w:ind w:left="93" w:right="142"/>
              <w:rPr>
                <w:rFonts w:asciiTheme="minorHAnsi" w:hAnsiTheme="minorHAnsi" w:cs="Arial"/>
                <w:sz w:val="20"/>
                <w:szCs w:val="20"/>
                <w:lang w:val="en-AU"/>
              </w:rPr>
            </w:pPr>
            <w:r w:rsidRPr="00B340E2">
              <w:rPr>
                <w:rFonts w:asciiTheme="minorHAnsi" w:hAnsiTheme="minorHAnsi" w:cs="Arial"/>
                <w:b/>
                <w:sz w:val="20"/>
                <w:szCs w:val="20"/>
              </w:rPr>
              <w:t xml:space="preserve">Task </w:t>
            </w:r>
            <w:r>
              <w:rPr>
                <w:rFonts w:asciiTheme="minorHAnsi" w:hAnsiTheme="minorHAnsi" w:cs="Arial"/>
                <w:b/>
                <w:sz w:val="20"/>
                <w:szCs w:val="20"/>
              </w:rPr>
              <w:t>7</w:t>
            </w:r>
            <w:r w:rsidRPr="00B340E2">
              <w:rPr>
                <w:rFonts w:asciiTheme="minorHAnsi" w:hAnsiTheme="minorHAnsi" w:cs="Arial"/>
                <w:b/>
                <w:sz w:val="20"/>
                <w:szCs w:val="20"/>
              </w:rPr>
              <w:t xml:space="preserve">: </w:t>
            </w:r>
            <w:r w:rsidRPr="00B340E2">
              <w:rPr>
                <w:rFonts w:asciiTheme="minorHAnsi" w:hAnsiTheme="minorHAnsi" w:cs="Arial"/>
                <w:sz w:val="20"/>
                <w:szCs w:val="20"/>
              </w:rPr>
              <w:t>Properties and structure of materials</w:t>
            </w:r>
            <w:r>
              <w:rPr>
                <w:rFonts w:asciiTheme="minorHAnsi" w:hAnsiTheme="minorHAnsi" w:cs="Arial"/>
                <w:sz w:val="20"/>
                <w:szCs w:val="20"/>
              </w:rPr>
              <w:t xml:space="preserve"> – </w:t>
            </w:r>
            <w:r w:rsidRPr="00B340E2">
              <w:rPr>
                <w:rFonts w:asciiTheme="minorHAnsi" w:hAnsiTheme="minorHAnsi" w:cs="Arial"/>
                <w:sz w:val="20"/>
                <w:szCs w:val="20"/>
              </w:rPr>
              <w:t>hydrocarbons, alkanes, alkenes, benzene, IUPAC nomenclature, reactions of alkanes and alkenes</w:t>
            </w:r>
          </w:p>
        </w:tc>
      </w:tr>
      <w:tr w:rsidR="00F1056D" w:rsidRPr="00F261F4" w:rsidTr="002650EC">
        <w:trPr>
          <w:trHeight w:val="20"/>
        </w:trPr>
        <w:tc>
          <w:tcPr>
            <w:tcW w:w="777" w:type="pct"/>
            <w:vMerge/>
            <w:vAlign w:val="center"/>
          </w:tcPr>
          <w:p w:rsidR="00F1056D" w:rsidRPr="00B340E2" w:rsidRDefault="00F1056D" w:rsidP="0034740B">
            <w:pPr>
              <w:ind w:left="3"/>
              <w:jc w:val="center"/>
              <w:rPr>
                <w:rFonts w:asciiTheme="minorHAnsi" w:hAnsiTheme="minorHAnsi" w:cs="Arial"/>
                <w:sz w:val="20"/>
                <w:szCs w:val="20"/>
                <w:lang w:val="en-AU"/>
              </w:rPr>
            </w:pPr>
          </w:p>
        </w:tc>
        <w:tc>
          <w:tcPr>
            <w:tcW w:w="485" w:type="pct"/>
            <w:vMerge/>
            <w:vAlign w:val="center"/>
          </w:tcPr>
          <w:p w:rsidR="00F1056D" w:rsidRPr="00B340E2" w:rsidRDefault="00F1056D" w:rsidP="0034740B">
            <w:pPr>
              <w:ind w:left="93" w:right="71"/>
              <w:jc w:val="center"/>
              <w:rPr>
                <w:rFonts w:asciiTheme="minorHAnsi" w:hAnsiTheme="minorHAnsi" w:cs="Arial"/>
                <w:b/>
                <w:bCs/>
                <w:sz w:val="20"/>
                <w:szCs w:val="20"/>
                <w:lang w:eastAsia="en-US"/>
              </w:rPr>
            </w:pPr>
          </w:p>
        </w:tc>
        <w:tc>
          <w:tcPr>
            <w:tcW w:w="486" w:type="pct"/>
            <w:vAlign w:val="center"/>
          </w:tcPr>
          <w:p w:rsidR="00F1056D" w:rsidRPr="001D7490" w:rsidRDefault="00F1056D" w:rsidP="0034740B">
            <w:pPr>
              <w:pStyle w:val="Title"/>
              <w:rPr>
                <w:rFonts w:asciiTheme="minorHAnsi" w:hAnsiTheme="minorHAnsi" w:cs="Arial"/>
                <w:b w:val="0"/>
                <w:bCs w:val="0"/>
                <w:sz w:val="20"/>
                <w:szCs w:val="20"/>
              </w:rPr>
            </w:pPr>
            <w:r>
              <w:rPr>
                <w:rFonts w:asciiTheme="minorHAnsi" w:hAnsiTheme="minorHAnsi" w:cs="Arial"/>
                <w:b w:val="0"/>
                <w:bCs w:val="0"/>
                <w:sz w:val="20"/>
                <w:szCs w:val="20"/>
              </w:rPr>
              <w:t>5</w:t>
            </w:r>
            <w:r w:rsidRPr="001D7490">
              <w:rPr>
                <w:rFonts w:asciiTheme="minorHAnsi" w:hAnsiTheme="minorHAnsi" w:cs="Arial"/>
                <w:b w:val="0"/>
                <w:sz w:val="20"/>
                <w:szCs w:val="20"/>
              </w:rPr>
              <w:t>%</w:t>
            </w:r>
          </w:p>
        </w:tc>
        <w:tc>
          <w:tcPr>
            <w:tcW w:w="679" w:type="pct"/>
            <w:vAlign w:val="center"/>
          </w:tcPr>
          <w:p w:rsidR="002650EC" w:rsidRDefault="002650EC" w:rsidP="002650EC">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F1056D" w:rsidRPr="001D7490" w:rsidRDefault="00F1056D" w:rsidP="002650EC">
            <w:pPr>
              <w:ind w:left="141"/>
              <w:rPr>
                <w:rFonts w:asciiTheme="minorHAnsi" w:hAnsiTheme="minorHAnsi" w:cs="Arial"/>
                <w:sz w:val="20"/>
                <w:szCs w:val="20"/>
                <w:lang w:val="en-AU"/>
              </w:rPr>
            </w:pPr>
            <w:r w:rsidRPr="001D7490">
              <w:rPr>
                <w:rFonts w:asciiTheme="minorHAnsi" w:hAnsiTheme="minorHAnsi" w:cs="Arial"/>
                <w:bCs/>
                <w:sz w:val="20"/>
                <w:szCs w:val="20"/>
                <w:lang w:val="en-AU"/>
              </w:rPr>
              <w:t xml:space="preserve">Week </w:t>
            </w:r>
            <w:r w:rsidR="002650EC">
              <w:rPr>
                <w:rFonts w:asciiTheme="minorHAnsi" w:hAnsiTheme="minorHAnsi" w:cs="Arial"/>
                <w:bCs/>
                <w:sz w:val="20"/>
                <w:szCs w:val="20"/>
                <w:lang w:val="en-AU"/>
              </w:rPr>
              <w:t>5</w:t>
            </w:r>
          </w:p>
        </w:tc>
        <w:tc>
          <w:tcPr>
            <w:tcW w:w="2573" w:type="pct"/>
          </w:tcPr>
          <w:p w:rsidR="00F1056D" w:rsidRPr="00B340E2" w:rsidRDefault="00F1056D" w:rsidP="0034740B">
            <w:pPr>
              <w:ind w:left="93" w:right="142"/>
              <w:rPr>
                <w:rFonts w:asciiTheme="minorHAnsi" w:hAnsiTheme="minorHAnsi" w:cs="Arial"/>
                <w:sz w:val="20"/>
                <w:szCs w:val="20"/>
                <w:lang w:val="en-AU"/>
              </w:rPr>
            </w:pPr>
            <w:r w:rsidRPr="00B340E2">
              <w:rPr>
                <w:rFonts w:asciiTheme="minorHAnsi" w:hAnsiTheme="minorHAnsi" w:cs="Arial"/>
                <w:b/>
                <w:sz w:val="20"/>
                <w:szCs w:val="20"/>
              </w:rPr>
              <w:t xml:space="preserve">Task 11: </w:t>
            </w:r>
            <w:r w:rsidRPr="00B340E2">
              <w:rPr>
                <w:rFonts w:asciiTheme="minorHAnsi" w:hAnsiTheme="minorHAnsi" w:cs="Arial"/>
                <w:sz w:val="20"/>
                <w:szCs w:val="20"/>
                <w:lang w:val="en-AU"/>
              </w:rPr>
              <w:t>Intermolecular forces and gases</w:t>
            </w:r>
            <w:r>
              <w:rPr>
                <w:rFonts w:asciiTheme="minorHAnsi" w:hAnsiTheme="minorHAnsi" w:cs="Arial"/>
                <w:sz w:val="20"/>
                <w:szCs w:val="20"/>
                <w:lang w:val="en-AU"/>
              </w:rPr>
              <w:t xml:space="preserve"> and </w:t>
            </w:r>
            <w:r w:rsidRPr="00B340E2">
              <w:rPr>
                <w:rFonts w:asciiTheme="minorHAnsi" w:hAnsiTheme="minorHAnsi" w:cs="Arial"/>
                <w:sz w:val="20"/>
                <w:szCs w:val="20"/>
              </w:rPr>
              <w:t>Aqueous solutions and acidity</w:t>
            </w:r>
          </w:p>
        </w:tc>
      </w:tr>
      <w:tr w:rsidR="00F1056D" w:rsidRPr="00F261F4" w:rsidTr="002650EC">
        <w:trPr>
          <w:trHeight w:val="20"/>
        </w:trPr>
        <w:tc>
          <w:tcPr>
            <w:tcW w:w="777" w:type="pct"/>
            <w:vMerge/>
            <w:vAlign w:val="center"/>
          </w:tcPr>
          <w:p w:rsidR="00F1056D" w:rsidRPr="00B340E2" w:rsidRDefault="00F1056D" w:rsidP="0034740B">
            <w:pPr>
              <w:rPr>
                <w:rFonts w:asciiTheme="minorHAnsi" w:hAnsiTheme="minorHAnsi" w:cs="Arial"/>
                <w:b/>
                <w:sz w:val="20"/>
                <w:szCs w:val="20"/>
                <w:lang w:val="en-US" w:eastAsia="en-US"/>
              </w:rPr>
            </w:pPr>
          </w:p>
        </w:tc>
        <w:tc>
          <w:tcPr>
            <w:tcW w:w="485" w:type="pct"/>
            <w:vMerge/>
            <w:vAlign w:val="center"/>
          </w:tcPr>
          <w:p w:rsidR="00F1056D" w:rsidRPr="00B340E2" w:rsidRDefault="00F1056D" w:rsidP="0034740B">
            <w:pPr>
              <w:pStyle w:val="Title"/>
              <w:ind w:left="93" w:right="71"/>
              <w:rPr>
                <w:rFonts w:asciiTheme="minorHAnsi" w:hAnsiTheme="minorHAnsi" w:cs="Arial"/>
                <w:sz w:val="20"/>
                <w:szCs w:val="20"/>
              </w:rPr>
            </w:pPr>
          </w:p>
        </w:tc>
        <w:tc>
          <w:tcPr>
            <w:tcW w:w="486" w:type="pct"/>
            <w:vAlign w:val="center"/>
          </w:tcPr>
          <w:p w:rsidR="00F1056D" w:rsidRPr="001D7490" w:rsidRDefault="00F1056D" w:rsidP="00202388">
            <w:pPr>
              <w:pStyle w:val="Title"/>
              <w:rPr>
                <w:rFonts w:asciiTheme="minorHAnsi" w:hAnsiTheme="minorHAnsi" w:cs="Arial"/>
                <w:b w:val="0"/>
                <w:bCs w:val="0"/>
                <w:sz w:val="20"/>
                <w:szCs w:val="20"/>
              </w:rPr>
            </w:pPr>
            <w:r w:rsidRPr="001D7490">
              <w:rPr>
                <w:rFonts w:asciiTheme="minorHAnsi" w:hAnsiTheme="minorHAnsi" w:cs="Arial"/>
                <w:b w:val="0"/>
                <w:bCs w:val="0"/>
                <w:sz w:val="20"/>
                <w:szCs w:val="20"/>
              </w:rPr>
              <w:t>2</w:t>
            </w:r>
            <w:r w:rsidRPr="001D7490">
              <w:rPr>
                <w:rFonts w:asciiTheme="minorHAnsi" w:hAnsiTheme="minorHAnsi" w:cs="Arial"/>
                <w:b w:val="0"/>
                <w:sz w:val="20"/>
                <w:szCs w:val="20"/>
              </w:rPr>
              <w:t>%</w:t>
            </w:r>
          </w:p>
        </w:tc>
        <w:tc>
          <w:tcPr>
            <w:tcW w:w="679" w:type="pct"/>
            <w:vAlign w:val="center"/>
          </w:tcPr>
          <w:p w:rsidR="002650EC" w:rsidRDefault="002650EC" w:rsidP="00202388">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F1056D" w:rsidRPr="001D7490" w:rsidRDefault="00F1056D" w:rsidP="00202388">
            <w:pPr>
              <w:pStyle w:val="Title"/>
              <w:ind w:left="141"/>
              <w:jc w:val="left"/>
              <w:rPr>
                <w:rFonts w:asciiTheme="minorHAnsi" w:hAnsiTheme="minorHAnsi" w:cs="Arial"/>
                <w:b w:val="0"/>
                <w:sz w:val="20"/>
                <w:szCs w:val="20"/>
              </w:rPr>
            </w:pPr>
            <w:r w:rsidRPr="001D7490">
              <w:rPr>
                <w:rFonts w:asciiTheme="minorHAnsi" w:hAnsiTheme="minorHAnsi" w:cs="Arial"/>
                <w:b w:val="0"/>
                <w:bCs w:val="0"/>
                <w:sz w:val="20"/>
                <w:szCs w:val="20"/>
                <w:lang w:val="en-AU"/>
              </w:rPr>
              <w:t xml:space="preserve">Week </w:t>
            </w:r>
            <w:r w:rsidR="002650EC">
              <w:rPr>
                <w:rFonts w:asciiTheme="minorHAnsi" w:hAnsiTheme="minorHAnsi" w:cs="Arial"/>
                <w:b w:val="0"/>
                <w:bCs w:val="0"/>
                <w:sz w:val="20"/>
                <w:szCs w:val="20"/>
                <w:lang w:val="en-AU"/>
              </w:rPr>
              <w:t>14</w:t>
            </w:r>
          </w:p>
        </w:tc>
        <w:tc>
          <w:tcPr>
            <w:tcW w:w="2573" w:type="pct"/>
          </w:tcPr>
          <w:p w:rsidR="00F1056D" w:rsidRPr="00B340E2" w:rsidRDefault="00F1056D" w:rsidP="00202388">
            <w:pPr>
              <w:pStyle w:val="Title"/>
              <w:ind w:left="93" w:right="142"/>
              <w:jc w:val="left"/>
              <w:rPr>
                <w:rFonts w:asciiTheme="minorHAnsi" w:hAnsiTheme="minorHAnsi" w:cs="Arial"/>
                <w:sz w:val="20"/>
                <w:szCs w:val="20"/>
              </w:rPr>
            </w:pPr>
            <w:r w:rsidRPr="00B340E2">
              <w:rPr>
                <w:rFonts w:asciiTheme="minorHAnsi" w:hAnsiTheme="minorHAnsi" w:cs="Arial"/>
                <w:sz w:val="20"/>
                <w:szCs w:val="20"/>
              </w:rPr>
              <w:t xml:space="preserve">Task </w:t>
            </w:r>
            <w:r>
              <w:rPr>
                <w:rFonts w:asciiTheme="minorHAnsi" w:hAnsiTheme="minorHAnsi" w:cs="Arial"/>
                <w:sz w:val="20"/>
                <w:szCs w:val="20"/>
              </w:rPr>
              <w:t>13</w:t>
            </w:r>
            <w:r w:rsidRPr="00B340E2">
              <w:rPr>
                <w:rFonts w:asciiTheme="minorHAnsi" w:hAnsiTheme="minorHAnsi" w:cs="Arial"/>
                <w:sz w:val="20"/>
                <w:szCs w:val="20"/>
              </w:rPr>
              <w:t xml:space="preserve">: </w:t>
            </w:r>
            <w:r w:rsidRPr="00B340E2">
              <w:rPr>
                <w:rFonts w:asciiTheme="minorHAnsi" w:hAnsiTheme="minorHAnsi" w:cs="Arial"/>
                <w:b w:val="0"/>
                <w:sz w:val="20"/>
                <w:szCs w:val="20"/>
              </w:rPr>
              <w:t>Rates of chemical reactions</w:t>
            </w:r>
          </w:p>
        </w:tc>
      </w:tr>
      <w:tr w:rsidR="00F1056D" w:rsidRPr="00F261F4" w:rsidTr="002650EC">
        <w:trPr>
          <w:cantSplit/>
          <w:trHeight w:val="20"/>
        </w:trPr>
        <w:tc>
          <w:tcPr>
            <w:tcW w:w="777" w:type="pct"/>
            <w:vMerge w:val="restart"/>
            <w:vAlign w:val="center"/>
          </w:tcPr>
          <w:p w:rsidR="00F1056D" w:rsidRPr="00B340E2" w:rsidRDefault="00F1056D" w:rsidP="0034740B">
            <w:pPr>
              <w:pStyle w:val="Title"/>
              <w:ind w:left="3"/>
              <w:rPr>
                <w:rFonts w:asciiTheme="minorHAnsi" w:hAnsiTheme="minorHAnsi" w:cs="Arial"/>
                <w:b w:val="0"/>
                <w:sz w:val="20"/>
                <w:szCs w:val="20"/>
              </w:rPr>
            </w:pPr>
            <w:r w:rsidRPr="00B340E2">
              <w:rPr>
                <w:rFonts w:asciiTheme="minorHAnsi" w:hAnsiTheme="minorHAnsi" w:cs="Arial"/>
                <w:b w:val="0"/>
                <w:sz w:val="20"/>
                <w:szCs w:val="20"/>
              </w:rPr>
              <w:lastRenderedPageBreak/>
              <w:t>Examination</w:t>
            </w:r>
          </w:p>
        </w:tc>
        <w:tc>
          <w:tcPr>
            <w:tcW w:w="485" w:type="pct"/>
            <w:vMerge w:val="restart"/>
            <w:vAlign w:val="center"/>
          </w:tcPr>
          <w:p w:rsidR="00F1056D" w:rsidRPr="00202388" w:rsidRDefault="00F1056D" w:rsidP="0034740B">
            <w:pPr>
              <w:pStyle w:val="Title"/>
              <w:ind w:left="93"/>
              <w:rPr>
                <w:rFonts w:asciiTheme="minorHAnsi" w:hAnsiTheme="minorHAnsi" w:cs="Arial"/>
                <w:b w:val="0"/>
                <w:sz w:val="20"/>
                <w:szCs w:val="20"/>
              </w:rPr>
            </w:pPr>
            <w:r w:rsidRPr="00202388">
              <w:rPr>
                <w:rFonts w:asciiTheme="minorHAnsi" w:hAnsiTheme="minorHAnsi" w:cs="Arial"/>
                <w:b w:val="0"/>
                <w:sz w:val="20"/>
                <w:szCs w:val="20"/>
              </w:rPr>
              <w:t>50%</w:t>
            </w:r>
          </w:p>
        </w:tc>
        <w:tc>
          <w:tcPr>
            <w:tcW w:w="486" w:type="pct"/>
            <w:vAlign w:val="center"/>
          </w:tcPr>
          <w:p w:rsidR="00F1056D" w:rsidRPr="001D7490" w:rsidRDefault="00F1056D" w:rsidP="0034740B">
            <w:pPr>
              <w:pStyle w:val="Title"/>
              <w:rPr>
                <w:rFonts w:asciiTheme="minorHAnsi" w:hAnsiTheme="minorHAnsi" w:cs="Arial"/>
                <w:b w:val="0"/>
                <w:bCs w:val="0"/>
                <w:sz w:val="20"/>
                <w:szCs w:val="20"/>
              </w:rPr>
            </w:pPr>
            <w:r w:rsidRPr="001D7490">
              <w:rPr>
                <w:rFonts w:asciiTheme="minorHAnsi" w:hAnsiTheme="minorHAnsi" w:cs="Arial"/>
                <w:b w:val="0"/>
                <w:bCs w:val="0"/>
                <w:sz w:val="20"/>
                <w:szCs w:val="20"/>
              </w:rPr>
              <w:t>20</w:t>
            </w:r>
            <w:r w:rsidRPr="001D7490">
              <w:rPr>
                <w:rFonts w:asciiTheme="minorHAnsi" w:hAnsiTheme="minorHAnsi" w:cs="Arial"/>
                <w:b w:val="0"/>
                <w:sz w:val="20"/>
                <w:szCs w:val="20"/>
              </w:rPr>
              <w:t>%</w:t>
            </w:r>
          </w:p>
        </w:tc>
        <w:tc>
          <w:tcPr>
            <w:tcW w:w="679" w:type="pct"/>
            <w:vAlign w:val="center"/>
          </w:tcPr>
          <w:p w:rsidR="0069704D" w:rsidRDefault="0069704D" w:rsidP="0069704D">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Semester </w:t>
            </w:r>
            <w:r>
              <w:rPr>
                <w:rFonts w:asciiTheme="minorHAnsi" w:hAnsiTheme="minorHAnsi" w:cs="Arial"/>
                <w:b w:val="0"/>
                <w:bCs w:val="0"/>
                <w:sz w:val="20"/>
                <w:szCs w:val="20"/>
                <w:lang w:val="en-AU"/>
              </w:rPr>
              <w:t>1</w:t>
            </w:r>
          </w:p>
          <w:p w:rsidR="0069704D" w:rsidRPr="001D7490" w:rsidRDefault="0069704D" w:rsidP="0069704D">
            <w:pPr>
              <w:pStyle w:val="Title"/>
              <w:ind w:left="141"/>
              <w:jc w:val="left"/>
              <w:rPr>
                <w:rFonts w:asciiTheme="minorHAnsi" w:hAnsiTheme="minorHAnsi" w:cs="Arial"/>
                <w:b w:val="0"/>
                <w:sz w:val="20"/>
                <w:szCs w:val="20"/>
                <w:lang w:val="en-AU"/>
              </w:rPr>
            </w:pPr>
            <w:r w:rsidRPr="001D7490">
              <w:rPr>
                <w:rFonts w:asciiTheme="minorHAnsi" w:hAnsiTheme="minorHAnsi" w:cs="Arial"/>
                <w:b w:val="0"/>
                <w:bCs w:val="0"/>
                <w:sz w:val="20"/>
                <w:szCs w:val="20"/>
                <w:lang w:val="en-AU"/>
              </w:rPr>
              <w:t xml:space="preserve">Week </w:t>
            </w:r>
            <w:r>
              <w:rPr>
                <w:rFonts w:asciiTheme="minorHAnsi" w:hAnsiTheme="minorHAnsi" w:cs="Arial"/>
                <w:b w:val="0"/>
                <w:bCs w:val="0"/>
                <w:sz w:val="20"/>
                <w:szCs w:val="20"/>
                <w:lang w:val="en-AU"/>
              </w:rPr>
              <w:t>16</w:t>
            </w:r>
          </w:p>
        </w:tc>
        <w:tc>
          <w:tcPr>
            <w:tcW w:w="2573" w:type="pct"/>
          </w:tcPr>
          <w:p w:rsidR="00F1056D" w:rsidRDefault="00F1056D" w:rsidP="0034740B">
            <w:pPr>
              <w:ind w:left="93" w:right="142"/>
              <w:rPr>
                <w:rFonts w:asciiTheme="minorHAnsi" w:hAnsiTheme="minorHAnsi" w:cs="Arial"/>
                <w:sz w:val="20"/>
                <w:szCs w:val="20"/>
                <w:lang w:val="en-AU"/>
              </w:rPr>
            </w:pPr>
            <w:r w:rsidRPr="00B340E2">
              <w:rPr>
                <w:rFonts w:asciiTheme="minorHAnsi" w:hAnsiTheme="minorHAnsi" w:cs="Arial"/>
                <w:b/>
                <w:sz w:val="20"/>
                <w:szCs w:val="20"/>
              </w:rPr>
              <w:t xml:space="preserve">Task </w:t>
            </w:r>
            <w:r>
              <w:rPr>
                <w:rFonts w:asciiTheme="minorHAnsi" w:hAnsiTheme="minorHAnsi" w:cs="Arial"/>
                <w:b/>
                <w:sz w:val="20"/>
                <w:szCs w:val="20"/>
              </w:rPr>
              <w:t>8</w:t>
            </w:r>
            <w:r w:rsidRPr="00B340E2">
              <w:rPr>
                <w:rFonts w:asciiTheme="minorHAnsi" w:hAnsiTheme="minorHAnsi" w:cs="Arial"/>
                <w:b/>
                <w:sz w:val="20"/>
                <w:szCs w:val="20"/>
              </w:rPr>
              <w:t xml:space="preserve">: </w:t>
            </w:r>
            <w:r w:rsidRPr="00B340E2">
              <w:rPr>
                <w:rFonts w:asciiTheme="minorHAnsi" w:hAnsiTheme="minorHAnsi" w:cs="Arial"/>
                <w:sz w:val="20"/>
                <w:szCs w:val="20"/>
              </w:rPr>
              <w:t xml:space="preserve">Semester 1 </w:t>
            </w:r>
            <w:r w:rsidRPr="00C25C90">
              <w:rPr>
                <w:rFonts w:asciiTheme="minorHAnsi" w:hAnsiTheme="minorHAnsi" w:cs="Arial"/>
                <w:sz w:val="20"/>
                <w:szCs w:val="20"/>
              </w:rPr>
              <w:t>examination</w:t>
            </w:r>
            <w:r w:rsidRPr="00C25C90">
              <w:rPr>
                <w:rFonts w:asciiTheme="minorHAnsi" w:hAnsiTheme="minorHAnsi" w:cs="Arial"/>
                <w:sz w:val="20"/>
                <w:szCs w:val="20"/>
                <w:lang w:val="en-AU"/>
              </w:rPr>
              <w:t xml:space="preserve"> – Covers</w:t>
            </w:r>
            <w:r w:rsidRPr="00B340E2">
              <w:rPr>
                <w:rFonts w:asciiTheme="minorHAnsi" w:hAnsiTheme="minorHAnsi" w:cs="Arial"/>
                <w:sz w:val="20"/>
                <w:szCs w:val="20"/>
                <w:lang w:val="en-AU"/>
              </w:rPr>
              <w:t xml:space="preserve"> Unit 1 content; based on the </w:t>
            </w:r>
            <w:r>
              <w:rPr>
                <w:rFonts w:asciiTheme="minorHAnsi" w:hAnsiTheme="minorHAnsi" w:cs="Arial"/>
                <w:sz w:val="20"/>
                <w:szCs w:val="20"/>
                <w:lang w:val="en-AU"/>
              </w:rPr>
              <w:t>Y</w:t>
            </w:r>
            <w:r w:rsidRPr="00B340E2">
              <w:rPr>
                <w:rFonts w:asciiTheme="minorHAnsi" w:hAnsiTheme="minorHAnsi" w:cs="Arial"/>
                <w:sz w:val="20"/>
                <w:szCs w:val="20"/>
                <w:lang w:val="en-AU"/>
              </w:rPr>
              <w:t xml:space="preserve">ear 12 examination design brief </w:t>
            </w:r>
          </w:p>
          <w:p w:rsidR="00F1056D" w:rsidRPr="00B340E2" w:rsidRDefault="00F1056D" w:rsidP="0034740B">
            <w:pPr>
              <w:ind w:left="93" w:right="142"/>
              <w:rPr>
                <w:rFonts w:asciiTheme="minorHAnsi" w:hAnsiTheme="minorHAnsi" w:cs="Arial"/>
                <w:b/>
                <w:i/>
                <w:sz w:val="20"/>
                <w:szCs w:val="20"/>
              </w:rPr>
            </w:pPr>
            <w:r w:rsidRPr="00B340E2">
              <w:rPr>
                <w:rFonts w:asciiTheme="minorHAnsi" w:hAnsiTheme="minorHAnsi" w:cs="Arial"/>
                <w:sz w:val="20"/>
                <w:szCs w:val="20"/>
                <w:lang w:val="en-AU"/>
              </w:rPr>
              <w:t xml:space="preserve">2 </w:t>
            </w:r>
            <w:r>
              <w:rPr>
                <w:rFonts w:asciiTheme="minorHAnsi" w:hAnsiTheme="minorHAnsi" w:cs="Arial"/>
                <w:sz w:val="20"/>
                <w:szCs w:val="20"/>
                <w:lang w:val="en-AU"/>
              </w:rPr>
              <w:t>hours – Section One: 20 multiple-</w:t>
            </w:r>
            <w:r w:rsidRPr="00B340E2">
              <w:rPr>
                <w:rFonts w:asciiTheme="minorHAnsi" w:hAnsiTheme="minorHAnsi" w:cs="Arial"/>
                <w:sz w:val="20"/>
                <w:szCs w:val="20"/>
                <w:lang w:val="en-AU"/>
              </w:rPr>
              <w:t xml:space="preserve">choice questions (25% of the total examination), </w:t>
            </w:r>
            <w:r>
              <w:rPr>
                <w:rFonts w:asciiTheme="minorHAnsi" w:hAnsiTheme="minorHAnsi" w:cs="Arial"/>
                <w:sz w:val="20"/>
                <w:szCs w:val="20"/>
                <w:lang w:val="en-AU"/>
              </w:rPr>
              <w:t xml:space="preserve">Section Two: </w:t>
            </w:r>
            <w:r w:rsidRPr="00B340E2">
              <w:rPr>
                <w:rFonts w:asciiTheme="minorHAnsi" w:hAnsiTheme="minorHAnsi" w:cs="Arial"/>
                <w:sz w:val="20"/>
                <w:szCs w:val="20"/>
                <w:lang w:val="en-AU"/>
              </w:rPr>
              <w:t>6</w:t>
            </w:r>
            <w:r>
              <w:rPr>
                <w:rFonts w:asciiTheme="minorHAnsi" w:hAnsiTheme="minorHAnsi" w:cs="Arial"/>
                <w:sz w:val="20"/>
                <w:szCs w:val="20"/>
                <w:lang w:val="en-AU"/>
              </w:rPr>
              <w:t>–</w:t>
            </w:r>
            <w:r w:rsidRPr="00B340E2">
              <w:rPr>
                <w:rFonts w:asciiTheme="minorHAnsi" w:hAnsiTheme="minorHAnsi" w:cs="Arial"/>
                <w:sz w:val="20"/>
                <w:szCs w:val="20"/>
                <w:lang w:val="en-AU"/>
              </w:rPr>
              <w:t xml:space="preserve">8 short answer questions (35% of the total examination), and </w:t>
            </w:r>
            <w:r>
              <w:rPr>
                <w:rFonts w:asciiTheme="minorHAnsi" w:hAnsiTheme="minorHAnsi" w:cs="Arial"/>
                <w:sz w:val="20"/>
                <w:szCs w:val="20"/>
                <w:lang w:val="en-AU"/>
              </w:rPr>
              <w:br/>
              <w:t>Section Three</w:t>
            </w:r>
            <w:r w:rsidRPr="00B340E2">
              <w:rPr>
                <w:rFonts w:asciiTheme="minorHAnsi" w:hAnsiTheme="minorHAnsi" w:cs="Arial"/>
                <w:sz w:val="20"/>
                <w:szCs w:val="20"/>
                <w:lang w:val="en-AU"/>
              </w:rPr>
              <w:t>: 3</w:t>
            </w:r>
            <w:r>
              <w:rPr>
                <w:rFonts w:asciiTheme="minorHAnsi" w:hAnsiTheme="minorHAnsi" w:cs="Arial"/>
                <w:sz w:val="20"/>
                <w:szCs w:val="20"/>
                <w:lang w:val="en-AU"/>
              </w:rPr>
              <w:t>–</w:t>
            </w:r>
            <w:r w:rsidRPr="00B340E2">
              <w:rPr>
                <w:rFonts w:asciiTheme="minorHAnsi" w:hAnsiTheme="minorHAnsi" w:cs="Arial"/>
                <w:sz w:val="20"/>
                <w:szCs w:val="20"/>
                <w:lang w:val="en-AU"/>
              </w:rPr>
              <w:t>4 extended answer questions (40% of the total examination)</w:t>
            </w:r>
          </w:p>
        </w:tc>
      </w:tr>
      <w:tr w:rsidR="00F1056D" w:rsidRPr="00F261F4" w:rsidTr="002650EC">
        <w:trPr>
          <w:trHeight w:val="20"/>
        </w:trPr>
        <w:tc>
          <w:tcPr>
            <w:tcW w:w="777" w:type="pct"/>
            <w:vMerge/>
            <w:vAlign w:val="center"/>
          </w:tcPr>
          <w:p w:rsidR="00F1056D" w:rsidRPr="00B340E2" w:rsidRDefault="00F1056D" w:rsidP="0034740B">
            <w:pPr>
              <w:pStyle w:val="Title"/>
              <w:ind w:left="3"/>
              <w:rPr>
                <w:rFonts w:asciiTheme="minorHAnsi" w:hAnsiTheme="minorHAnsi" w:cs="Arial"/>
                <w:b w:val="0"/>
                <w:sz w:val="20"/>
                <w:szCs w:val="20"/>
              </w:rPr>
            </w:pPr>
          </w:p>
        </w:tc>
        <w:tc>
          <w:tcPr>
            <w:tcW w:w="485" w:type="pct"/>
            <w:vMerge/>
            <w:vAlign w:val="center"/>
          </w:tcPr>
          <w:p w:rsidR="00F1056D" w:rsidRPr="00B340E2" w:rsidRDefault="00F1056D" w:rsidP="0034740B">
            <w:pPr>
              <w:pStyle w:val="Title"/>
              <w:ind w:left="93"/>
              <w:rPr>
                <w:rFonts w:asciiTheme="minorHAnsi" w:hAnsiTheme="minorHAnsi" w:cs="Arial"/>
                <w:sz w:val="20"/>
                <w:szCs w:val="20"/>
              </w:rPr>
            </w:pPr>
          </w:p>
        </w:tc>
        <w:tc>
          <w:tcPr>
            <w:tcW w:w="486" w:type="pct"/>
            <w:vAlign w:val="center"/>
          </w:tcPr>
          <w:p w:rsidR="00F1056D" w:rsidRPr="001D7490" w:rsidRDefault="00F1056D" w:rsidP="0034740B">
            <w:pPr>
              <w:pStyle w:val="Title"/>
              <w:rPr>
                <w:rFonts w:asciiTheme="minorHAnsi" w:hAnsiTheme="minorHAnsi" w:cs="Arial"/>
                <w:b w:val="0"/>
                <w:bCs w:val="0"/>
                <w:sz w:val="20"/>
                <w:szCs w:val="20"/>
              </w:rPr>
            </w:pPr>
            <w:r w:rsidRPr="001D7490">
              <w:rPr>
                <w:rFonts w:asciiTheme="minorHAnsi" w:hAnsiTheme="minorHAnsi" w:cs="Arial"/>
                <w:b w:val="0"/>
                <w:bCs w:val="0"/>
                <w:sz w:val="20"/>
                <w:szCs w:val="20"/>
              </w:rPr>
              <w:t>30</w:t>
            </w:r>
            <w:r w:rsidRPr="001D7490">
              <w:rPr>
                <w:rFonts w:asciiTheme="minorHAnsi" w:hAnsiTheme="minorHAnsi" w:cs="Arial"/>
                <w:b w:val="0"/>
                <w:sz w:val="20"/>
                <w:szCs w:val="20"/>
              </w:rPr>
              <w:t>%</w:t>
            </w:r>
          </w:p>
        </w:tc>
        <w:tc>
          <w:tcPr>
            <w:tcW w:w="679" w:type="pct"/>
            <w:vAlign w:val="center"/>
          </w:tcPr>
          <w:p w:rsidR="0069704D" w:rsidRDefault="0069704D" w:rsidP="0069704D">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Semester </w:t>
            </w:r>
            <w:r>
              <w:rPr>
                <w:rFonts w:asciiTheme="minorHAnsi" w:hAnsiTheme="minorHAnsi" w:cs="Arial"/>
                <w:b w:val="0"/>
                <w:bCs w:val="0"/>
                <w:sz w:val="20"/>
                <w:szCs w:val="20"/>
                <w:lang w:val="en-AU"/>
              </w:rPr>
              <w:t>2</w:t>
            </w:r>
            <w:bookmarkStart w:id="0" w:name="_GoBack"/>
            <w:bookmarkEnd w:id="0"/>
          </w:p>
          <w:p w:rsidR="00F1056D" w:rsidRPr="001D7490" w:rsidRDefault="0069704D" w:rsidP="0069704D">
            <w:pPr>
              <w:pStyle w:val="Title"/>
              <w:ind w:left="141"/>
              <w:jc w:val="left"/>
              <w:rPr>
                <w:rFonts w:asciiTheme="minorHAnsi" w:hAnsiTheme="minorHAnsi" w:cs="Arial"/>
                <w:b w:val="0"/>
                <w:bCs w:val="0"/>
                <w:sz w:val="20"/>
                <w:szCs w:val="20"/>
              </w:rPr>
            </w:pPr>
            <w:r w:rsidRPr="001D7490">
              <w:rPr>
                <w:rFonts w:asciiTheme="minorHAnsi" w:hAnsiTheme="minorHAnsi" w:cs="Arial"/>
                <w:b w:val="0"/>
                <w:bCs w:val="0"/>
                <w:sz w:val="20"/>
                <w:szCs w:val="20"/>
                <w:lang w:val="en-AU"/>
              </w:rPr>
              <w:t xml:space="preserve">Week </w:t>
            </w:r>
            <w:r>
              <w:rPr>
                <w:rFonts w:asciiTheme="minorHAnsi" w:hAnsiTheme="minorHAnsi" w:cs="Arial"/>
                <w:b w:val="0"/>
                <w:bCs w:val="0"/>
                <w:sz w:val="20"/>
                <w:szCs w:val="20"/>
                <w:lang w:val="en-AU"/>
              </w:rPr>
              <w:t>16</w:t>
            </w:r>
          </w:p>
        </w:tc>
        <w:tc>
          <w:tcPr>
            <w:tcW w:w="2573" w:type="pct"/>
          </w:tcPr>
          <w:p w:rsidR="00F1056D" w:rsidRPr="00B340E2" w:rsidRDefault="00F1056D" w:rsidP="0034740B">
            <w:pPr>
              <w:pStyle w:val="Title"/>
              <w:ind w:left="93" w:right="142"/>
              <w:jc w:val="left"/>
              <w:rPr>
                <w:rFonts w:asciiTheme="minorHAnsi" w:hAnsiTheme="minorHAnsi" w:cs="Arial"/>
                <w:b w:val="0"/>
                <w:sz w:val="20"/>
                <w:szCs w:val="20"/>
                <w:lang w:val="en-AU"/>
              </w:rPr>
            </w:pPr>
            <w:r w:rsidRPr="00B340E2">
              <w:rPr>
                <w:rFonts w:asciiTheme="minorHAnsi" w:hAnsiTheme="minorHAnsi" w:cs="Arial"/>
                <w:sz w:val="20"/>
                <w:szCs w:val="20"/>
              </w:rPr>
              <w:t xml:space="preserve">Task </w:t>
            </w:r>
            <w:r>
              <w:rPr>
                <w:rFonts w:asciiTheme="minorHAnsi" w:hAnsiTheme="minorHAnsi" w:cs="Arial"/>
                <w:sz w:val="20"/>
                <w:szCs w:val="20"/>
              </w:rPr>
              <w:t>14</w:t>
            </w:r>
            <w:r w:rsidRPr="00B340E2">
              <w:rPr>
                <w:rFonts w:asciiTheme="minorHAnsi" w:hAnsiTheme="minorHAnsi" w:cs="Arial"/>
                <w:sz w:val="20"/>
                <w:szCs w:val="20"/>
              </w:rPr>
              <w:t xml:space="preserve">: </w:t>
            </w:r>
            <w:r w:rsidRPr="00B340E2">
              <w:rPr>
                <w:rFonts w:asciiTheme="minorHAnsi" w:hAnsiTheme="minorHAnsi" w:cs="Arial"/>
                <w:b w:val="0"/>
                <w:sz w:val="20"/>
                <w:szCs w:val="20"/>
              </w:rPr>
              <w:t xml:space="preserve">Semester 2 </w:t>
            </w:r>
            <w:r w:rsidRPr="001D7490">
              <w:rPr>
                <w:rFonts w:asciiTheme="minorHAnsi" w:hAnsiTheme="minorHAnsi" w:cs="Arial"/>
                <w:b w:val="0"/>
                <w:sz w:val="20"/>
                <w:szCs w:val="20"/>
              </w:rPr>
              <w:t xml:space="preserve">examination – </w:t>
            </w:r>
            <w:r w:rsidRPr="001D7490">
              <w:rPr>
                <w:rFonts w:asciiTheme="minorHAnsi" w:hAnsiTheme="minorHAnsi" w:cs="Arial"/>
                <w:b w:val="0"/>
                <w:sz w:val="20"/>
                <w:szCs w:val="20"/>
                <w:lang w:val="en-AU"/>
              </w:rPr>
              <w:t>Covers</w:t>
            </w:r>
            <w:r w:rsidRPr="00B340E2">
              <w:rPr>
                <w:rFonts w:asciiTheme="minorHAnsi" w:hAnsiTheme="minorHAnsi" w:cs="Arial"/>
                <w:b w:val="0"/>
                <w:sz w:val="20"/>
                <w:szCs w:val="20"/>
                <w:lang w:val="en-AU"/>
              </w:rPr>
              <w:t xml:space="preserve"> Units 1 and 2 content with approximately </w:t>
            </w:r>
            <w:r>
              <w:rPr>
                <w:rFonts w:asciiTheme="minorHAnsi" w:hAnsiTheme="minorHAnsi" w:cs="Arial"/>
                <w:b w:val="0"/>
                <w:sz w:val="20"/>
                <w:szCs w:val="20"/>
                <w:lang w:val="en-AU"/>
              </w:rPr>
              <w:br/>
            </w:r>
            <w:r w:rsidRPr="00B340E2">
              <w:rPr>
                <w:rFonts w:asciiTheme="minorHAnsi" w:hAnsiTheme="minorHAnsi" w:cs="Arial"/>
                <w:b w:val="0"/>
                <w:sz w:val="20"/>
                <w:szCs w:val="20"/>
                <w:lang w:val="en-AU"/>
              </w:rPr>
              <w:t xml:space="preserve">25% Unit 1 and 75% Unit 2; based on the </w:t>
            </w:r>
            <w:r>
              <w:rPr>
                <w:rFonts w:asciiTheme="minorHAnsi" w:hAnsiTheme="minorHAnsi" w:cs="Arial"/>
                <w:b w:val="0"/>
                <w:sz w:val="20"/>
                <w:szCs w:val="20"/>
                <w:lang w:val="en-AU"/>
              </w:rPr>
              <w:t>Y</w:t>
            </w:r>
            <w:r w:rsidRPr="00B340E2">
              <w:rPr>
                <w:rFonts w:asciiTheme="minorHAnsi" w:hAnsiTheme="minorHAnsi" w:cs="Arial"/>
                <w:b w:val="0"/>
                <w:sz w:val="20"/>
                <w:szCs w:val="20"/>
                <w:lang w:val="en-AU"/>
              </w:rPr>
              <w:t>ear 12 examination design brief</w:t>
            </w:r>
          </w:p>
          <w:p w:rsidR="00F1056D" w:rsidRPr="00B340E2" w:rsidRDefault="00F1056D" w:rsidP="00636751">
            <w:pPr>
              <w:pStyle w:val="Title"/>
              <w:ind w:left="93" w:right="142"/>
              <w:jc w:val="left"/>
              <w:rPr>
                <w:rFonts w:asciiTheme="minorHAnsi" w:hAnsiTheme="minorHAnsi" w:cs="Arial"/>
                <w:sz w:val="20"/>
                <w:szCs w:val="20"/>
              </w:rPr>
            </w:pPr>
            <w:r w:rsidRPr="00B340E2">
              <w:rPr>
                <w:rFonts w:asciiTheme="minorHAnsi" w:hAnsiTheme="minorHAnsi" w:cs="Arial"/>
                <w:b w:val="0"/>
                <w:sz w:val="20"/>
                <w:szCs w:val="20"/>
                <w:lang w:val="en-AU"/>
              </w:rPr>
              <w:t xml:space="preserve">2.5 </w:t>
            </w:r>
            <w:r>
              <w:rPr>
                <w:rFonts w:asciiTheme="minorHAnsi" w:hAnsiTheme="minorHAnsi" w:cs="Arial"/>
                <w:b w:val="0"/>
                <w:sz w:val="20"/>
                <w:szCs w:val="20"/>
                <w:lang w:val="en-AU"/>
              </w:rPr>
              <w:t>hours</w:t>
            </w:r>
            <w:r w:rsidRPr="00B340E2">
              <w:rPr>
                <w:rFonts w:asciiTheme="minorHAnsi" w:hAnsiTheme="minorHAnsi" w:cs="Arial"/>
                <w:b w:val="0"/>
                <w:sz w:val="20"/>
                <w:szCs w:val="20"/>
                <w:lang w:val="en-AU"/>
              </w:rPr>
              <w:t xml:space="preserve"> </w:t>
            </w:r>
            <w:r>
              <w:rPr>
                <w:rFonts w:asciiTheme="minorHAnsi" w:hAnsiTheme="minorHAnsi" w:cs="Arial"/>
                <w:b w:val="0"/>
                <w:sz w:val="20"/>
                <w:szCs w:val="20"/>
                <w:lang w:val="en-AU"/>
              </w:rPr>
              <w:t>– Section One: 20 multiple-</w:t>
            </w:r>
            <w:r w:rsidRPr="00B340E2">
              <w:rPr>
                <w:rFonts w:asciiTheme="minorHAnsi" w:hAnsiTheme="minorHAnsi" w:cs="Arial"/>
                <w:b w:val="0"/>
                <w:sz w:val="20"/>
                <w:szCs w:val="20"/>
                <w:lang w:val="en-AU"/>
              </w:rPr>
              <w:t>choice questions (2</w:t>
            </w:r>
            <w:r w:rsidR="00636751">
              <w:rPr>
                <w:rFonts w:asciiTheme="minorHAnsi" w:hAnsiTheme="minorHAnsi" w:cs="Arial"/>
                <w:b w:val="0"/>
                <w:sz w:val="20"/>
                <w:szCs w:val="20"/>
                <w:lang w:val="en-AU"/>
              </w:rPr>
              <w:t>5</w:t>
            </w:r>
            <w:r w:rsidRPr="00B340E2">
              <w:rPr>
                <w:rFonts w:asciiTheme="minorHAnsi" w:hAnsiTheme="minorHAnsi" w:cs="Arial"/>
                <w:b w:val="0"/>
                <w:sz w:val="20"/>
                <w:szCs w:val="20"/>
                <w:lang w:val="en-AU"/>
              </w:rPr>
              <w:t xml:space="preserve">% of the total examination), </w:t>
            </w:r>
            <w:r>
              <w:rPr>
                <w:rFonts w:asciiTheme="minorHAnsi" w:hAnsiTheme="minorHAnsi" w:cs="Arial"/>
                <w:b w:val="0"/>
                <w:sz w:val="20"/>
                <w:szCs w:val="20"/>
                <w:lang w:val="en-AU"/>
              </w:rPr>
              <w:br/>
              <w:t>Section Two</w:t>
            </w:r>
            <w:r w:rsidRPr="00B340E2">
              <w:rPr>
                <w:rFonts w:asciiTheme="minorHAnsi" w:hAnsiTheme="minorHAnsi" w:cs="Arial"/>
                <w:b w:val="0"/>
                <w:sz w:val="20"/>
                <w:szCs w:val="20"/>
                <w:lang w:val="en-AU"/>
              </w:rPr>
              <w:t>: 8</w:t>
            </w:r>
            <w:r>
              <w:rPr>
                <w:rFonts w:asciiTheme="minorHAnsi" w:hAnsiTheme="minorHAnsi" w:cs="Arial"/>
                <w:b w:val="0"/>
                <w:sz w:val="20"/>
                <w:szCs w:val="20"/>
                <w:lang w:val="en-AU"/>
              </w:rPr>
              <w:t>–</w:t>
            </w:r>
            <w:r w:rsidRPr="00B340E2">
              <w:rPr>
                <w:rFonts w:asciiTheme="minorHAnsi" w:hAnsiTheme="minorHAnsi" w:cs="Arial"/>
                <w:b w:val="0"/>
                <w:sz w:val="20"/>
                <w:szCs w:val="20"/>
                <w:lang w:val="en-AU"/>
              </w:rPr>
              <w:t xml:space="preserve">10 short answer questions (35% of the total examination), and </w:t>
            </w:r>
            <w:r>
              <w:rPr>
                <w:rFonts w:asciiTheme="minorHAnsi" w:hAnsiTheme="minorHAnsi" w:cs="Arial"/>
                <w:b w:val="0"/>
                <w:sz w:val="20"/>
                <w:szCs w:val="20"/>
                <w:lang w:val="en-AU"/>
              </w:rPr>
              <w:br/>
              <w:t>Section Three</w:t>
            </w:r>
            <w:r w:rsidRPr="00B340E2">
              <w:rPr>
                <w:rFonts w:asciiTheme="minorHAnsi" w:hAnsiTheme="minorHAnsi" w:cs="Arial"/>
                <w:b w:val="0"/>
                <w:sz w:val="20"/>
                <w:szCs w:val="20"/>
                <w:lang w:val="en-AU"/>
              </w:rPr>
              <w:t>: 4</w:t>
            </w:r>
            <w:r>
              <w:rPr>
                <w:rFonts w:asciiTheme="minorHAnsi" w:hAnsiTheme="minorHAnsi" w:cs="Arial"/>
                <w:b w:val="0"/>
                <w:sz w:val="20"/>
                <w:szCs w:val="20"/>
                <w:lang w:val="en-AU"/>
              </w:rPr>
              <w:t>–</w:t>
            </w:r>
            <w:r w:rsidRPr="00B340E2">
              <w:rPr>
                <w:rFonts w:asciiTheme="minorHAnsi" w:hAnsiTheme="minorHAnsi" w:cs="Arial"/>
                <w:b w:val="0"/>
                <w:sz w:val="20"/>
                <w:szCs w:val="20"/>
                <w:lang w:val="en-AU"/>
              </w:rPr>
              <w:t>5 extended answer questions (40% of the total examination)</w:t>
            </w:r>
          </w:p>
        </w:tc>
      </w:tr>
      <w:tr w:rsidR="00F1056D" w:rsidRPr="00F261F4" w:rsidTr="002650EC">
        <w:trPr>
          <w:trHeight w:val="20"/>
        </w:trPr>
        <w:tc>
          <w:tcPr>
            <w:tcW w:w="777" w:type="pct"/>
            <w:shd w:val="clear" w:color="auto" w:fill="E4D8EB" w:themeFill="accent4" w:themeFillTint="66"/>
            <w:vAlign w:val="center"/>
          </w:tcPr>
          <w:p w:rsidR="00F1056D" w:rsidRPr="00B340E2" w:rsidRDefault="00F1056D" w:rsidP="0034740B">
            <w:pPr>
              <w:pStyle w:val="Title"/>
              <w:spacing w:before="60" w:after="60"/>
              <w:ind w:left="3"/>
              <w:rPr>
                <w:rFonts w:asciiTheme="minorHAnsi" w:hAnsiTheme="minorHAnsi" w:cs="Arial"/>
                <w:sz w:val="20"/>
                <w:szCs w:val="20"/>
              </w:rPr>
            </w:pPr>
            <w:r w:rsidRPr="00B340E2">
              <w:rPr>
                <w:rFonts w:asciiTheme="minorHAnsi" w:hAnsiTheme="minorHAnsi" w:cs="Arial"/>
                <w:sz w:val="20"/>
                <w:szCs w:val="20"/>
              </w:rPr>
              <w:t>Total</w:t>
            </w:r>
          </w:p>
        </w:tc>
        <w:tc>
          <w:tcPr>
            <w:tcW w:w="485" w:type="pct"/>
            <w:shd w:val="clear" w:color="auto" w:fill="E4D8EB" w:themeFill="accent4" w:themeFillTint="66"/>
            <w:vAlign w:val="center"/>
          </w:tcPr>
          <w:p w:rsidR="00F1056D" w:rsidRPr="00B340E2" w:rsidRDefault="00F1056D" w:rsidP="0034740B">
            <w:pPr>
              <w:pStyle w:val="Title"/>
              <w:spacing w:before="60" w:after="60"/>
              <w:ind w:left="93"/>
              <w:rPr>
                <w:rFonts w:asciiTheme="minorHAnsi" w:hAnsiTheme="minorHAnsi" w:cs="Arial"/>
                <w:sz w:val="20"/>
                <w:szCs w:val="20"/>
              </w:rPr>
            </w:pPr>
            <w:r w:rsidRPr="00B340E2">
              <w:rPr>
                <w:rFonts w:asciiTheme="minorHAnsi" w:hAnsiTheme="minorHAnsi" w:cs="Arial"/>
                <w:sz w:val="20"/>
                <w:szCs w:val="20"/>
              </w:rPr>
              <w:t>100%</w:t>
            </w:r>
          </w:p>
        </w:tc>
        <w:tc>
          <w:tcPr>
            <w:tcW w:w="486" w:type="pct"/>
            <w:shd w:val="clear" w:color="auto" w:fill="E4D8EB" w:themeFill="accent4" w:themeFillTint="66"/>
            <w:vAlign w:val="center"/>
          </w:tcPr>
          <w:p w:rsidR="00F1056D" w:rsidRPr="00B340E2" w:rsidRDefault="00F1056D" w:rsidP="0034740B">
            <w:pPr>
              <w:pStyle w:val="Title"/>
              <w:spacing w:before="60" w:after="60"/>
              <w:rPr>
                <w:rFonts w:asciiTheme="minorHAnsi" w:hAnsiTheme="minorHAnsi" w:cs="Arial"/>
                <w:bCs w:val="0"/>
                <w:sz w:val="20"/>
                <w:szCs w:val="20"/>
              </w:rPr>
            </w:pPr>
            <w:r w:rsidRPr="00B340E2">
              <w:rPr>
                <w:rFonts w:asciiTheme="minorHAnsi" w:hAnsiTheme="minorHAnsi" w:cs="Arial"/>
                <w:bCs w:val="0"/>
                <w:sz w:val="20"/>
                <w:szCs w:val="20"/>
              </w:rPr>
              <w:t>100%</w:t>
            </w:r>
          </w:p>
        </w:tc>
        <w:tc>
          <w:tcPr>
            <w:tcW w:w="679" w:type="pct"/>
            <w:shd w:val="clear" w:color="auto" w:fill="E4D8EB" w:themeFill="accent4" w:themeFillTint="66"/>
          </w:tcPr>
          <w:p w:rsidR="00F1056D" w:rsidRPr="00B340E2" w:rsidRDefault="00F1056D" w:rsidP="0034740B">
            <w:pPr>
              <w:pStyle w:val="Title"/>
              <w:spacing w:before="60" w:after="60"/>
              <w:rPr>
                <w:rFonts w:asciiTheme="minorHAnsi" w:hAnsiTheme="minorHAnsi" w:cs="Arial"/>
                <w:b w:val="0"/>
                <w:bCs w:val="0"/>
                <w:sz w:val="20"/>
                <w:szCs w:val="20"/>
              </w:rPr>
            </w:pPr>
          </w:p>
        </w:tc>
        <w:tc>
          <w:tcPr>
            <w:tcW w:w="2573" w:type="pct"/>
            <w:shd w:val="clear" w:color="auto" w:fill="E4D8EB" w:themeFill="accent4" w:themeFillTint="66"/>
            <w:vAlign w:val="center"/>
          </w:tcPr>
          <w:p w:rsidR="00F1056D" w:rsidRPr="00B340E2" w:rsidRDefault="00F1056D" w:rsidP="0034740B">
            <w:pPr>
              <w:pStyle w:val="Title"/>
              <w:spacing w:before="60" w:after="60"/>
              <w:ind w:left="93" w:right="71"/>
              <w:jc w:val="left"/>
              <w:rPr>
                <w:rFonts w:asciiTheme="minorHAnsi" w:hAnsiTheme="minorHAnsi" w:cs="Arial"/>
                <w:sz w:val="20"/>
                <w:szCs w:val="20"/>
              </w:rPr>
            </w:pPr>
          </w:p>
        </w:tc>
      </w:tr>
    </w:tbl>
    <w:p w:rsidR="00F1056D" w:rsidRPr="00F1056D" w:rsidRDefault="00F1056D" w:rsidP="00F1056D">
      <w:pPr>
        <w:rPr>
          <w:lang w:val="en-GB" w:eastAsia="ja-JP"/>
        </w:rPr>
      </w:pPr>
    </w:p>
    <w:sectPr w:rsidR="00F1056D" w:rsidRPr="00F1056D" w:rsidSect="00475903">
      <w:headerReference w:type="even" r:id="rId12"/>
      <w:headerReference w:type="default" r:id="rId13"/>
      <w:footerReference w:type="even" r:id="rId14"/>
      <w:footerReference w:type="default" r:id="rId15"/>
      <w:pgSz w:w="16838" w:h="11906" w:orient="landscape"/>
      <w:pgMar w:top="851" w:right="1440" w:bottom="1418"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2C" w:rsidRDefault="00F6622C" w:rsidP="00E35001">
      <w:r>
        <w:separator/>
      </w:r>
    </w:p>
  </w:endnote>
  <w:endnote w:type="continuationSeparator" w:id="0">
    <w:p w:rsidR="00F6622C" w:rsidRDefault="00F6622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0E2" w:rsidRPr="00FE27F6" w:rsidRDefault="009A7BCA" w:rsidP="008F11A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2014/16095v5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0E2" w:rsidRPr="00DE34C4" w:rsidRDefault="00B340E2"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14569v2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49" w:rsidRPr="006A7849" w:rsidRDefault="006A7849" w:rsidP="008F11AF">
    <w:pPr>
      <w:pStyle w:val="Footer"/>
      <w:pBdr>
        <w:top w:val="single" w:sz="4" w:space="4" w:color="5C815C"/>
      </w:pBdr>
      <w:tabs>
        <w:tab w:val="clear" w:pos="4513"/>
        <w:tab w:val="clear" w:pos="9026"/>
      </w:tabs>
      <w:ind w:left="-284" w:right="-53"/>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Chemistry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E" w:rsidRPr="006A7849" w:rsidRDefault="006A7849" w:rsidP="008F11AF">
    <w:pPr>
      <w:pStyle w:val="Footer"/>
      <w:pBdr>
        <w:top w:val="single" w:sz="4" w:space="4" w:color="5C815C"/>
      </w:pBdr>
      <w:tabs>
        <w:tab w:val="clear" w:pos="4513"/>
        <w:tab w:val="clear" w:pos="9026"/>
      </w:tabs>
      <w:ind w:left="-284" w:right="-53"/>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Chemistry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2C" w:rsidRDefault="00F6622C" w:rsidP="00E35001">
      <w:r>
        <w:separator/>
      </w:r>
    </w:p>
  </w:footnote>
  <w:footnote w:type="continuationSeparator" w:id="0">
    <w:p w:rsidR="00F6622C" w:rsidRDefault="00F6622C"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0E2" w:rsidRDefault="007C7AE2" w:rsidP="007C7AE2">
    <w:pPr>
      <w:pStyle w:val="Header"/>
      <w:ind w:left="-567"/>
    </w:pPr>
    <w:r>
      <w:rPr>
        <w:noProof/>
        <w:lang w:val="en-AU"/>
      </w:rPr>
      <w:drawing>
        <wp:inline distT="0" distB="0" distL="0" distR="0" wp14:anchorId="2228861E" wp14:editId="07ADED91">
          <wp:extent cx="4529130"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B340E2" w:rsidRDefault="00B3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903" w:rsidRPr="001B3981" w:rsidRDefault="00475903" w:rsidP="008F11AF">
    <w:pPr>
      <w:pStyle w:val="Header"/>
      <w:pBdr>
        <w:bottom w:val="single" w:sz="8" w:space="1" w:color="5C815C"/>
      </w:pBdr>
      <w:tabs>
        <w:tab w:val="clear" w:pos="4513"/>
        <w:tab w:val="clear" w:pos="9026"/>
      </w:tabs>
      <w:ind w:left="-1134" w:right="1395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9704D">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475903" w:rsidRDefault="00475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903" w:rsidRPr="001B3981" w:rsidRDefault="00475903" w:rsidP="008F11AF">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9704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75903" w:rsidRDefault="0047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34429"/>
    <w:rsid w:val="0004353D"/>
    <w:rsid w:val="000775F5"/>
    <w:rsid w:val="000F38CD"/>
    <w:rsid w:val="00104861"/>
    <w:rsid w:val="001766FB"/>
    <w:rsid w:val="001943A3"/>
    <w:rsid w:val="001D7490"/>
    <w:rsid w:val="00202388"/>
    <w:rsid w:val="002650EC"/>
    <w:rsid w:val="002F03DD"/>
    <w:rsid w:val="002F25B3"/>
    <w:rsid w:val="00307024"/>
    <w:rsid w:val="00313837"/>
    <w:rsid w:val="00327251"/>
    <w:rsid w:val="00361B00"/>
    <w:rsid w:val="003929F8"/>
    <w:rsid w:val="003B51D7"/>
    <w:rsid w:val="003B6CC2"/>
    <w:rsid w:val="003C2E8B"/>
    <w:rsid w:val="003D60C7"/>
    <w:rsid w:val="00455F72"/>
    <w:rsid w:val="004736E2"/>
    <w:rsid w:val="00475903"/>
    <w:rsid w:val="00486F9B"/>
    <w:rsid w:val="004A6FEE"/>
    <w:rsid w:val="004E05F3"/>
    <w:rsid w:val="00533331"/>
    <w:rsid w:val="00570E11"/>
    <w:rsid w:val="00571385"/>
    <w:rsid w:val="005B4B65"/>
    <w:rsid w:val="005D0B41"/>
    <w:rsid w:val="005D5550"/>
    <w:rsid w:val="00622001"/>
    <w:rsid w:val="00636751"/>
    <w:rsid w:val="0064335F"/>
    <w:rsid w:val="00650E88"/>
    <w:rsid w:val="00661883"/>
    <w:rsid w:val="00686866"/>
    <w:rsid w:val="00691E41"/>
    <w:rsid w:val="0069704D"/>
    <w:rsid w:val="006A7849"/>
    <w:rsid w:val="006B4F3A"/>
    <w:rsid w:val="006D760B"/>
    <w:rsid w:val="007102F3"/>
    <w:rsid w:val="0071469E"/>
    <w:rsid w:val="00732B96"/>
    <w:rsid w:val="00765213"/>
    <w:rsid w:val="00770254"/>
    <w:rsid w:val="007769D9"/>
    <w:rsid w:val="007C3AA3"/>
    <w:rsid w:val="007C7AE2"/>
    <w:rsid w:val="00886B2A"/>
    <w:rsid w:val="00890FBC"/>
    <w:rsid w:val="008B2638"/>
    <w:rsid w:val="008B35EB"/>
    <w:rsid w:val="008D5F7B"/>
    <w:rsid w:val="008D65B6"/>
    <w:rsid w:val="008E3A7B"/>
    <w:rsid w:val="008E69E0"/>
    <w:rsid w:val="008F11AF"/>
    <w:rsid w:val="009458BA"/>
    <w:rsid w:val="00964443"/>
    <w:rsid w:val="00986D80"/>
    <w:rsid w:val="009A35A8"/>
    <w:rsid w:val="009A7BCA"/>
    <w:rsid w:val="009C7C5F"/>
    <w:rsid w:val="009E25FC"/>
    <w:rsid w:val="00A44EC6"/>
    <w:rsid w:val="00A72C6D"/>
    <w:rsid w:val="00A75CE9"/>
    <w:rsid w:val="00AA387A"/>
    <w:rsid w:val="00B22D91"/>
    <w:rsid w:val="00B303E2"/>
    <w:rsid w:val="00B329C8"/>
    <w:rsid w:val="00B340E2"/>
    <w:rsid w:val="00B4184F"/>
    <w:rsid w:val="00B43209"/>
    <w:rsid w:val="00B54727"/>
    <w:rsid w:val="00B643C6"/>
    <w:rsid w:val="00B952E6"/>
    <w:rsid w:val="00BB0BC2"/>
    <w:rsid w:val="00BC0539"/>
    <w:rsid w:val="00BC29F2"/>
    <w:rsid w:val="00C1058F"/>
    <w:rsid w:val="00C25C90"/>
    <w:rsid w:val="00C33853"/>
    <w:rsid w:val="00CC4FCE"/>
    <w:rsid w:val="00CF2B72"/>
    <w:rsid w:val="00D046DE"/>
    <w:rsid w:val="00D21D6A"/>
    <w:rsid w:val="00D24F17"/>
    <w:rsid w:val="00D32C88"/>
    <w:rsid w:val="00D75D26"/>
    <w:rsid w:val="00DB49AA"/>
    <w:rsid w:val="00DC0357"/>
    <w:rsid w:val="00DC04C7"/>
    <w:rsid w:val="00E13EDC"/>
    <w:rsid w:val="00E22D84"/>
    <w:rsid w:val="00E35001"/>
    <w:rsid w:val="00E63C3E"/>
    <w:rsid w:val="00ED4901"/>
    <w:rsid w:val="00F1056D"/>
    <w:rsid w:val="00F23294"/>
    <w:rsid w:val="00F261F4"/>
    <w:rsid w:val="00F6548D"/>
    <w:rsid w:val="00F6622C"/>
    <w:rsid w:val="00F86520"/>
    <w:rsid w:val="00FF3D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27D2F9"/>
  <w15:docId w15:val="{4D4BF80D-FF2A-4F4B-990E-C911E0B7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B340E2"/>
    <w:pPr>
      <w:spacing w:after="80" w:line="276" w:lineRule="auto"/>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340E2"/>
    <w:pPr>
      <w:spacing w:before="80" w:after="80" w:line="276" w:lineRule="auto"/>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2Char">
    <w:name w:val="Heading 2 Char"/>
    <w:basedOn w:val="DefaultParagraphFont"/>
    <w:link w:val="Heading2"/>
    <w:uiPriority w:val="9"/>
    <w:rsid w:val="00B340E2"/>
    <w:rPr>
      <w:rFonts w:ascii="Franklin Gothic Book" w:eastAsia="MS Mincho" w:hAnsi="Franklin Gothic Book" w:cs="Calibri"/>
      <w:color w:val="342568"/>
      <w:sz w:val="24"/>
      <w:szCs w:val="24"/>
      <w:lang w:val="en-GB" w:eastAsia="ja-JP"/>
    </w:rPr>
  </w:style>
  <w:style w:type="character" w:customStyle="1" w:styleId="Heading1Char">
    <w:name w:val="Heading 1 Char"/>
    <w:basedOn w:val="DefaultParagraphFont"/>
    <w:link w:val="Heading1"/>
    <w:uiPriority w:val="9"/>
    <w:rsid w:val="00B340E2"/>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Allan Knight</cp:lastModifiedBy>
  <cp:revision>24</cp:revision>
  <cp:lastPrinted>2018-10-24T01:00:00Z</cp:lastPrinted>
  <dcterms:created xsi:type="dcterms:W3CDTF">2014-05-05T05:59:00Z</dcterms:created>
  <dcterms:modified xsi:type="dcterms:W3CDTF">2019-08-28T01:19:00Z</dcterms:modified>
</cp:coreProperties>
</file>