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5F2B" w14:textId="6E07C161" w:rsidR="003921EC" w:rsidRPr="00456F14" w:rsidRDefault="003921EC" w:rsidP="003921EC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Agribusiness</w:t>
      </w:r>
      <w:r w:rsidRPr="00456F14">
        <w:rPr>
          <w:rFonts w:eastAsia="Calibri" w:cs="Times New Roman"/>
          <w:b/>
          <w:bCs/>
        </w:rPr>
        <w:t xml:space="preserve"> | </w:t>
      </w:r>
      <w:r>
        <w:rPr>
          <w:rFonts w:eastAsia="Calibri" w:cs="Times New Roman"/>
          <w:b/>
          <w:bCs/>
        </w:rPr>
        <w:t xml:space="preserve">ATAR </w:t>
      </w:r>
      <w:r w:rsidRPr="00456F14">
        <w:rPr>
          <w:rFonts w:eastAsia="Calibri" w:cs="Times New Roman"/>
          <w:b/>
          <w:bCs/>
        </w:rPr>
        <w:t>Year </w:t>
      </w:r>
      <w:r>
        <w:rPr>
          <w:rFonts w:eastAsia="Calibri" w:cs="Times New Roman"/>
          <w:b/>
          <w:bCs/>
        </w:rPr>
        <w:t>12</w:t>
      </w:r>
      <w:r w:rsidRPr="00456F14">
        <w:rPr>
          <w:rFonts w:eastAsia="Calibri" w:cs="Times New Roman"/>
          <w:b/>
          <w:bCs/>
        </w:rPr>
        <w:t xml:space="preserve"> | Summary of minor syllabus changes for 2025</w:t>
      </w:r>
    </w:p>
    <w:p w14:paraId="5FB9D0E6" w14:textId="77777777" w:rsidR="004C0FDA" w:rsidRPr="009E3BA6" w:rsidRDefault="004C0FDA" w:rsidP="004C0FDA">
      <w:pPr>
        <w:tabs>
          <w:tab w:val="left" w:pos="360"/>
        </w:tabs>
        <w:spacing w:after="120"/>
        <w:rPr>
          <w:rFonts w:cstheme="minorHAnsi"/>
        </w:rPr>
      </w:pPr>
      <w:r w:rsidRPr="009E3BA6">
        <w:rPr>
          <w:rFonts w:cstheme="minorHAnsi"/>
        </w:rPr>
        <w:t xml:space="preserve">The content identified by </w:t>
      </w:r>
      <w:r w:rsidRPr="009E3BA6">
        <w:rPr>
          <w:rFonts w:cstheme="minorHAnsi"/>
          <w:strike/>
        </w:rPr>
        <w:t>strikethrough</w:t>
      </w:r>
      <w:r w:rsidRPr="009E3BA6">
        <w:rPr>
          <w:rFonts w:cstheme="minorHAnsi"/>
        </w:rPr>
        <w:t xml:space="preserve"> has been deleted from the syllabus and the content identified in </w:t>
      </w:r>
      <w:r w:rsidRPr="009E3BA6">
        <w:rPr>
          <w:rFonts w:cstheme="minorHAnsi"/>
          <w:i/>
        </w:rPr>
        <w:t>italic</w:t>
      </w:r>
      <w:r w:rsidRPr="009E3BA6">
        <w:rPr>
          <w:rFonts w:cstheme="minorHAnsi"/>
        </w:rPr>
        <w:t>s has been revised in the syllabus for teaching from 2025</w:t>
      </w:r>
      <w:r>
        <w:rPr>
          <w:rFonts w:cstheme="minorHAnsi"/>
        </w:rPr>
        <w:t>.</w:t>
      </w:r>
    </w:p>
    <w:p w14:paraId="6557C246" w14:textId="77777777" w:rsidR="004C0FDA" w:rsidRPr="009E3BA6" w:rsidRDefault="004C0FDA" w:rsidP="004C0FDA">
      <w:pPr>
        <w:spacing w:after="120" w:line="276" w:lineRule="auto"/>
        <w:rPr>
          <w:rFonts w:cstheme="minorHAnsi"/>
          <w:b/>
        </w:rPr>
      </w:pPr>
      <w:r w:rsidRPr="009E3BA6">
        <w:rPr>
          <w:rFonts w:cstheme="minorHAnsi"/>
          <w:b/>
        </w:rPr>
        <w:t>For teaching from 2025</w:t>
      </w:r>
    </w:p>
    <w:p w14:paraId="72C4DBC2" w14:textId="77777777" w:rsidR="004C0FDA" w:rsidRDefault="004C0FDA" w:rsidP="004C0FDA">
      <w:pPr>
        <w:spacing w:after="120" w:line="276" w:lineRule="auto"/>
        <w:rPr>
          <w:rFonts w:cstheme="minorHAnsi"/>
          <w:b/>
        </w:rPr>
      </w:pPr>
      <w:r w:rsidRPr="009E3BA6">
        <w:rPr>
          <w:rFonts w:cstheme="minorHAnsi"/>
          <w:b/>
        </w:rPr>
        <w:t xml:space="preserve">Unit </w:t>
      </w:r>
      <w:r>
        <w:rPr>
          <w:rFonts w:cstheme="minorHAnsi"/>
          <w:b/>
        </w:rPr>
        <w:t>3</w:t>
      </w:r>
    </w:p>
    <w:p w14:paraId="052F83A3" w14:textId="77777777" w:rsidR="004C0FDA" w:rsidRPr="007432F1" w:rsidRDefault="004C0FDA" w:rsidP="004C0FDA">
      <w:pPr>
        <w:pStyle w:val="Heading4"/>
        <w:spacing w:after="120" w:line="276" w:lineRule="auto"/>
        <w:rPr>
          <w:rFonts w:ascii="Calibri" w:hAnsi="Calibri" w:cs="Calibri"/>
          <w:b/>
          <w:bCs/>
          <w:i w:val="0"/>
          <w:iCs w:val="0"/>
          <w:color w:val="auto"/>
        </w:rPr>
      </w:pPr>
      <w:r w:rsidRPr="007432F1">
        <w:rPr>
          <w:rFonts w:ascii="Calibri" w:hAnsi="Calibri" w:cs="Calibri"/>
          <w:b/>
          <w:bCs/>
          <w:i w:val="0"/>
          <w:iCs w:val="0"/>
          <w:color w:val="auto"/>
        </w:rPr>
        <w:t>Introduction to agribusiness</w:t>
      </w:r>
    </w:p>
    <w:p w14:paraId="0AD9B5E5" w14:textId="77777777" w:rsidR="004C0FDA" w:rsidRPr="00C37242" w:rsidRDefault="004C0FDA" w:rsidP="004C0FDA">
      <w:pPr>
        <w:pStyle w:val="Heading5"/>
        <w:spacing w:before="120" w:after="120" w:line="276" w:lineRule="auto"/>
        <w:rPr>
          <w:rFonts w:ascii="Calibri" w:hAnsi="Calibri" w:cs="Calibri"/>
          <w:b/>
          <w:color w:val="auto"/>
        </w:rPr>
      </w:pPr>
      <w:r w:rsidRPr="00C37242">
        <w:rPr>
          <w:rFonts w:ascii="Calibri" w:hAnsi="Calibri" w:cs="Calibri"/>
          <w:b/>
          <w:color w:val="auto"/>
        </w:rPr>
        <w:t>The definition of agribusiness and its role in the Australian economy</w:t>
      </w:r>
    </w:p>
    <w:p w14:paraId="5D23D613" w14:textId="77777777" w:rsidR="004C0FDA" w:rsidRPr="00C37242" w:rsidRDefault="004C0FDA" w:rsidP="004C0FDA">
      <w:pPr>
        <w:pStyle w:val="ListItem"/>
        <w:spacing w:before="0"/>
        <w:ind w:left="357" w:hanging="357"/>
      </w:pPr>
      <w:r w:rsidRPr="00C37242">
        <w:t xml:space="preserve">analyse the issues influencing Australian agribusiness, </w:t>
      </w:r>
      <w:r w:rsidRPr="00C37242">
        <w:rPr>
          <w:strike/>
        </w:rPr>
        <w:t>such as</w:t>
      </w:r>
      <w:r w:rsidRPr="00C37242">
        <w:t xml:space="preserve"> </w:t>
      </w:r>
      <w:r w:rsidRPr="00C37242">
        <w:rPr>
          <w:i/>
          <w:iCs w:val="0"/>
        </w:rPr>
        <w:t>including</w:t>
      </w:r>
      <w:r w:rsidRPr="00C37242">
        <w:t xml:space="preserve"> concerns about production practices, animal welfare, chemical residues, biodiversity, genetic engineering and food quality</w:t>
      </w:r>
    </w:p>
    <w:p w14:paraId="42D88679" w14:textId="77777777" w:rsidR="004C0FDA" w:rsidRPr="007432F1" w:rsidRDefault="004C0FDA" w:rsidP="004C0FDA">
      <w:pPr>
        <w:pStyle w:val="Heading4"/>
        <w:spacing w:before="0" w:after="120" w:line="276" w:lineRule="auto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7432F1">
        <w:rPr>
          <w:rFonts w:asciiTheme="minorHAnsi" w:hAnsiTheme="minorHAnsi" w:cstheme="minorHAnsi"/>
          <w:b/>
          <w:bCs/>
          <w:i w:val="0"/>
          <w:iCs w:val="0"/>
          <w:color w:val="auto"/>
        </w:rPr>
        <w:t>Agribusiness operation – PESTEL analysis</w:t>
      </w:r>
    </w:p>
    <w:p w14:paraId="07AB9532" w14:textId="77777777" w:rsidR="004C0FDA" w:rsidRPr="007432F1" w:rsidRDefault="004C0FDA" w:rsidP="004C0FDA">
      <w:pPr>
        <w:pStyle w:val="ListItem"/>
        <w:numPr>
          <w:ilvl w:val="0"/>
          <w:numId w:val="11"/>
        </w:numPr>
        <w:ind w:left="357" w:hanging="357"/>
      </w:pPr>
      <w:r w:rsidRPr="007432F1">
        <w:t xml:space="preserve">describe the PESTEL (political, economic, social, technological, environmental and legal) framework and </w:t>
      </w:r>
      <w:r w:rsidRPr="007432F1">
        <w:rPr>
          <w:strike/>
        </w:rPr>
        <w:t>identify</w:t>
      </w:r>
      <w:r w:rsidRPr="007432F1">
        <w:t xml:space="preserve"> its key components</w:t>
      </w:r>
    </w:p>
    <w:p w14:paraId="5C874C58" w14:textId="77777777" w:rsidR="004C0FDA" w:rsidRPr="00B72079" w:rsidRDefault="004C0FDA" w:rsidP="004C0FDA">
      <w:pPr>
        <w:pStyle w:val="Heading4"/>
        <w:spacing w:after="120" w:line="276" w:lineRule="auto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B72079">
        <w:rPr>
          <w:rFonts w:asciiTheme="minorHAnsi" w:hAnsiTheme="minorHAnsi" w:cstheme="minorHAnsi"/>
          <w:b/>
          <w:bCs/>
          <w:i w:val="0"/>
          <w:iCs w:val="0"/>
          <w:color w:val="auto"/>
        </w:rPr>
        <w:t>Agribusiness operation – strategic management</w:t>
      </w:r>
    </w:p>
    <w:p w14:paraId="4D88BA1D" w14:textId="77777777" w:rsidR="004C0FDA" w:rsidRPr="00B72079" w:rsidRDefault="004C0FDA" w:rsidP="004C0FDA">
      <w:pPr>
        <w:pStyle w:val="Heading5"/>
        <w:spacing w:before="120" w:after="120" w:line="276" w:lineRule="auto"/>
        <w:rPr>
          <w:rFonts w:asciiTheme="minorHAnsi" w:hAnsiTheme="minorHAnsi" w:cstheme="minorHAnsi"/>
          <w:b/>
          <w:bCs/>
          <w:color w:val="auto"/>
        </w:rPr>
      </w:pPr>
      <w:r w:rsidRPr="00B72079">
        <w:rPr>
          <w:rFonts w:asciiTheme="minorHAnsi" w:hAnsiTheme="minorHAnsi" w:cstheme="minorHAnsi"/>
          <w:b/>
          <w:bCs/>
          <w:color w:val="auto"/>
        </w:rPr>
        <w:t>Strategic planning and management process</w:t>
      </w:r>
    </w:p>
    <w:p w14:paraId="1158C4D4" w14:textId="77777777" w:rsidR="004C0FDA" w:rsidRPr="007513C2" w:rsidRDefault="004C0FDA" w:rsidP="004C0FDA">
      <w:pPr>
        <w:pStyle w:val="ListItem"/>
      </w:pPr>
      <w:r w:rsidRPr="007513C2">
        <w:t xml:space="preserve">explain the key </w:t>
      </w:r>
      <w:r w:rsidRPr="00C82992">
        <w:rPr>
          <w:strike/>
        </w:rPr>
        <w:t>functions</w:t>
      </w:r>
      <w:r w:rsidRPr="00C82992">
        <w:t xml:space="preserve"> </w:t>
      </w:r>
      <w:r w:rsidRPr="00C82992">
        <w:rPr>
          <w:i/>
          <w:iCs w:val="0"/>
        </w:rPr>
        <w:t>elements</w:t>
      </w:r>
      <w:r w:rsidRPr="00C82992">
        <w:t xml:space="preserve"> </w:t>
      </w:r>
      <w:r w:rsidRPr="007513C2">
        <w:t>of a marketing plan, including</w:t>
      </w:r>
    </w:p>
    <w:p w14:paraId="1583A7C6" w14:textId="77777777" w:rsidR="004C0FDA" w:rsidRPr="007513C2" w:rsidRDefault="004C0FDA" w:rsidP="004C0FDA">
      <w:pPr>
        <w:numPr>
          <w:ilvl w:val="1"/>
          <w:numId w:val="12"/>
        </w:numPr>
        <w:spacing w:line="276" w:lineRule="auto"/>
        <w:ind w:left="714" w:hanging="357"/>
        <w:rPr>
          <w:rFonts w:eastAsia="MS Mincho" w:cs="Calibri"/>
        </w:rPr>
      </w:pPr>
      <w:r w:rsidRPr="007513C2">
        <w:rPr>
          <w:rFonts w:eastAsia="MS Mincho" w:cs="Calibri"/>
        </w:rPr>
        <w:t>market position</w:t>
      </w:r>
    </w:p>
    <w:p w14:paraId="76C81797" w14:textId="77777777" w:rsidR="004C0FDA" w:rsidRPr="007513C2" w:rsidRDefault="004C0FDA" w:rsidP="004C0FDA">
      <w:pPr>
        <w:numPr>
          <w:ilvl w:val="1"/>
          <w:numId w:val="12"/>
        </w:numPr>
        <w:spacing w:line="276" w:lineRule="auto"/>
        <w:ind w:left="714" w:hanging="357"/>
        <w:rPr>
          <w:rFonts w:eastAsia="MS Mincho" w:cs="Calibri"/>
        </w:rPr>
      </w:pPr>
      <w:r w:rsidRPr="007513C2">
        <w:rPr>
          <w:rFonts w:eastAsia="MS Mincho" w:cs="Calibri"/>
        </w:rPr>
        <w:t>competitor analysis</w:t>
      </w:r>
    </w:p>
    <w:p w14:paraId="753DF2B0" w14:textId="77777777" w:rsidR="004C0FDA" w:rsidRPr="007513C2" w:rsidRDefault="004C0FDA" w:rsidP="004C0FDA">
      <w:pPr>
        <w:numPr>
          <w:ilvl w:val="1"/>
          <w:numId w:val="12"/>
        </w:numPr>
        <w:spacing w:line="276" w:lineRule="auto"/>
        <w:ind w:left="714" w:hanging="357"/>
        <w:rPr>
          <w:rFonts w:eastAsia="MS Mincho" w:cs="Calibri"/>
        </w:rPr>
      </w:pPr>
      <w:r w:rsidRPr="007513C2">
        <w:rPr>
          <w:rFonts w:eastAsia="MS Mincho" w:cs="Calibri"/>
        </w:rPr>
        <w:t>target market analysis</w:t>
      </w:r>
    </w:p>
    <w:p w14:paraId="64944D6F" w14:textId="77777777" w:rsidR="004C0FDA" w:rsidRPr="007513C2" w:rsidRDefault="004C0FDA" w:rsidP="004C0FDA">
      <w:pPr>
        <w:numPr>
          <w:ilvl w:val="1"/>
          <w:numId w:val="12"/>
        </w:numPr>
        <w:spacing w:line="276" w:lineRule="auto"/>
        <w:ind w:left="714" w:hanging="357"/>
        <w:rPr>
          <w:rFonts w:eastAsia="MS Mincho" w:cs="Calibri"/>
        </w:rPr>
      </w:pPr>
      <w:r w:rsidRPr="007513C2">
        <w:rPr>
          <w:rFonts w:eastAsia="MS Mincho" w:cs="Calibri"/>
        </w:rPr>
        <w:t>marketing goals</w:t>
      </w:r>
    </w:p>
    <w:p w14:paraId="286B9323" w14:textId="77777777" w:rsidR="004C0FDA" w:rsidRPr="007513C2" w:rsidRDefault="004C0FDA" w:rsidP="004C0FDA">
      <w:pPr>
        <w:numPr>
          <w:ilvl w:val="1"/>
          <w:numId w:val="12"/>
        </w:numPr>
        <w:spacing w:line="276" w:lineRule="auto"/>
        <w:ind w:left="714" w:hanging="357"/>
        <w:rPr>
          <w:rFonts w:eastAsia="MS Mincho" w:cs="Calibri"/>
        </w:rPr>
      </w:pPr>
      <w:r w:rsidRPr="007513C2">
        <w:rPr>
          <w:rFonts w:eastAsia="MS Mincho" w:cs="Calibri"/>
        </w:rPr>
        <w:t>marketing strategy</w:t>
      </w:r>
    </w:p>
    <w:p w14:paraId="41F86A33" w14:textId="77777777" w:rsidR="004C0FDA" w:rsidRPr="007513C2" w:rsidRDefault="004C0FDA" w:rsidP="004C0FDA">
      <w:pPr>
        <w:numPr>
          <w:ilvl w:val="1"/>
          <w:numId w:val="12"/>
        </w:numPr>
        <w:spacing w:after="120" w:line="276" w:lineRule="auto"/>
        <w:ind w:left="714" w:hanging="357"/>
        <w:rPr>
          <w:rFonts w:eastAsia="MS Mincho" w:cs="Calibri"/>
        </w:rPr>
      </w:pPr>
      <w:r w:rsidRPr="007513C2">
        <w:rPr>
          <w:rFonts w:eastAsia="MS Mincho" w:cs="Calibri"/>
        </w:rPr>
        <w:t>marketing mix</w:t>
      </w:r>
    </w:p>
    <w:p w14:paraId="720F011D" w14:textId="77777777" w:rsidR="004C0FDA" w:rsidRDefault="004C0FDA" w:rsidP="004C0FDA">
      <w:pPr>
        <w:spacing w:after="120" w:line="276" w:lineRule="auto"/>
        <w:rPr>
          <w:rFonts w:cstheme="minorHAnsi"/>
          <w:b/>
        </w:rPr>
      </w:pPr>
      <w:r>
        <w:rPr>
          <w:rFonts w:cstheme="minorHAnsi"/>
          <w:b/>
        </w:rPr>
        <w:t>Unit 4</w:t>
      </w:r>
    </w:p>
    <w:p w14:paraId="44AAA687" w14:textId="77777777" w:rsidR="004C0FDA" w:rsidRPr="0007400D" w:rsidRDefault="004C0FDA" w:rsidP="004C0FDA">
      <w:pPr>
        <w:pStyle w:val="Heading4"/>
        <w:spacing w:after="120" w:line="276" w:lineRule="auto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07400D">
        <w:rPr>
          <w:rFonts w:asciiTheme="minorHAnsi" w:hAnsiTheme="minorHAnsi" w:cstheme="minorHAnsi"/>
          <w:b/>
          <w:bCs/>
          <w:i w:val="0"/>
          <w:iCs w:val="0"/>
          <w:color w:val="auto"/>
        </w:rPr>
        <w:t>Agribusiness accountancy</w:t>
      </w:r>
    </w:p>
    <w:p w14:paraId="61C35F95" w14:textId="77777777" w:rsidR="004C0FDA" w:rsidRPr="001E27A2" w:rsidRDefault="004C0FDA" w:rsidP="004C0FDA">
      <w:pPr>
        <w:pStyle w:val="Heading5"/>
        <w:keepNext w:val="0"/>
        <w:keepLines w:val="0"/>
        <w:spacing w:before="120" w:after="120" w:line="276" w:lineRule="auto"/>
        <w:rPr>
          <w:rFonts w:ascii="Calibri" w:hAnsi="Calibri" w:cs="Calibri"/>
          <w:b/>
          <w:color w:val="auto"/>
        </w:rPr>
      </w:pPr>
      <w:r w:rsidRPr="001E27A2">
        <w:rPr>
          <w:rFonts w:ascii="Calibri" w:hAnsi="Calibri" w:cs="Calibri"/>
          <w:b/>
          <w:color w:val="auto"/>
        </w:rPr>
        <w:t>Financial statements and their use in decision making</w:t>
      </w:r>
    </w:p>
    <w:p w14:paraId="1F36CF77" w14:textId="77777777" w:rsidR="004C0FDA" w:rsidRPr="00070692" w:rsidRDefault="004C0FDA" w:rsidP="004C0FDA">
      <w:pPr>
        <w:pStyle w:val="ListItem"/>
        <w:ind w:left="357" w:hanging="357"/>
      </w:pPr>
      <w:r w:rsidRPr="00070692">
        <w:t>explain the purposes of financial statements and how they can be used to guide decision</w:t>
      </w:r>
      <w:r>
        <w:t>-</w:t>
      </w:r>
      <w:r w:rsidRPr="00070692">
        <w:t>making in agribusinesses, including</w:t>
      </w:r>
      <w:r>
        <w:t xml:space="preserve"> evaluating </w:t>
      </w:r>
    </w:p>
    <w:p w14:paraId="14C1D722" w14:textId="77777777" w:rsidR="004C0FDA" w:rsidRPr="007513C2" w:rsidRDefault="004C0FDA" w:rsidP="004C0FDA">
      <w:pPr>
        <w:numPr>
          <w:ilvl w:val="1"/>
          <w:numId w:val="12"/>
        </w:numPr>
        <w:spacing w:line="276" w:lineRule="auto"/>
        <w:ind w:left="714" w:hanging="357"/>
        <w:rPr>
          <w:rFonts w:eastAsia="MS Mincho" w:cs="Calibri"/>
          <w:strike/>
        </w:rPr>
      </w:pPr>
      <w:r w:rsidRPr="007513C2">
        <w:rPr>
          <w:rFonts w:eastAsia="MS Mincho" w:cs="Calibri"/>
        </w:rPr>
        <w:t>profitability</w:t>
      </w:r>
    </w:p>
    <w:p w14:paraId="6B66F117" w14:textId="77777777" w:rsidR="004C0FDA" w:rsidRPr="00BC733B" w:rsidRDefault="004C0FDA" w:rsidP="004C0FDA">
      <w:pPr>
        <w:numPr>
          <w:ilvl w:val="1"/>
          <w:numId w:val="12"/>
        </w:numPr>
        <w:spacing w:line="276" w:lineRule="auto"/>
        <w:ind w:left="714" w:hanging="357"/>
        <w:rPr>
          <w:rFonts w:eastAsia="MS Mincho" w:cs="Calibri"/>
          <w:i/>
          <w:iCs/>
        </w:rPr>
      </w:pPr>
      <w:r w:rsidRPr="007513C2">
        <w:rPr>
          <w:rFonts w:eastAsia="MS Mincho" w:cs="Calibri"/>
        </w:rPr>
        <w:t>financial position</w:t>
      </w:r>
      <w:r>
        <w:rPr>
          <w:rFonts w:eastAsia="MS Mincho" w:cs="Calibri"/>
        </w:rPr>
        <w:t xml:space="preserve"> </w:t>
      </w:r>
      <w:r w:rsidRPr="00BC733B">
        <w:rPr>
          <w:rFonts w:eastAsia="MS Mincho" w:cs="Calibri"/>
          <w:i/>
          <w:iCs/>
        </w:rPr>
        <w:t>(stability)</w:t>
      </w:r>
    </w:p>
    <w:p w14:paraId="673BF2F8" w14:textId="77777777" w:rsidR="004C0FDA" w:rsidRDefault="004C0FDA" w:rsidP="004C0FDA">
      <w:pPr>
        <w:numPr>
          <w:ilvl w:val="1"/>
          <w:numId w:val="12"/>
        </w:numPr>
        <w:spacing w:after="120" w:line="276" w:lineRule="auto"/>
        <w:ind w:left="714" w:hanging="357"/>
        <w:rPr>
          <w:rFonts w:eastAsia="MS Mincho" w:cs="Calibri"/>
        </w:rPr>
      </w:pPr>
      <w:r w:rsidRPr="00F92EB4">
        <w:rPr>
          <w:rFonts w:eastAsia="MS Mincho" w:cs="Calibri"/>
        </w:rPr>
        <w:t>liquidity</w:t>
      </w:r>
    </w:p>
    <w:p w14:paraId="01E4F86D" w14:textId="77777777" w:rsidR="004C0FDA" w:rsidRPr="00836C43" w:rsidRDefault="004C0FDA" w:rsidP="004C0FDA">
      <w:pPr>
        <w:pStyle w:val="ListItem"/>
        <w:ind w:left="357" w:hanging="357"/>
        <w:rPr>
          <w:strike/>
        </w:rPr>
      </w:pPr>
      <w:r w:rsidRPr="00836C43">
        <w:rPr>
          <w:strike/>
        </w:rPr>
        <w:t xml:space="preserve">interpret financial statements, including </w:t>
      </w:r>
    </w:p>
    <w:p w14:paraId="481B2964" w14:textId="77777777" w:rsidR="004C0FDA" w:rsidRPr="00836C43" w:rsidRDefault="004C0FDA" w:rsidP="004C0FDA">
      <w:pPr>
        <w:numPr>
          <w:ilvl w:val="1"/>
          <w:numId w:val="12"/>
        </w:numPr>
        <w:spacing w:line="276" w:lineRule="auto"/>
        <w:ind w:left="714" w:hanging="357"/>
        <w:rPr>
          <w:rFonts w:eastAsia="MS Mincho" w:cs="Calibri"/>
          <w:strike/>
        </w:rPr>
      </w:pPr>
      <w:r w:rsidRPr="00836C43">
        <w:rPr>
          <w:rFonts w:eastAsia="MS Mincho" w:cs="Calibri"/>
          <w:strike/>
        </w:rPr>
        <w:lastRenderedPageBreak/>
        <w:t>use of the income statement to analyse the profitability of an agribusiness</w:t>
      </w:r>
    </w:p>
    <w:p w14:paraId="550FB938" w14:textId="77777777" w:rsidR="004C0FDA" w:rsidRPr="00836C43" w:rsidRDefault="004C0FDA" w:rsidP="004C0FDA">
      <w:pPr>
        <w:numPr>
          <w:ilvl w:val="1"/>
          <w:numId w:val="12"/>
        </w:numPr>
        <w:spacing w:line="276" w:lineRule="auto"/>
        <w:ind w:left="714" w:hanging="357"/>
        <w:rPr>
          <w:rFonts w:eastAsia="MS Mincho" w:cs="Calibri"/>
          <w:strike/>
        </w:rPr>
      </w:pPr>
      <w:r w:rsidRPr="00836C43">
        <w:rPr>
          <w:rFonts w:eastAsia="MS Mincho" w:cs="Calibri"/>
          <w:strike/>
        </w:rPr>
        <w:t>use of the balance sheet and income statement to determine the financial position of an agribusiness</w:t>
      </w:r>
    </w:p>
    <w:p w14:paraId="57418CA8" w14:textId="77777777" w:rsidR="004C0FDA" w:rsidRPr="003B585F" w:rsidRDefault="004C0FDA" w:rsidP="004C0FDA">
      <w:pPr>
        <w:numPr>
          <w:ilvl w:val="1"/>
          <w:numId w:val="12"/>
        </w:numPr>
        <w:spacing w:after="120" w:line="276" w:lineRule="auto"/>
        <w:ind w:left="714" w:hanging="357"/>
        <w:rPr>
          <w:rFonts w:eastAsia="MS Mincho" w:cs="Calibri"/>
          <w:strike/>
        </w:rPr>
      </w:pPr>
      <w:r w:rsidRPr="00836C43">
        <w:rPr>
          <w:rFonts w:eastAsia="MS Mincho" w:cs="Calibri"/>
          <w:strike/>
        </w:rPr>
        <w:t>use of the balance sheet to assess the liquidity status of an agribusiness</w:t>
      </w:r>
    </w:p>
    <w:p w14:paraId="08BDF7C7" w14:textId="77777777" w:rsidR="004C0FDA" w:rsidRPr="00AD7C7A" w:rsidRDefault="004C0FDA" w:rsidP="004C0FDA">
      <w:pPr>
        <w:pStyle w:val="ListItem"/>
        <w:numPr>
          <w:ilvl w:val="0"/>
          <w:numId w:val="12"/>
        </w:numPr>
        <w:spacing w:before="0" w:after="0"/>
        <w:rPr>
          <w:i/>
          <w:iCs w:val="0"/>
        </w:rPr>
      </w:pPr>
      <w:r w:rsidRPr="00AD7C7A">
        <w:rPr>
          <w:i/>
          <w:iCs w:val="0"/>
        </w:rPr>
        <w:t>calculate and interpret the following basic financial ratios using information from financial statements:</w:t>
      </w:r>
    </w:p>
    <w:p w14:paraId="7AD75299" w14:textId="77777777" w:rsidR="004C0FDA" w:rsidRPr="00AD7C7A" w:rsidRDefault="004C0FDA" w:rsidP="004C0FDA">
      <w:pPr>
        <w:pStyle w:val="ListItem"/>
        <w:numPr>
          <w:ilvl w:val="1"/>
          <w:numId w:val="12"/>
        </w:numPr>
        <w:spacing w:before="0" w:after="0"/>
        <w:rPr>
          <w:i/>
          <w:iCs w:val="0"/>
        </w:rPr>
      </w:pPr>
      <w:r w:rsidRPr="00AD7C7A">
        <w:rPr>
          <w:i/>
          <w:iCs w:val="0"/>
        </w:rPr>
        <w:t>liquidity</w:t>
      </w:r>
    </w:p>
    <w:p w14:paraId="3188B876" w14:textId="77777777" w:rsidR="004C0FDA" w:rsidRPr="00AD7C7A" w:rsidRDefault="004C0FDA" w:rsidP="004C0FDA">
      <w:pPr>
        <w:pStyle w:val="ListItem"/>
        <w:numPr>
          <w:ilvl w:val="2"/>
          <w:numId w:val="12"/>
        </w:numPr>
        <w:spacing w:before="0" w:after="0"/>
        <w:rPr>
          <w:i/>
          <w:iCs w:val="0"/>
        </w:rPr>
      </w:pPr>
      <w:r w:rsidRPr="00AD7C7A">
        <w:rPr>
          <w:i/>
          <w:iCs w:val="0"/>
        </w:rPr>
        <w:t>working capital</w:t>
      </w:r>
      <w:r>
        <w:rPr>
          <w:i/>
          <w:iCs w:val="0"/>
        </w:rPr>
        <w:t xml:space="preserve"> ratio</w:t>
      </w:r>
    </w:p>
    <w:p w14:paraId="65194A87" w14:textId="77777777" w:rsidR="004C0FDA" w:rsidRPr="00AD7C7A" w:rsidRDefault="004C0FDA" w:rsidP="004C0FDA">
      <w:pPr>
        <w:pStyle w:val="ListItem"/>
        <w:numPr>
          <w:ilvl w:val="3"/>
          <w:numId w:val="12"/>
        </w:numPr>
        <w:spacing w:before="0" w:after="0"/>
        <w:rPr>
          <w:i/>
          <w:iCs w:val="0"/>
        </w:rPr>
      </w:pPr>
      <w:r w:rsidRPr="00AD7C7A">
        <w:rPr>
          <w:i/>
          <w:iCs w:val="0"/>
        </w:rPr>
        <w:t>formula:</w:t>
      </w:r>
      <w:r w:rsidRPr="00AD7C7A">
        <w:rPr>
          <w:i/>
          <w:iCs w:val="0"/>
        </w:rPr>
        <w:tab/>
      </w:r>
      <w:r w:rsidRPr="00AD7C7A">
        <w:rPr>
          <w:i/>
          <w:iCs w:val="0"/>
        </w:rPr>
        <w:tab/>
      </w:r>
      <w:r w:rsidRPr="00AD7C7A">
        <w:rPr>
          <w:i/>
          <w:iCs w:val="0"/>
          <w:u w:val="single"/>
        </w:rPr>
        <w:t>current assets</w:t>
      </w:r>
    </w:p>
    <w:p w14:paraId="164CF7B6" w14:textId="77777777" w:rsidR="004C0FDA" w:rsidRPr="003B585F" w:rsidRDefault="004C0FDA" w:rsidP="004C0FDA">
      <w:pPr>
        <w:pStyle w:val="ListItem"/>
        <w:numPr>
          <w:ilvl w:val="0"/>
          <w:numId w:val="0"/>
        </w:numPr>
        <w:spacing w:before="0" w:after="0"/>
        <w:ind w:left="3424" w:hanging="16"/>
        <w:rPr>
          <w:i/>
          <w:iCs w:val="0"/>
        </w:rPr>
      </w:pPr>
      <w:r w:rsidRPr="00AD7C7A">
        <w:rPr>
          <w:i/>
          <w:iCs w:val="0"/>
        </w:rPr>
        <w:t xml:space="preserve">    current liabilities </w:t>
      </w:r>
    </w:p>
    <w:p w14:paraId="21C7AC5A" w14:textId="77777777" w:rsidR="004C0FDA" w:rsidRPr="00AD7C7A" w:rsidRDefault="004C0FDA" w:rsidP="004C0FDA">
      <w:pPr>
        <w:pStyle w:val="ListItem"/>
        <w:numPr>
          <w:ilvl w:val="1"/>
          <w:numId w:val="12"/>
        </w:numPr>
        <w:spacing w:before="0" w:after="0"/>
        <w:rPr>
          <w:i/>
          <w:iCs w:val="0"/>
        </w:rPr>
      </w:pPr>
      <w:r w:rsidRPr="00AD7C7A">
        <w:rPr>
          <w:i/>
          <w:iCs w:val="0"/>
        </w:rPr>
        <w:t>profitability</w:t>
      </w:r>
    </w:p>
    <w:p w14:paraId="042BCB1F" w14:textId="77777777" w:rsidR="004C0FDA" w:rsidRPr="00AD7C7A" w:rsidRDefault="004C0FDA" w:rsidP="004C0FDA">
      <w:pPr>
        <w:pStyle w:val="ListItem"/>
        <w:numPr>
          <w:ilvl w:val="2"/>
          <w:numId w:val="12"/>
        </w:numPr>
        <w:spacing w:before="0" w:after="0"/>
        <w:rPr>
          <w:i/>
          <w:iCs w:val="0"/>
        </w:rPr>
      </w:pPr>
      <w:r w:rsidRPr="00AD7C7A">
        <w:rPr>
          <w:i/>
          <w:iCs w:val="0"/>
        </w:rPr>
        <w:t>profit ratio</w:t>
      </w:r>
    </w:p>
    <w:p w14:paraId="1F1C103F" w14:textId="77777777" w:rsidR="004C0FDA" w:rsidRPr="00AD7C7A" w:rsidRDefault="004C0FDA" w:rsidP="004C0FDA">
      <w:pPr>
        <w:pStyle w:val="ListItem"/>
        <w:numPr>
          <w:ilvl w:val="3"/>
          <w:numId w:val="12"/>
        </w:numPr>
        <w:spacing w:before="0" w:after="0"/>
        <w:rPr>
          <w:i/>
          <w:iCs w:val="0"/>
        </w:rPr>
      </w:pPr>
      <w:r w:rsidRPr="00AD7C7A">
        <w:rPr>
          <w:i/>
          <w:iCs w:val="0"/>
        </w:rPr>
        <w:t>formula:</w:t>
      </w:r>
      <w:r w:rsidRPr="00AD7C7A">
        <w:rPr>
          <w:i/>
          <w:iCs w:val="0"/>
        </w:rPr>
        <w:tab/>
      </w:r>
      <w:r w:rsidRPr="00AD7C7A">
        <w:rPr>
          <w:i/>
          <w:iCs w:val="0"/>
        </w:rPr>
        <w:tab/>
      </w:r>
      <w:r w:rsidRPr="00AD7C7A">
        <w:rPr>
          <w:i/>
          <w:iCs w:val="0"/>
          <w:u w:val="single"/>
        </w:rPr>
        <w:t>profit</w:t>
      </w:r>
    </w:p>
    <w:p w14:paraId="12A80C45" w14:textId="77777777" w:rsidR="004C0FDA" w:rsidRPr="00AD7C7A" w:rsidRDefault="004C0FDA" w:rsidP="004C0FDA">
      <w:pPr>
        <w:pStyle w:val="ListItem"/>
        <w:numPr>
          <w:ilvl w:val="0"/>
          <w:numId w:val="0"/>
        </w:numPr>
        <w:spacing w:before="0" w:after="0"/>
        <w:ind w:left="3124" w:firstLine="284"/>
        <w:rPr>
          <w:i/>
          <w:iCs w:val="0"/>
        </w:rPr>
      </w:pPr>
      <w:r>
        <w:rPr>
          <w:i/>
          <w:iCs w:val="0"/>
        </w:rPr>
        <w:t xml:space="preserve">   </w:t>
      </w:r>
      <w:r w:rsidRPr="00AD7C7A">
        <w:rPr>
          <w:i/>
          <w:iCs w:val="0"/>
        </w:rPr>
        <w:t>net sales</w:t>
      </w:r>
    </w:p>
    <w:p w14:paraId="53EB5C33" w14:textId="77777777" w:rsidR="004C0FDA" w:rsidRPr="00AD7C7A" w:rsidRDefault="004C0FDA" w:rsidP="004C0FDA">
      <w:pPr>
        <w:pStyle w:val="ListItem"/>
        <w:numPr>
          <w:ilvl w:val="2"/>
          <w:numId w:val="12"/>
        </w:numPr>
        <w:spacing w:before="0" w:after="0"/>
        <w:rPr>
          <w:i/>
          <w:iCs w:val="0"/>
        </w:rPr>
      </w:pPr>
      <w:r w:rsidRPr="00AD7C7A">
        <w:rPr>
          <w:i/>
          <w:iCs w:val="0"/>
        </w:rPr>
        <w:t>rate of return on assets</w:t>
      </w:r>
    </w:p>
    <w:p w14:paraId="073D0605" w14:textId="77777777" w:rsidR="004C0FDA" w:rsidRPr="00AD7C7A" w:rsidRDefault="004C0FDA" w:rsidP="004C0FDA">
      <w:pPr>
        <w:pStyle w:val="ListItem"/>
        <w:numPr>
          <w:ilvl w:val="3"/>
          <w:numId w:val="12"/>
        </w:numPr>
        <w:spacing w:before="0" w:after="0"/>
        <w:rPr>
          <w:i/>
          <w:iCs w:val="0"/>
        </w:rPr>
      </w:pPr>
      <w:r w:rsidRPr="00AD7C7A">
        <w:rPr>
          <w:i/>
          <w:iCs w:val="0"/>
        </w:rPr>
        <w:t>formula:</w:t>
      </w:r>
      <w:r w:rsidRPr="00AD7C7A">
        <w:rPr>
          <w:i/>
          <w:iCs w:val="0"/>
        </w:rPr>
        <w:tab/>
      </w:r>
      <w:r w:rsidRPr="00AD7C7A">
        <w:rPr>
          <w:i/>
          <w:iCs w:val="0"/>
        </w:rPr>
        <w:tab/>
      </w:r>
      <w:r w:rsidRPr="00AD7C7A">
        <w:rPr>
          <w:i/>
          <w:iCs w:val="0"/>
          <w:u w:val="single"/>
        </w:rPr>
        <w:t>profit</w:t>
      </w:r>
    </w:p>
    <w:p w14:paraId="4B1C9A19" w14:textId="77777777" w:rsidR="004C0FDA" w:rsidRPr="00AD7C7A" w:rsidRDefault="004C0FDA" w:rsidP="004C0FDA">
      <w:pPr>
        <w:pStyle w:val="ListItem"/>
        <w:numPr>
          <w:ilvl w:val="0"/>
          <w:numId w:val="0"/>
        </w:numPr>
        <w:spacing w:before="0" w:after="0"/>
        <w:ind w:left="3124" w:firstLine="284"/>
        <w:rPr>
          <w:i/>
          <w:iCs w:val="0"/>
        </w:rPr>
      </w:pPr>
      <w:r>
        <w:rPr>
          <w:i/>
          <w:iCs w:val="0"/>
        </w:rPr>
        <w:t xml:space="preserve">   </w:t>
      </w:r>
      <w:r w:rsidRPr="00AD7C7A">
        <w:rPr>
          <w:i/>
          <w:iCs w:val="0"/>
        </w:rPr>
        <w:t>average total assets</w:t>
      </w:r>
    </w:p>
    <w:p w14:paraId="23509856" w14:textId="77777777" w:rsidR="004C0FDA" w:rsidRPr="00AD7C7A" w:rsidRDefault="004C0FDA" w:rsidP="004C0FDA">
      <w:pPr>
        <w:pStyle w:val="ListItem"/>
        <w:numPr>
          <w:ilvl w:val="0"/>
          <w:numId w:val="14"/>
        </w:numPr>
        <w:spacing w:before="0" w:after="0"/>
        <w:ind w:left="851" w:hanging="425"/>
        <w:rPr>
          <w:i/>
          <w:iCs w:val="0"/>
        </w:rPr>
      </w:pPr>
      <w:r w:rsidRPr="00AD7C7A">
        <w:rPr>
          <w:i/>
          <w:iCs w:val="0"/>
        </w:rPr>
        <w:t xml:space="preserve">stability </w:t>
      </w:r>
    </w:p>
    <w:p w14:paraId="65F0DA41" w14:textId="77777777" w:rsidR="004C0FDA" w:rsidRPr="00AD7C7A" w:rsidRDefault="004C0FDA" w:rsidP="004C0FDA">
      <w:pPr>
        <w:pStyle w:val="ListItem"/>
        <w:numPr>
          <w:ilvl w:val="0"/>
          <w:numId w:val="13"/>
        </w:numPr>
        <w:spacing w:before="0" w:after="0"/>
        <w:ind w:left="1418"/>
        <w:rPr>
          <w:i/>
          <w:iCs w:val="0"/>
        </w:rPr>
      </w:pPr>
      <w:r w:rsidRPr="00AD7C7A">
        <w:rPr>
          <w:i/>
          <w:iCs w:val="0"/>
        </w:rPr>
        <w:t>debt to equity ratio</w:t>
      </w:r>
    </w:p>
    <w:p w14:paraId="63F1E699" w14:textId="77777777" w:rsidR="004C0FDA" w:rsidRPr="00AD7C7A" w:rsidRDefault="004C0FDA" w:rsidP="004C0FDA">
      <w:pPr>
        <w:pStyle w:val="ListItem"/>
        <w:numPr>
          <w:ilvl w:val="1"/>
          <w:numId w:val="13"/>
        </w:numPr>
        <w:spacing w:before="0" w:after="0"/>
        <w:ind w:left="1985"/>
        <w:rPr>
          <w:i/>
          <w:iCs w:val="0"/>
        </w:rPr>
      </w:pPr>
      <w:r w:rsidRPr="00AD7C7A">
        <w:rPr>
          <w:i/>
          <w:iCs w:val="0"/>
        </w:rPr>
        <w:t>formula:</w:t>
      </w:r>
      <w:r w:rsidRPr="00AD7C7A">
        <w:rPr>
          <w:i/>
          <w:iCs w:val="0"/>
        </w:rPr>
        <w:tab/>
      </w:r>
      <w:r w:rsidRPr="00AD7C7A">
        <w:rPr>
          <w:i/>
          <w:iCs w:val="0"/>
        </w:rPr>
        <w:tab/>
      </w:r>
      <w:r w:rsidRPr="00AD7C7A">
        <w:rPr>
          <w:i/>
          <w:iCs w:val="0"/>
          <w:u w:val="single"/>
        </w:rPr>
        <w:t>total liabilities</w:t>
      </w:r>
      <w:r w:rsidRPr="00AD7C7A">
        <w:rPr>
          <w:i/>
          <w:iCs w:val="0"/>
        </w:rPr>
        <w:t xml:space="preserve"> </w:t>
      </w:r>
    </w:p>
    <w:p w14:paraId="52286681" w14:textId="77777777" w:rsidR="004C0FDA" w:rsidRDefault="004C0FDA" w:rsidP="004C0FDA">
      <w:pPr>
        <w:widowControl w:val="0"/>
        <w:autoSpaceDE w:val="0"/>
        <w:autoSpaceDN w:val="0"/>
        <w:adjustRightInd w:val="0"/>
        <w:spacing w:after="120" w:line="276" w:lineRule="auto"/>
        <w:ind w:left="3566"/>
        <w:rPr>
          <w:i/>
        </w:rPr>
      </w:pPr>
      <w:r w:rsidRPr="00AD7C7A">
        <w:rPr>
          <w:i/>
        </w:rPr>
        <w:t>total equity</w:t>
      </w:r>
    </w:p>
    <w:p w14:paraId="72F1446B" w14:textId="77777777" w:rsidR="004C0FDA" w:rsidRDefault="004C0FDA" w:rsidP="004C0FDA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theme="minorHAnsi"/>
          <w:bCs/>
          <w:iCs/>
          <w:lang w:eastAsia="en-AU"/>
        </w:rPr>
      </w:pPr>
      <w:r>
        <w:rPr>
          <w:rFonts w:eastAsiaTheme="minorEastAsia" w:cstheme="minorHAnsi"/>
          <w:bCs/>
          <w:iCs/>
          <w:lang w:eastAsia="en-AU"/>
        </w:rPr>
        <w:t>Planning for environmental, economic and social sustainability</w:t>
      </w:r>
    </w:p>
    <w:p w14:paraId="451E8C98" w14:textId="2FABAB25" w:rsidR="00712BA5" w:rsidRPr="004C0FDA" w:rsidRDefault="004C0FDA" w:rsidP="004C0FDA">
      <w:pPr>
        <w:pStyle w:val="ListParagraph"/>
        <w:numPr>
          <w:ilvl w:val="0"/>
          <w:numId w:val="15"/>
        </w:numPr>
      </w:pPr>
      <w:r w:rsidRPr="004C0FDA">
        <w:rPr>
          <w:rFonts w:eastAsiaTheme="minorEastAsia" w:cstheme="minorHAnsi"/>
          <w:bCs/>
          <w:iCs/>
          <w:lang w:eastAsia="en-AU"/>
        </w:rPr>
        <w:t>analyse current management practices that promote</w:t>
      </w:r>
      <w:r w:rsidRPr="004C0FDA">
        <w:rPr>
          <w:rFonts w:eastAsiaTheme="minorEastAsia" w:cstheme="minorHAnsi"/>
          <w:bCs/>
          <w:iCs/>
          <w:strike/>
          <w:lang w:eastAsia="en-AU"/>
        </w:rPr>
        <w:t>s</w:t>
      </w:r>
      <w:r w:rsidRPr="004C0FDA">
        <w:rPr>
          <w:rFonts w:eastAsiaTheme="minorEastAsia" w:cstheme="minorHAnsi"/>
          <w:bCs/>
          <w:iCs/>
          <w:lang w:eastAsia="en-AU"/>
        </w:rPr>
        <w:t xml:space="preserve"> sustainability within an agribusiness</w:t>
      </w:r>
    </w:p>
    <w:sectPr w:rsidR="00712BA5" w:rsidRPr="004C0FDA" w:rsidSect="004C0FDA">
      <w:footerReference w:type="default" r:id="rId7"/>
      <w:headerReference w:type="first" r:id="rId8"/>
      <w:footerReference w:type="first" r:id="rId9"/>
      <w:pgSz w:w="12240" w:h="15840"/>
      <w:pgMar w:top="1644" w:right="1418" w:bottom="1276" w:left="1418" w:header="68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84DD4" w14:textId="77777777" w:rsidR="00F42581" w:rsidRDefault="00F42581" w:rsidP="00C172F1">
      <w:pPr>
        <w:spacing w:after="0" w:line="240" w:lineRule="auto"/>
      </w:pPr>
      <w:r>
        <w:separator/>
      </w:r>
    </w:p>
  </w:endnote>
  <w:endnote w:type="continuationSeparator" w:id="0">
    <w:p w14:paraId="144B8981" w14:textId="77777777" w:rsidR="00F42581" w:rsidRDefault="00F42581" w:rsidP="00C1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5F754" w14:textId="56E5FC91" w:rsidR="00EF1D2A" w:rsidRPr="004C0FDA" w:rsidRDefault="004C0FDA">
    <w:pPr>
      <w:pStyle w:val="Footer"/>
      <w:rPr>
        <w:rFonts w:cstheme="minorHAnsi"/>
      </w:rPr>
    </w:pPr>
    <w:r>
      <w:rPr>
        <w:rFonts w:cstheme="minorHAnsi"/>
      </w:rPr>
      <w:t>Agribusiness | ATAR Year 12 | Summary of minor syllabus changes for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F332" w14:textId="1B50A31C" w:rsidR="004C0FDA" w:rsidRPr="004C0FDA" w:rsidRDefault="004C0FDA">
    <w:pPr>
      <w:pStyle w:val="Footer"/>
      <w:rPr>
        <w:rFonts w:cstheme="minorHAnsi"/>
      </w:rPr>
    </w:pPr>
    <w:r w:rsidRPr="004C0FDA">
      <w:rPr>
        <w:rFonts w:cstheme="minorHAnsi"/>
      </w:rPr>
      <w:t>2024/50323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33DD" w14:textId="77777777" w:rsidR="00F42581" w:rsidRDefault="00F42581" w:rsidP="00C172F1">
      <w:pPr>
        <w:spacing w:after="0" w:line="240" w:lineRule="auto"/>
      </w:pPr>
      <w:r>
        <w:separator/>
      </w:r>
    </w:p>
  </w:footnote>
  <w:footnote w:type="continuationSeparator" w:id="0">
    <w:p w14:paraId="03B22F1E" w14:textId="77777777" w:rsidR="00F42581" w:rsidRDefault="00F42581" w:rsidP="00C17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A970" w14:textId="03255DE7" w:rsidR="004C0FDA" w:rsidRPr="004C0FDA" w:rsidRDefault="004C0FDA" w:rsidP="004C0FDA">
    <w:pPr>
      <w:spacing w:after="240" w:line="257" w:lineRule="auto"/>
      <w:rPr>
        <w:b/>
      </w:rPr>
    </w:pPr>
    <w:r w:rsidRPr="00871FC2">
      <w:rPr>
        <w:b/>
      </w:rPr>
      <w:t>School administrators, Heads of Learning Area –</w:t>
    </w:r>
    <w:r>
      <w:rPr>
        <w:b/>
      </w:rPr>
      <w:t xml:space="preserve"> Humanities and Social Sciences </w:t>
    </w:r>
    <w:r w:rsidRPr="00871FC2">
      <w:rPr>
        <w:b/>
      </w:rPr>
      <w:t xml:space="preserve">and teachers of </w:t>
    </w:r>
    <w:r>
      <w:rPr>
        <w:b/>
      </w:rPr>
      <w:t>Agribusiness ATAR</w:t>
    </w:r>
    <w:r w:rsidRPr="00871FC2">
      <w:rPr>
        <w:b/>
      </w:rPr>
      <w:t xml:space="preserve"> </w:t>
    </w:r>
    <w:r>
      <w:rPr>
        <w:b/>
      </w:rPr>
      <w:t xml:space="preserve">Year 12 </w:t>
    </w:r>
    <w:r w:rsidRPr="00871FC2">
      <w:rPr>
        <w:b/>
      </w:rPr>
      <w:t>are requested to note for 202</w:t>
    </w:r>
    <w:r>
      <w:rPr>
        <w:b/>
      </w:rPr>
      <w:t>5</w:t>
    </w:r>
    <w:r w:rsidRPr="00871FC2">
      <w:rPr>
        <w:b/>
      </w:rPr>
      <w:t xml:space="preserve"> the following minor syllabus changes. The syllabus is labelled as ‘For teaching from 202</w:t>
    </w:r>
    <w:r>
      <w:rPr>
        <w:b/>
      </w:rPr>
      <w:t>5</w:t>
    </w:r>
    <w:r w:rsidRPr="00871FC2">
      <w:rPr>
        <w:b/>
      </w:rPr>
      <w:t>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4BAD0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5A0C6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15228D"/>
    <w:multiLevelType w:val="hybridMultilevel"/>
    <w:tmpl w:val="D73810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BE749A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i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83616"/>
    <w:multiLevelType w:val="hybridMultilevel"/>
    <w:tmpl w:val="8E4EDB76"/>
    <w:lvl w:ilvl="0" w:tplc="7AC8B280">
      <w:numFmt w:val="bullet"/>
      <w:lvlText w:val="-"/>
      <w:lvlJc w:val="left"/>
      <w:pPr>
        <w:ind w:left="1803" w:hanging="360"/>
      </w:pPr>
      <w:rPr>
        <w:rFonts w:ascii="Symbol" w:eastAsiaTheme="minorEastAsia" w:hAnsi="Symbol" w:hint="default"/>
        <w:i/>
      </w:rPr>
    </w:lvl>
    <w:lvl w:ilvl="1" w:tplc="7AC8B280">
      <w:numFmt w:val="bullet"/>
      <w:lvlText w:val="-"/>
      <w:lvlJc w:val="left"/>
      <w:pPr>
        <w:ind w:left="1440" w:hanging="360"/>
      </w:pPr>
      <w:rPr>
        <w:rFonts w:ascii="Symbol" w:eastAsiaTheme="minorEastAsia" w:hAnsi="Symbol" w:hint="default"/>
        <w:i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D2"/>
    <w:multiLevelType w:val="hybridMultilevel"/>
    <w:tmpl w:val="160898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A0"/>
    <w:multiLevelType w:val="hybridMultilevel"/>
    <w:tmpl w:val="3EC20EB8"/>
    <w:lvl w:ilvl="0" w:tplc="0C090001">
      <w:start w:val="1"/>
      <w:numFmt w:val="bullet"/>
      <w:pStyle w:val="Heading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61D60"/>
    <w:multiLevelType w:val="hybridMultilevel"/>
    <w:tmpl w:val="D766E9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6FEF"/>
    <w:multiLevelType w:val="multilevel"/>
    <w:tmpl w:val="EB2CB468"/>
    <w:styleLink w:val="ListBullets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8" w15:restartNumberingAfterBreak="0">
    <w:nsid w:val="37672294"/>
    <w:multiLevelType w:val="multilevel"/>
    <w:tmpl w:val="CA8A9336"/>
    <w:styleLink w:val="EngBulletsList"/>
    <w:lvl w:ilvl="0">
      <w:start w:val="1"/>
      <w:numFmt w:val="bullet"/>
      <w:pStyle w:val="ListBullet5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ind w:left="1071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42C005C2"/>
    <w:multiLevelType w:val="hybridMultilevel"/>
    <w:tmpl w:val="2EAE579E"/>
    <w:lvl w:ilvl="0" w:tplc="C7E091E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i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404FA8"/>
    <w:multiLevelType w:val="multilevel"/>
    <w:tmpl w:val="4B2AEF54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E195AB4"/>
    <w:multiLevelType w:val="hybridMultilevel"/>
    <w:tmpl w:val="80884A78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3EBE74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9892369"/>
    <w:multiLevelType w:val="multilevel"/>
    <w:tmpl w:val="2966984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strike w:val="0"/>
      </w:rPr>
    </w:lvl>
    <w:lvl w:ilvl="2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3">
      <w:numFmt w:val="bullet"/>
      <w:lvlText w:val="-"/>
      <w:lvlJc w:val="left"/>
      <w:pPr>
        <w:ind w:left="1890" w:hanging="360"/>
      </w:pPr>
      <w:rPr>
        <w:rFonts w:ascii="Calibri" w:eastAsiaTheme="minorEastAsia" w:hAnsi="Calibri" w:cs="Calibri" w:hint="default"/>
        <w:i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13" w15:restartNumberingAfterBreak="0">
    <w:nsid w:val="6CBF2513"/>
    <w:multiLevelType w:val="hybridMultilevel"/>
    <w:tmpl w:val="FD8A498C"/>
    <w:lvl w:ilvl="0" w:tplc="FA541E30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1351C5"/>
    <w:multiLevelType w:val="multilevel"/>
    <w:tmpl w:val="2966984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strike w:val="0"/>
      </w:rPr>
    </w:lvl>
    <w:lvl w:ilvl="2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3">
      <w:numFmt w:val="bullet"/>
      <w:lvlText w:val="-"/>
      <w:lvlJc w:val="left"/>
      <w:pPr>
        <w:ind w:left="1890" w:hanging="360"/>
      </w:pPr>
      <w:rPr>
        <w:rFonts w:ascii="Calibri" w:eastAsiaTheme="minorEastAsia" w:hAnsi="Calibri" w:cs="Calibri" w:hint="default"/>
        <w:i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num w:numId="1" w16cid:durableId="1789543720">
    <w:abstractNumId w:val="13"/>
  </w:num>
  <w:num w:numId="2" w16cid:durableId="730886385">
    <w:abstractNumId w:val="7"/>
  </w:num>
  <w:num w:numId="3" w16cid:durableId="137041739">
    <w:abstractNumId w:val="5"/>
  </w:num>
  <w:num w:numId="4" w16cid:durableId="1724984853">
    <w:abstractNumId w:val="2"/>
  </w:num>
  <w:num w:numId="5" w16cid:durableId="1510633869">
    <w:abstractNumId w:val="1"/>
  </w:num>
  <w:num w:numId="6" w16cid:durableId="664747358">
    <w:abstractNumId w:val="0"/>
  </w:num>
  <w:num w:numId="7" w16cid:durableId="1595943122">
    <w:abstractNumId w:val="8"/>
  </w:num>
  <w:num w:numId="8" w16cid:durableId="2048216384">
    <w:abstractNumId w:val="10"/>
  </w:num>
  <w:num w:numId="9" w16cid:durableId="628320279">
    <w:abstractNumId w:val="9"/>
  </w:num>
  <w:num w:numId="10" w16cid:durableId="796753231">
    <w:abstractNumId w:val="3"/>
  </w:num>
  <w:num w:numId="11" w16cid:durableId="1022823059">
    <w:abstractNumId w:val="4"/>
  </w:num>
  <w:num w:numId="12" w16cid:durableId="205877286">
    <w:abstractNumId w:val="12"/>
  </w:num>
  <w:num w:numId="13" w16cid:durableId="101649510">
    <w:abstractNumId w:val="11"/>
  </w:num>
  <w:num w:numId="14" w16cid:durableId="718476473">
    <w:abstractNumId w:val="6"/>
  </w:num>
  <w:num w:numId="15" w16cid:durableId="210056069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BF"/>
    <w:rsid w:val="00000035"/>
    <w:rsid w:val="00010803"/>
    <w:rsid w:val="00014A4C"/>
    <w:rsid w:val="0001621A"/>
    <w:rsid w:val="0001632C"/>
    <w:rsid w:val="000602F2"/>
    <w:rsid w:val="000650EF"/>
    <w:rsid w:val="0007400D"/>
    <w:rsid w:val="00074F5A"/>
    <w:rsid w:val="000B1665"/>
    <w:rsid w:val="000B30CF"/>
    <w:rsid w:val="000B5315"/>
    <w:rsid w:val="000F1A55"/>
    <w:rsid w:val="000F3F5C"/>
    <w:rsid w:val="000F4384"/>
    <w:rsid w:val="000F5C48"/>
    <w:rsid w:val="000F6D00"/>
    <w:rsid w:val="001108C5"/>
    <w:rsid w:val="00120B9B"/>
    <w:rsid w:val="00124831"/>
    <w:rsid w:val="00171E9C"/>
    <w:rsid w:val="00174D13"/>
    <w:rsid w:val="00181864"/>
    <w:rsid w:val="00185C52"/>
    <w:rsid w:val="001A4C14"/>
    <w:rsid w:val="001A723C"/>
    <w:rsid w:val="001C3451"/>
    <w:rsid w:val="001C5A16"/>
    <w:rsid w:val="001D1674"/>
    <w:rsid w:val="001D642A"/>
    <w:rsid w:val="001E27A2"/>
    <w:rsid w:val="001E665C"/>
    <w:rsid w:val="001F2EBA"/>
    <w:rsid w:val="001F7298"/>
    <w:rsid w:val="001F79E0"/>
    <w:rsid w:val="0020074A"/>
    <w:rsid w:val="00206FDD"/>
    <w:rsid w:val="002100BD"/>
    <w:rsid w:val="002214D0"/>
    <w:rsid w:val="002252AF"/>
    <w:rsid w:val="0024461E"/>
    <w:rsid w:val="00276775"/>
    <w:rsid w:val="00281A31"/>
    <w:rsid w:val="002A452F"/>
    <w:rsid w:val="002D756C"/>
    <w:rsid w:val="003110E5"/>
    <w:rsid w:val="00351823"/>
    <w:rsid w:val="00355F5A"/>
    <w:rsid w:val="00360C97"/>
    <w:rsid w:val="003641AF"/>
    <w:rsid w:val="00374D8A"/>
    <w:rsid w:val="00376354"/>
    <w:rsid w:val="00383BAF"/>
    <w:rsid w:val="003913BD"/>
    <w:rsid w:val="003921EC"/>
    <w:rsid w:val="00397469"/>
    <w:rsid w:val="003A1EF7"/>
    <w:rsid w:val="003B0D33"/>
    <w:rsid w:val="003B585F"/>
    <w:rsid w:val="003C7D40"/>
    <w:rsid w:val="003F5E65"/>
    <w:rsid w:val="004061B3"/>
    <w:rsid w:val="004306D0"/>
    <w:rsid w:val="00432337"/>
    <w:rsid w:val="00435F37"/>
    <w:rsid w:val="00453F97"/>
    <w:rsid w:val="004A25BB"/>
    <w:rsid w:val="004B02FF"/>
    <w:rsid w:val="004B6AE2"/>
    <w:rsid w:val="004C0FDA"/>
    <w:rsid w:val="004E48B4"/>
    <w:rsid w:val="005017FD"/>
    <w:rsid w:val="005213E2"/>
    <w:rsid w:val="0052538C"/>
    <w:rsid w:val="00546860"/>
    <w:rsid w:val="00574DF9"/>
    <w:rsid w:val="005908CE"/>
    <w:rsid w:val="005C7147"/>
    <w:rsid w:val="005D3820"/>
    <w:rsid w:val="005E67B8"/>
    <w:rsid w:val="00630D14"/>
    <w:rsid w:val="006337FD"/>
    <w:rsid w:val="00673839"/>
    <w:rsid w:val="00686093"/>
    <w:rsid w:val="006951BF"/>
    <w:rsid w:val="006A0DF6"/>
    <w:rsid w:val="006A17DD"/>
    <w:rsid w:val="006D37FB"/>
    <w:rsid w:val="006E5C58"/>
    <w:rsid w:val="006E66A1"/>
    <w:rsid w:val="006F4690"/>
    <w:rsid w:val="00712BA5"/>
    <w:rsid w:val="007131BF"/>
    <w:rsid w:val="007432F1"/>
    <w:rsid w:val="00746B89"/>
    <w:rsid w:val="00746D19"/>
    <w:rsid w:val="00747DA2"/>
    <w:rsid w:val="00754595"/>
    <w:rsid w:val="0076480E"/>
    <w:rsid w:val="007651B7"/>
    <w:rsid w:val="0076694B"/>
    <w:rsid w:val="007B0BB8"/>
    <w:rsid w:val="007B5296"/>
    <w:rsid w:val="007C231E"/>
    <w:rsid w:val="007D0169"/>
    <w:rsid w:val="007D26F0"/>
    <w:rsid w:val="007D603F"/>
    <w:rsid w:val="007D675A"/>
    <w:rsid w:val="007D73E1"/>
    <w:rsid w:val="00800A94"/>
    <w:rsid w:val="00802436"/>
    <w:rsid w:val="00807877"/>
    <w:rsid w:val="00807996"/>
    <w:rsid w:val="00814730"/>
    <w:rsid w:val="00836C43"/>
    <w:rsid w:val="00852430"/>
    <w:rsid w:val="0086198C"/>
    <w:rsid w:val="00864DBE"/>
    <w:rsid w:val="0086576D"/>
    <w:rsid w:val="00874F37"/>
    <w:rsid w:val="008806AB"/>
    <w:rsid w:val="00885E4B"/>
    <w:rsid w:val="008B1C9D"/>
    <w:rsid w:val="008B6C4D"/>
    <w:rsid w:val="008C14A1"/>
    <w:rsid w:val="008E570F"/>
    <w:rsid w:val="008F08C0"/>
    <w:rsid w:val="008F6FEA"/>
    <w:rsid w:val="0090660E"/>
    <w:rsid w:val="00924226"/>
    <w:rsid w:val="00924B1C"/>
    <w:rsid w:val="009365C7"/>
    <w:rsid w:val="009465C7"/>
    <w:rsid w:val="0096774A"/>
    <w:rsid w:val="009A491D"/>
    <w:rsid w:val="009B47C4"/>
    <w:rsid w:val="009C38C8"/>
    <w:rsid w:val="009E3BA6"/>
    <w:rsid w:val="009F0E97"/>
    <w:rsid w:val="009F11A7"/>
    <w:rsid w:val="00A0459F"/>
    <w:rsid w:val="00A15503"/>
    <w:rsid w:val="00A314F4"/>
    <w:rsid w:val="00A320EB"/>
    <w:rsid w:val="00A32E0B"/>
    <w:rsid w:val="00A4204D"/>
    <w:rsid w:val="00A43F90"/>
    <w:rsid w:val="00A44EA9"/>
    <w:rsid w:val="00A55D32"/>
    <w:rsid w:val="00A6597A"/>
    <w:rsid w:val="00A71C04"/>
    <w:rsid w:val="00A723E9"/>
    <w:rsid w:val="00A77758"/>
    <w:rsid w:val="00A86DC2"/>
    <w:rsid w:val="00A95B98"/>
    <w:rsid w:val="00AA7B63"/>
    <w:rsid w:val="00AB2F6D"/>
    <w:rsid w:val="00AC410E"/>
    <w:rsid w:val="00AC7C30"/>
    <w:rsid w:val="00AD7C7A"/>
    <w:rsid w:val="00AD7D8D"/>
    <w:rsid w:val="00AE24E8"/>
    <w:rsid w:val="00AF2B56"/>
    <w:rsid w:val="00AF5A52"/>
    <w:rsid w:val="00B11B5A"/>
    <w:rsid w:val="00B17BC5"/>
    <w:rsid w:val="00B63D81"/>
    <w:rsid w:val="00B72079"/>
    <w:rsid w:val="00B952EB"/>
    <w:rsid w:val="00B95F75"/>
    <w:rsid w:val="00BA4D7F"/>
    <w:rsid w:val="00BB05A7"/>
    <w:rsid w:val="00BC5A20"/>
    <w:rsid w:val="00BC733B"/>
    <w:rsid w:val="00BD2792"/>
    <w:rsid w:val="00BF75C7"/>
    <w:rsid w:val="00C02DBC"/>
    <w:rsid w:val="00C1724E"/>
    <w:rsid w:val="00C172F1"/>
    <w:rsid w:val="00C17A21"/>
    <w:rsid w:val="00C32ACE"/>
    <w:rsid w:val="00C32CAA"/>
    <w:rsid w:val="00C334A8"/>
    <w:rsid w:val="00C37242"/>
    <w:rsid w:val="00C47A49"/>
    <w:rsid w:val="00C5524B"/>
    <w:rsid w:val="00C56CCE"/>
    <w:rsid w:val="00C64978"/>
    <w:rsid w:val="00C7384F"/>
    <w:rsid w:val="00C82992"/>
    <w:rsid w:val="00C90C85"/>
    <w:rsid w:val="00C9451B"/>
    <w:rsid w:val="00C97203"/>
    <w:rsid w:val="00CA0985"/>
    <w:rsid w:val="00CC46CE"/>
    <w:rsid w:val="00CE0DC6"/>
    <w:rsid w:val="00CF3EA7"/>
    <w:rsid w:val="00D10027"/>
    <w:rsid w:val="00D13B34"/>
    <w:rsid w:val="00D33EFB"/>
    <w:rsid w:val="00D4169A"/>
    <w:rsid w:val="00D427D8"/>
    <w:rsid w:val="00D5170F"/>
    <w:rsid w:val="00D55038"/>
    <w:rsid w:val="00D83888"/>
    <w:rsid w:val="00D86A31"/>
    <w:rsid w:val="00D92E3B"/>
    <w:rsid w:val="00DE55E0"/>
    <w:rsid w:val="00E07415"/>
    <w:rsid w:val="00E10C94"/>
    <w:rsid w:val="00E277C2"/>
    <w:rsid w:val="00E649F9"/>
    <w:rsid w:val="00E7331C"/>
    <w:rsid w:val="00E8571A"/>
    <w:rsid w:val="00E922D7"/>
    <w:rsid w:val="00EA2878"/>
    <w:rsid w:val="00EA64A6"/>
    <w:rsid w:val="00ED2D97"/>
    <w:rsid w:val="00EF1D2A"/>
    <w:rsid w:val="00F15278"/>
    <w:rsid w:val="00F257CA"/>
    <w:rsid w:val="00F370EE"/>
    <w:rsid w:val="00F42581"/>
    <w:rsid w:val="00F471F7"/>
    <w:rsid w:val="00F5242D"/>
    <w:rsid w:val="00F53CB5"/>
    <w:rsid w:val="00F54A17"/>
    <w:rsid w:val="00F83976"/>
    <w:rsid w:val="00FB3A10"/>
    <w:rsid w:val="00FD2072"/>
    <w:rsid w:val="00FD4A1E"/>
    <w:rsid w:val="00FE52AE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33DDA"/>
  <w15:chartTrackingRefBased/>
  <w15:docId w15:val="{D59E24F4-FB99-4CCC-96B9-4F1AE50A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1B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4226"/>
    <w:pPr>
      <w:keepNext/>
      <w:keepLines/>
      <w:numPr>
        <w:numId w:val="3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A16"/>
    <w:pPr>
      <w:spacing w:before="240" w:after="60" w:line="264" w:lineRule="auto"/>
      <w:outlineLvl w:val="2"/>
    </w:pPr>
    <w:rPr>
      <w:rFonts w:ascii="Calibri" w:eastAsiaTheme="minorEastAsia" w:hAnsi="Calibri" w:cs="Times New Roman"/>
      <w:b/>
      <w:bCs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2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2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1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bullet">
    <w:name w:val="csbullet"/>
    <w:basedOn w:val="Normal"/>
    <w:rsid w:val="00AF5A52"/>
    <w:pPr>
      <w:tabs>
        <w:tab w:val="left" w:pos="-851"/>
      </w:tabs>
      <w:spacing w:before="120" w:after="120" w:line="280" w:lineRule="exact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9365C7"/>
    <w:pPr>
      <w:ind w:left="720"/>
      <w:contextualSpacing/>
    </w:pPr>
  </w:style>
  <w:style w:type="paragraph" w:customStyle="1" w:styleId="Default">
    <w:name w:val="Default"/>
    <w:rsid w:val="00E85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List-Accent4">
    <w:name w:val="Light List Accent 4"/>
    <w:aliases w:val="Syllabus tables"/>
    <w:basedOn w:val="TableNormal"/>
    <w:uiPriority w:val="61"/>
    <w:rsid w:val="00AE24E8"/>
    <w:pPr>
      <w:spacing w:after="0" w:line="240" w:lineRule="auto"/>
    </w:pPr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customStyle="1" w:styleId="Annotations">
    <w:name w:val="Annotations"/>
    <w:basedOn w:val="Normal"/>
    <w:link w:val="AnnotationsChar"/>
    <w:autoRedefine/>
    <w:qFormat/>
    <w:rsid w:val="000650EF"/>
    <w:pPr>
      <w:spacing w:after="200" w:line="276" w:lineRule="auto"/>
    </w:pPr>
    <w:rPr>
      <w:rFonts w:ascii="Calibri" w:hAnsi="Calibri"/>
      <w:sz w:val="18"/>
    </w:rPr>
  </w:style>
  <w:style w:type="character" w:customStyle="1" w:styleId="AnnotationsChar">
    <w:name w:val="Annotations Char"/>
    <w:basedOn w:val="DefaultParagraphFont"/>
    <w:link w:val="Annotations"/>
    <w:rsid w:val="000650EF"/>
    <w:rPr>
      <w:rFonts w:ascii="Calibri" w:hAnsi="Calibri"/>
      <w:sz w:val="18"/>
    </w:rPr>
  </w:style>
  <w:style w:type="paragraph" w:customStyle="1" w:styleId="ListItem">
    <w:name w:val="List Item"/>
    <w:basedOn w:val="Normal"/>
    <w:link w:val="ListItemChar"/>
    <w:qFormat/>
    <w:rsid w:val="000650EF"/>
    <w:pPr>
      <w:numPr>
        <w:numId w:val="1"/>
      </w:numPr>
      <w:spacing w:before="120" w:after="120" w:line="276" w:lineRule="auto"/>
    </w:pPr>
    <w:rPr>
      <w:rFonts w:ascii="Calibri" w:hAnsi="Calibri" w:cs="Calibri"/>
      <w:iCs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DE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3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C5A16"/>
    <w:rPr>
      <w:rFonts w:ascii="Calibri" w:eastAsiaTheme="minorEastAsia" w:hAnsi="Calibri" w:cs="Times New Roman"/>
      <w:b/>
      <w:bCs/>
      <w:color w:val="595959" w:themeColor="text1" w:themeTint="A6"/>
      <w:sz w:val="26"/>
      <w:szCs w:val="26"/>
    </w:rPr>
  </w:style>
  <w:style w:type="character" w:customStyle="1" w:styleId="ParagraphChar">
    <w:name w:val="Paragraph Char"/>
    <w:basedOn w:val="DefaultParagraphFont"/>
    <w:link w:val="Paragraph"/>
    <w:locked/>
    <w:rsid w:val="001C5A16"/>
    <w:rPr>
      <w:rFonts w:ascii="Calibri" w:hAnsi="Calibri" w:cs="Calibri"/>
      <w:lang w:eastAsia="en-AU"/>
    </w:rPr>
  </w:style>
  <w:style w:type="paragraph" w:customStyle="1" w:styleId="Paragraph">
    <w:name w:val="Paragraph"/>
    <w:basedOn w:val="Normal"/>
    <w:link w:val="ParagraphChar"/>
    <w:qFormat/>
    <w:rsid w:val="001C5A16"/>
    <w:pPr>
      <w:spacing w:before="120" w:after="120" w:line="276" w:lineRule="auto"/>
    </w:pPr>
    <w:rPr>
      <w:rFonts w:ascii="Calibri" w:hAnsi="Calibri" w:cs="Calibri"/>
      <w:lang w:eastAsia="en-AU"/>
    </w:rPr>
  </w:style>
  <w:style w:type="table" w:customStyle="1" w:styleId="TableGrid5">
    <w:name w:val="Table Grid5"/>
    <w:basedOn w:val="TableNormal"/>
    <w:next w:val="TableGrid"/>
    <w:uiPriority w:val="59"/>
    <w:rsid w:val="001C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yllabustables1">
    <w:name w:val="Syllabus tables1"/>
    <w:basedOn w:val="TableNormal"/>
    <w:next w:val="LightList-Accent4"/>
    <w:uiPriority w:val="61"/>
    <w:rsid w:val="001C5A16"/>
    <w:pPr>
      <w:spacing w:after="0" w:line="240" w:lineRule="auto"/>
    </w:pPr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table" w:customStyle="1" w:styleId="TableGrid6">
    <w:name w:val="Table Grid6"/>
    <w:basedOn w:val="TableNormal"/>
    <w:next w:val="TableGrid"/>
    <w:uiPriority w:val="59"/>
    <w:rsid w:val="008B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ItemChar">
    <w:name w:val="List Item Char"/>
    <w:basedOn w:val="DefaultParagraphFont"/>
    <w:link w:val="ListItem"/>
    <w:rsid w:val="008B6C4D"/>
    <w:rPr>
      <w:rFonts w:ascii="Calibri" w:hAnsi="Calibri" w:cs="Calibri"/>
      <w:iCs/>
      <w:lang w:eastAsia="en-AU"/>
    </w:rPr>
  </w:style>
  <w:style w:type="table" w:customStyle="1" w:styleId="TableGrid7">
    <w:name w:val="Table Grid7"/>
    <w:basedOn w:val="TableNormal"/>
    <w:next w:val="TableGrid"/>
    <w:uiPriority w:val="39"/>
    <w:rsid w:val="0092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1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Bullets">
    <w:name w:val="ListBullets"/>
    <w:uiPriority w:val="99"/>
    <w:rsid w:val="003913BD"/>
    <w:pPr>
      <w:numPr>
        <w:numId w:val="2"/>
      </w:numPr>
    </w:pPr>
  </w:style>
  <w:style w:type="table" w:customStyle="1" w:styleId="TableGrid9">
    <w:name w:val="Table Grid9"/>
    <w:basedOn w:val="TableNormal"/>
    <w:next w:val="TableGrid"/>
    <w:uiPriority w:val="39"/>
    <w:rsid w:val="003C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0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518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24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qFormat/>
    <w:rsid w:val="00924226"/>
    <w:pPr>
      <w:spacing w:after="120" w:line="264" w:lineRule="auto"/>
      <w:ind w:left="1080" w:hanging="360"/>
      <w:contextualSpacing/>
    </w:pPr>
    <w:rPr>
      <w:rFonts w:ascii="Calibri" w:eastAsiaTheme="minorEastAsia" w:hAnsi="Calibri"/>
    </w:rPr>
  </w:style>
  <w:style w:type="paragraph" w:styleId="Header">
    <w:name w:val="header"/>
    <w:basedOn w:val="Normal"/>
    <w:link w:val="HeaderChar"/>
    <w:uiPriority w:val="99"/>
    <w:unhideWhenUsed/>
    <w:rsid w:val="00C17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F1"/>
  </w:style>
  <w:style w:type="paragraph" w:styleId="Footer">
    <w:name w:val="footer"/>
    <w:basedOn w:val="Normal"/>
    <w:link w:val="FooterChar"/>
    <w:uiPriority w:val="99"/>
    <w:unhideWhenUsed/>
    <w:rsid w:val="00C17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F1"/>
  </w:style>
  <w:style w:type="paragraph" w:styleId="BalloonText">
    <w:name w:val="Balloon Text"/>
    <w:basedOn w:val="Normal"/>
    <w:link w:val="BalloonTextChar"/>
    <w:uiPriority w:val="99"/>
    <w:semiHidden/>
    <w:unhideWhenUsed/>
    <w:rsid w:val="001A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14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rsid w:val="00A44EA9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A44EA9"/>
    <w:pPr>
      <w:numPr>
        <w:numId w:val="6"/>
      </w:numPr>
      <w:contextualSpacing/>
    </w:pPr>
  </w:style>
  <w:style w:type="paragraph" w:customStyle="1" w:styleId="ListBullet51">
    <w:name w:val="List Bullet 51"/>
    <w:basedOn w:val="Normal"/>
    <w:next w:val="ListBullet5"/>
    <w:uiPriority w:val="99"/>
    <w:unhideWhenUsed/>
    <w:rsid w:val="00F471F7"/>
    <w:pPr>
      <w:spacing w:after="120" w:line="264" w:lineRule="auto"/>
      <w:ind w:left="1080" w:hanging="1080"/>
      <w:contextualSpacing/>
    </w:pPr>
    <w:rPr>
      <w:rFonts w:ascii="Calibri" w:eastAsia="MS PGothic" w:hAnsi="Calibri"/>
    </w:rPr>
  </w:style>
  <w:style w:type="numbering" w:customStyle="1" w:styleId="EngBulletsList">
    <w:name w:val="EngBulletsList"/>
    <w:uiPriority w:val="99"/>
    <w:rsid w:val="00F471F7"/>
    <w:pPr>
      <w:numPr>
        <w:numId w:val="7"/>
      </w:numPr>
    </w:pPr>
  </w:style>
  <w:style w:type="paragraph" w:customStyle="1" w:styleId="ListBullet41">
    <w:name w:val="List Bullet 41"/>
    <w:basedOn w:val="Normal"/>
    <w:next w:val="ListBullet4"/>
    <w:uiPriority w:val="99"/>
    <w:unhideWhenUsed/>
    <w:rsid w:val="00F471F7"/>
    <w:pPr>
      <w:spacing w:after="0" w:line="276" w:lineRule="auto"/>
      <w:ind w:left="720" w:hanging="720"/>
      <w:contextualSpacing/>
    </w:pPr>
    <w:rPr>
      <w:rFonts w:ascii="Calibri" w:eastAsia="MS PGothic" w:hAnsi="Calibri"/>
    </w:rPr>
  </w:style>
  <w:style w:type="paragraph" w:styleId="ListBullet5">
    <w:name w:val="List Bullet 5"/>
    <w:basedOn w:val="Normal"/>
    <w:uiPriority w:val="99"/>
    <w:unhideWhenUsed/>
    <w:rsid w:val="00F471F7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unhideWhenUsed/>
    <w:rsid w:val="00F471F7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0EB"/>
    <w:pPr>
      <w:spacing w:after="120" w:line="240" w:lineRule="auto"/>
    </w:pPr>
    <w:rPr>
      <w:rFonts w:ascii="Calibri" w:eastAsiaTheme="minorEastAsia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0EB"/>
    <w:rPr>
      <w:rFonts w:ascii="Calibri" w:eastAsiaTheme="minorEastAsia" w:hAnsi="Calibr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2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24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181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305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Halden</dc:creator>
  <cp:keywords/>
  <dc:description/>
  <cp:lastModifiedBy>Jenna Khor</cp:lastModifiedBy>
  <cp:revision>16</cp:revision>
  <cp:lastPrinted>2024-07-02T02:53:00Z</cp:lastPrinted>
  <dcterms:created xsi:type="dcterms:W3CDTF">2024-07-09T06:20:00Z</dcterms:created>
  <dcterms:modified xsi:type="dcterms:W3CDTF">2024-07-18T08:04:00Z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17ba55bd40fab149d46a98a20eb39debd064c1b636ab9c79c78dfc95822281fd</vt:lpwstr>
  </property>
</Properties>
</file>