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8EC1" w14:textId="77777777" w:rsidR="00855E0F" w:rsidRPr="005621DD" w:rsidRDefault="00855E0F" w:rsidP="004B206E">
      <w:pPr>
        <w:pStyle w:val="SCSATitle1"/>
        <w:spacing w:after="0"/>
      </w:pPr>
      <w:r w:rsidRPr="005621DD">
        <w:rPr>
          <w:rFonts w:ascii="Franklin Gothic Medium" w:hAnsi="Franklin Gothic Medium"/>
          <w:noProof/>
          <w:color w:val="463969"/>
          <w:sz w:val="52"/>
        </w:rPr>
        <w:drawing>
          <wp:anchor distT="0" distB="0" distL="114300" distR="114300" simplePos="0" relativeHeight="251658752" behindDoc="1" locked="1" layoutInCell="1" allowOverlap="1" wp14:anchorId="6B3B7018" wp14:editId="28BDA9F0">
            <wp:simplePos x="0" y="0"/>
            <wp:positionH relativeFrom="column">
              <wp:posOffset>-6134100</wp:posOffset>
            </wp:positionH>
            <wp:positionV relativeFrom="paragraph">
              <wp:posOffset>566420</wp:posOffset>
            </wp:positionV>
            <wp:extent cx="11631295" cy="912177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5621DD">
        <w:t>Sample Course Outline</w:t>
      </w:r>
    </w:p>
    <w:p w14:paraId="0B3B5390" w14:textId="77777777" w:rsidR="00855E0F" w:rsidRPr="005621DD" w:rsidRDefault="00475DCB" w:rsidP="004B206E">
      <w:pPr>
        <w:pStyle w:val="SCSATitle2"/>
        <w:spacing w:after="0"/>
      </w:pPr>
      <w:r>
        <w:t>Human Biology</w:t>
      </w:r>
    </w:p>
    <w:p w14:paraId="7E017FCB" w14:textId="77777777" w:rsidR="0025174E" w:rsidRPr="008D1D8C" w:rsidRDefault="00475DCB" w:rsidP="004B206E">
      <w:pPr>
        <w:pStyle w:val="SCSATitle3"/>
        <w:spacing w:after="0"/>
      </w:pPr>
      <w:r>
        <w:t>General</w:t>
      </w:r>
      <w:r w:rsidR="00855E0F" w:rsidRPr="005621DD">
        <w:t xml:space="preserve"> Year </w:t>
      </w:r>
      <w:r>
        <w:t>12</w:t>
      </w:r>
    </w:p>
    <w:p w14:paraId="1A908FB3" w14:textId="141E9605" w:rsidR="00DC1810" w:rsidRDefault="00DC1810">
      <w:pPr>
        <w:spacing w:after="200"/>
        <w:rPr>
          <w:b/>
          <w:sz w:val="16"/>
          <w:lang w:val="en-GB"/>
        </w:rPr>
      </w:pPr>
      <w:r>
        <w:rPr>
          <w:b/>
          <w:sz w:val="16"/>
          <w:lang w:val="en-GB"/>
        </w:rPr>
        <w:br w:type="page"/>
      </w:r>
    </w:p>
    <w:p w14:paraId="3A3BAB7F" w14:textId="77777777" w:rsidR="00DC1810" w:rsidRPr="00DC1810" w:rsidRDefault="00DC1810" w:rsidP="00DC1810">
      <w:pPr>
        <w:keepNext/>
        <w:rPr>
          <w:rFonts w:ascii="Calibri" w:eastAsia="Times New Roman" w:hAnsi="Calibri" w:cs="Calibri"/>
          <w:b/>
          <w:sz w:val="24"/>
          <w:lang w:val="en-AU"/>
        </w:rPr>
      </w:pPr>
      <w:r w:rsidRPr="00DC1810">
        <w:rPr>
          <w:rFonts w:ascii="Calibri" w:eastAsia="Times New Roman" w:hAnsi="Calibri" w:cs="Calibri"/>
          <w:b/>
          <w:sz w:val="24"/>
          <w:lang w:val="en-AU"/>
        </w:rPr>
        <w:lastRenderedPageBreak/>
        <w:t>Acknowledgement of Country</w:t>
      </w:r>
    </w:p>
    <w:p w14:paraId="1E2EE7F4" w14:textId="77777777" w:rsidR="00DC1810" w:rsidRPr="00DC1810" w:rsidRDefault="00DC1810" w:rsidP="00EA6A80">
      <w:pPr>
        <w:spacing w:before="120" w:after="6360"/>
        <w:rPr>
          <w:rFonts w:ascii="Calibri" w:eastAsia="Calibri" w:hAnsi="Calibri" w:cs="Myanmar Text"/>
          <w:lang w:val="en-AU"/>
        </w:rPr>
      </w:pPr>
      <w:r w:rsidRPr="00DC1810">
        <w:rPr>
          <w:rFonts w:ascii="Calibri" w:eastAsia="Calibri" w:hAnsi="Calibri" w:cs="Myanmar Text"/>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6E590BB" w14:textId="77777777" w:rsidR="0025174E" w:rsidRPr="00DC1810" w:rsidRDefault="0025174E" w:rsidP="00C56CE5">
      <w:pPr>
        <w:jc w:val="both"/>
        <w:rPr>
          <w:rFonts w:cstheme="minorHAnsi"/>
          <w:b/>
          <w:sz w:val="20"/>
          <w:szCs w:val="20"/>
          <w:lang w:val="en-GB"/>
        </w:rPr>
      </w:pPr>
      <w:r w:rsidRPr="00DC1810">
        <w:rPr>
          <w:rFonts w:cstheme="minorHAnsi"/>
          <w:b/>
          <w:sz w:val="20"/>
          <w:szCs w:val="20"/>
          <w:lang w:val="en-GB"/>
        </w:rPr>
        <w:t>Copyright</w:t>
      </w:r>
    </w:p>
    <w:p w14:paraId="1FEE3372" w14:textId="005F1EB5" w:rsidR="0025174E" w:rsidRPr="00DC1810" w:rsidRDefault="0025174E" w:rsidP="00921F74">
      <w:pPr>
        <w:rPr>
          <w:rFonts w:cstheme="minorHAnsi"/>
          <w:sz w:val="20"/>
          <w:szCs w:val="20"/>
          <w:lang w:val="en-GB"/>
        </w:rPr>
      </w:pPr>
      <w:r w:rsidRPr="00DC1810">
        <w:rPr>
          <w:rFonts w:cstheme="minorHAnsi"/>
          <w:sz w:val="20"/>
          <w:szCs w:val="20"/>
          <w:lang w:val="en-GB"/>
        </w:rPr>
        <w:t>© School Curricul</w:t>
      </w:r>
      <w:r w:rsidR="00905E7D" w:rsidRPr="00DC1810">
        <w:rPr>
          <w:rFonts w:cstheme="minorHAnsi"/>
          <w:sz w:val="20"/>
          <w:szCs w:val="20"/>
          <w:lang w:val="en-GB"/>
        </w:rPr>
        <w:t xml:space="preserve">um and Standards Authority, </w:t>
      </w:r>
      <w:r w:rsidR="00905E7D" w:rsidRPr="00C344B8">
        <w:rPr>
          <w:rFonts w:cstheme="minorHAnsi"/>
          <w:sz w:val="20"/>
          <w:szCs w:val="20"/>
          <w:lang w:val="en-GB"/>
        </w:rPr>
        <w:t>20</w:t>
      </w:r>
      <w:r w:rsidR="00DC1810" w:rsidRPr="00C344B8">
        <w:rPr>
          <w:rFonts w:cstheme="minorHAnsi"/>
          <w:sz w:val="20"/>
          <w:szCs w:val="20"/>
          <w:lang w:val="en-GB"/>
        </w:rPr>
        <w:t>2</w:t>
      </w:r>
      <w:r w:rsidR="00C344B8">
        <w:rPr>
          <w:rFonts w:cstheme="minorHAnsi"/>
          <w:sz w:val="20"/>
          <w:szCs w:val="20"/>
          <w:lang w:val="en-GB"/>
        </w:rPr>
        <w:t>4</w:t>
      </w:r>
    </w:p>
    <w:p w14:paraId="10386A45" w14:textId="28E4EF08" w:rsidR="0025174E" w:rsidRPr="00DC1810" w:rsidRDefault="0025174E" w:rsidP="00921F74">
      <w:pPr>
        <w:rPr>
          <w:rFonts w:cstheme="minorHAnsi"/>
          <w:sz w:val="20"/>
          <w:szCs w:val="20"/>
          <w:lang w:val="en-GB"/>
        </w:rPr>
      </w:pPr>
      <w:r w:rsidRPr="00DC1810">
        <w:rPr>
          <w:rFonts w:cstheme="minorHAnsi"/>
          <w:sz w:val="20"/>
          <w:szCs w:val="20"/>
          <w:lang w:val="en-GB"/>
        </w:rPr>
        <w:t>This document – apart from any third</w:t>
      </w:r>
      <w:r w:rsidR="00921373">
        <w:rPr>
          <w:rFonts w:cstheme="minorHAnsi"/>
          <w:sz w:val="20"/>
          <w:szCs w:val="20"/>
          <w:lang w:val="en-GB"/>
        </w:rPr>
        <w:t>-</w:t>
      </w:r>
      <w:r w:rsidRPr="00DC1810">
        <w:rPr>
          <w:rFonts w:cstheme="minorHAnsi"/>
          <w:sz w:val="20"/>
          <w:szCs w:val="20"/>
          <w:lang w:val="en-GB"/>
        </w:rPr>
        <w:t xml:space="preserve">party copyright material contained in it – may be freely copied, or communicated on an intranet, for non-commercial purposes in educational institutions, provided that the School Curriculum and Standards Authority </w:t>
      </w:r>
      <w:r w:rsidR="008B0EC6" w:rsidRPr="00DC1810">
        <w:rPr>
          <w:rFonts w:cstheme="minorHAnsi"/>
          <w:sz w:val="20"/>
          <w:szCs w:val="20"/>
          <w:lang w:val="en-GB"/>
        </w:rPr>
        <w:t xml:space="preserve">(the Authority) </w:t>
      </w:r>
      <w:r w:rsidRPr="00DC1810">
        <w:rPr>
          <w:rFonts w:cstheme="minorHAnsi"/>
          <w:sz w:val="20"/>
          <w:szCs w:val="20"/>
          <w:lang w:val="en-GB"/>
        </w:rPr>
        <w:t>is acknowledged as the copyright owner, and that the Authority’s moral rights are not infringed.</w:t>
      </w:r>
    </w:p>
    <w:p w14:paraId="5F5181FA" w14:textId="4776854E" w:rsidR="0025174E" w:rsidRPr="00DC1810" w:rsidRDefault="0025174E" w:rsidP="00921F74">
      <w:pPr>
        <w:rPr>
          <w:rFonts w:cstheme="minorHAnsi"/>
          <w:sz w:val="20"/>
          <w:szCs w:val="20"/>
          <w:lang w:val="en-GB"/>
        </w:rPr>
      </w:pPr>
      <w:r w:rsidRPr="00DC1810">
        <w:rPr>
          <w:rFonts w:cstheme="minorHAnsi"/>
          <w:sz w:val="20"/>
          <w:szCs w:val="20"/>
          <w:lang w:val="en-GB"/>
        </w:rPr>
        <w:t xml:space="preserve">Copying or communication for any other purpose can be done only within the terms of the </w:t>
      </w:r>
      <w:r w:rsidRPr="00DC1810">
        <w:rPr>
          <w:rFonts w:cstheme="minorHAnsi"/>
          <w:i/>
          <w:iCs/>
          <w:sz w:val="20"/>
          <w:szCs w:val="20"/>
          <w:lang w:val="en-GB"/>
        </w:rPr>
        <w:t>Copyright Act 1968</w:t>
      </w:r>
      <w:r w:rsidRPr="00DC1810">
        <w:rPr>
          <w:rFonts w:cstheme="minorHAnsi"/>
          <w:sz w:val="20"/>
          <w:szCs w:val="20"/>
          <w:lang w:val="en-GB"/>
        </w:rPr>
        <w:t xml:space="preserve"> or with p</w:t>
      </w:r>
      <w:r w:rsidR="00BE669B" w:rsidRPr="00DC1810">
        <w:rPr>
          <w:rFonts w:cstheme="minorHAnsi"/>
          <w:sz w:val="20"/>
          <w:szCs w:val="20"/>
          <w:lang w:val="en-GB"/>
        </w:rPr>
        <w:t>rior written permission of the</w:t>
      </w:r>
      <w:r w:rsidRPr="00DC1810">
        <w:rPr>
          <w:rFonts w:cstheme="minorHAnsi"/>
          <w:sz w:val="20"/>
          <w:szCs w:val="20"/>
          <w:lang w:val="en-GB"/>
        </w:rPr>
        <w:t xml:space="preserve"> Authority. Copying or communication of any third</w:t>
      </w:r>
      <w:r w:rsidR="00921373">
        <w:rPr>
          <w:rFonts w:cstheme="minorHAnsi"/>
          <w:sz w:val="20"/>
          <w:szCs w:val="20"/>
          <w:lang w:val="en-GB"/>
        </w:rPr>
        <w:t>-</w:t>
      </w:r>
      <w:r w:rsidRPr="00DC1810">
        <w:rPr>
          <w:rFonts w:cstheme="minorHAnsi"/>
          <w:sz w:val="20"/>
          <w:szCs w:val="20"/>
          <w:lang w:val="en-GB"/>
        </w:rPr>
        <w:t xml:space="preserve">party copyright material can be done only within the terms of the </w:t>
      </w:r>
      <w:r w:rsidRPr="00DC1810">
        <w:rPr>
          <w:rFonts w:cstheme="minorHAnsi"/>
          <w:i/>
          <w:iCs/>
          <w:sz w:val="20"/>
          <w:szCs w:val="20"/>
          <w:lang w:val="en-GB"/>
        </w:rPr>
        <w:t>Copyright Act 1968</w:t>
      </w:r>
      <w:r w:rsidRPr="00DC1810">
        <w:rPr>
          <w:rFonts w:cstheme="minorHAnsi"/>
          <w:sz w:val="20"/>
          <w:szCs w:val="20"/>
          <w:lang w:val="en-GB"/>
        </w:rPr>
        <w:t xml:space="preserve"> or with permission of the copyright owners.</w:t>
      </w:r>
    </w:p>
    <w:p w14:paraId="54F43467" w14:textId="77777777" w:rsidR="00D741BD" w:rsidRPr="00DC1810" w:rsidRDefault="00D741BD" w:rsidP="00921F74">
      <w:pPr>
        <w:rPr>
          <w:rFonts w:eastAsia="Times New Roman" w:cstheme="minorHAnsi"/>
          <w:iCs/>
          <w:sz w:val="20"/>
          <w:szCs w:val="20"/>
        </w:rPr>
      </w:pPr>
      <w:r w:rsidRPr="00DC1810">
        <w:rPr>
          <w:rFonts w:eastAsia="Times New Roman" w:cstheme="minorHAnsi"/>
          <w:sz w:val="20"/>
          <w:szCs w:val="20"/>
        </w:rPr>
        <w:t xml:space="preserve">Any content in this document that has been derived from the Australian Curriculum may be used under the terms of the </w:t>
      </w:r>
      <w:hyperlink r:id="rId9" w:tgtFrame="_blank" w:history="1">
        <w:r w:rsidRPr="00DC1810">
          <w:rPr>
            <w:rStyle w:val="Hyperlink"/>
            <w:rFonts w:eastAsia="Times New Roman" w:cstheme="minorHAnsi"/>
            <w:iCs/>
            <w:sz w:val="20"/>
            <w:szCs w:val="20"/>
          </w:rPr>
          <w:t>Creative Commons Attribution 4.0 International licence</w:t>
        </w:r>
      </w:hyperlink>
      <w:r w:rsidRPr="00DC1810">
        <w:rPr>
          <w:rFonts w:eastAsia="Times New Roman" w:cstheme="minorHAnsi"/>
          <w:iCs/>
          <w:sz w:val="20"/>
          <w:szCs w:val="20"/>
        </w:rPr>
        <w:t>.</w:t>
      </w:r>
    </w:p>
    <w:p w14:paraId="378B326E" w14:textId="77777777" w:rsidR="0025174E" w:rsidRPr="00DC1810" w:rsidRDefault="0025174E" w:rsidP="00C56CE5">
      <w:pPr>
        <w:jc w:val="both"/>
        <w:rPr>
          <w:rFonts w:cstheme="minorHAnsi"/>
          <w:b/>
          <w:sz w:val="20"/>
          <w:szCs w:val="20"/>
          <w:lang w:val="en-GB"/>
        </w:rPr>
      </w:pPr>
      <w:r w:rsidRPr="00DC1810">
        <w:rPr>
          <w:rFonts w:cstheme="minorHAnsi"/>
          <w:b/>
          <w:sz w:val="20"/>
          <w:szCs w:val="20"/>
          <w:lang w:val="en-GB"/>
        </w:rPr>
        <w:t>Disclaimer</w:t>
      </w:r>
    </w:p>
    <w:p w14:paraId="721A65B9" w14:textId="711A413D" w:rsidR="0025174E" w:rsidRPr="00DC1810" w:rsidRDefault="0025174E" w:rsidP="00921F74">
      <w:pPr>
        <w:rPr>
          <w:rFonts w:cstheme="minorHAnsi"/>
          <w:sz w:val="20"/>
          <w:szCs w:val="20"/>
          <w:lang w:val="en-GB"/>
        </w:rPr>
      </w:pPr>
      <w:r w:rsidRPr="00DC1810">
        <w:rPr>
          <w:rFonts w:cstheme="minorHAnsi"/>
          <w:sz w:val="20"/>
          <w:szCs w:val="20"/>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00002411">
        <w:rPr>
          <w:rFonts w:cstheme="minorHAnsi"/>
          <w:sz w:val="20"/>
          <w:szCs w:val="20"/>
          <w:lang w:val="en-GB"/>
        </w:rPr>
        <w:t xml:space="preserve"> </w:t>
      </w:r>
      <w:r w:rsidR="00002411">
        <w:rPr>
          <w:sz w:val="20"/>
          <w:szCs w:val="20"/>
        </w:rPr>
        <w:t>Teachers</w:t>
      </w:r>
      <w:r w:rsidR="00002411" w:rsidRPr="00B61BA9">
        <w:rPr>
          <w:sz w:val="20"/>
          <w:szCs w:val="20"/>
        </w:rPr>
        <w:t xml:space="preserve"> must exercise their professional judgement as to the appropriateness of any they may wish to use.</w:t>
      </w:r>
    </w:p>
    <w:p w14:paraId="79BD5A26" w14:textId="77777777" w:rsidR="0025174E" w:rsidRPr="005621DD" w:rsidRDefault="0025174E" w:rsidP="0025174E">
      <w:pPr>
        <w:spacing w:line="264" w:lineRule="auto"/>
        <w:jc w:val="both"/>
        <w:rPr>
          <w:rFonts w:ascii="Calibri" w:hAnsi="Calibri"/>
          <w:sz w:val="16"/>
          <w:lang w:val="en-GB"/>
        </w:rPr>
        <w:sectPr w:rsidR="0025174E" w:rsidRPr="005621DD" w:rsidSect="004B605B">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70384C07" w14:textId="77777777" w:rsidR="00F167AD" w:rsidRPr="005621DD" w:rsidRDefault="00F167AD" w:rsidP="004B605B">
      <w:pPr>
        <w:pStyle w:val="SCSAHeading1"/>
      </w:pPr>
      <w:r w:rsidRPr="005621DD">
        <w:lastRenderedPageBreak/>
        <w:t>Sample course outline</w:t>
      </w:r>
    </w:p>
    <w:p w14:paraId="3AC99BDC" w14:textId="77777777" w:rsidR="0025174E" w:rsidRPr="005621DD" w:rsidRDefault="00305F1B" w:rsidP="004B605B">
      <w:pPr>
        <w:pStyle w:val="SCSAHeading1"/>
      </w:pPr>
      <w:r>
        <w:t xml:space="preserve">Human Biology </w:t>
      </w:r>
      <w:r w:rsidR="00905E7D">
        <w:t>–</w:t>
      </w:r>
      <w:r w:rsidR="00252E9D">
        <w:t xml:space="preserve"> General</w:t>
      </w:r>
      <w:r w:rsidR="00855E0F" w:rsidRPr="005621DD">
        <w:t xml:space="preserve"> </w:t>
      </w:r>
      <w:r w:rsidR="00252E9D">
        <w:t>Year 12</w:t>
      </w:r>
    </w:p>
    <w:p w14:paraId="3049AF7D" w14:textId="15DE1D76" w:rsidR="002E5A38" w:rsidRPr="002E5A38" w:rsidRDefault="00252E9D" w:rsidP="004B605B">
      <w:pPr>
        <w:pStyle w:val="SCSAHeading2"/>
      </w:pPr>
      <w:r>
        <w:t>Unit 3 and Unit 4</w:t>
      </w:r>
    </w:p>
    <w:p w14:paraId="0E2635A4" w14:textId="79D82DCE" w:rsidR="002E5A38" w:rsidRPr="00906319" w:rsidRDefault="002E5A38" w:rsidP="004B605B">
      <w:pPr>
        <w:widowControl w:val="0"/>
        <w:spacing w:line="264" w:lineRule="auto"/>
        <w:rPr>
          <w:rFonts w:cstheme="minorHAnsi"/>
          <w:lang w:val="en-GB" w:eastAsia="ja-JP"/>
        </w:rPr>
      </w:pPr>
      <w:r w:rsidRPr="00906319">
        <w:rPr>
          <w:rFonts w:cstheme="minorHAnsi"/>
          <w:lang w:val="en-GB" w:eastAsia="ja-JP"/>
        </w:rPr>
        <w:t xml:space="preserve">The </w:t>
      </w:r>
      <w:r w:rsidR="008E559D">
        <w:rPr>
          <w:rFonts w:cstheme="minorHAnsi"/>
          <w:lang w:val="en-GB" w:eastAsia="ja-JP"/>
        </w:rPr>
        <w:t>s</w:t>
      </w:r>
      <w:r w:rsidRPr="00906319">
        <w:rPr>
          <w:rFonts w:cstheme="minorHAnsi"/>
          <w:lang w:val="en-GB" w:eastAsia="ja-JP"/>
        </w:rPr>
        <w:t xml:space="preserve">cientific </w:t>
      </w:r>
      <w:r w:rsidR="008E559D">
        <w:rPr>
          <w:rFonts w:cstheme="minorHAnsi"/>
          <w:lang w:val="en-GB" w:eastAsia="ja-JP"/>
        </w:rPr>
        <w:t>m</w:t>
      </w:r>
      <w:r w:rsidRPr="00906319">
        <w:rPr>
          <w:rFonts w:cstheme="minorHAnsi"/>
          <w:lang w:val="en-GB" w:eastAsia="ja-JP"/>
        </w:rPr>
        <w:t xml:space="preserve">ethod content aligns with the </w:t>
      </w:r>
      <w:r w:rsidR="008E559D">
        <w:rPr>
          <w:rFonts w:cstheme="minorHAnsi"/>
          <w:lang w:val="en-GB" w:eastAsia="ja-JP"/>
        </w:rPr>
        <w:t>s</w:t>
      </w:r>
      <w:r w:rsidRPr="00906319">
        <w:rPr>
          <w:rFonts w:cstheme="minorHAnsi"/>
          <w:lang w:val="en-GB" w:eastAsia="ja-JP"/>
        </w:rPr>
        <w:t xml:space="preserve">cience </w:t>
      </w:r>
      <w:r w:rsidR="008E559D">
        <w:rPr>
          <w:rFonts w:cstheme="minorHAnsi"/>
          <w:lang w:val="en-GB" w:eastAsia="ja-JP"/>
        </w:rPr>
        <w:t>u</w:t>
      </w:r>
      <w:r w:rsidRPr="00906319">
        <w:rPr>
          <w:rFonts w:cstheme="minorHAnsi"/>
          <w:lang w:val="en-GB" w:eastAsia="ja-JP"/>
        </w:rPr>
        <w:t xml:space="preserve">nderstanding and </w:t>
      </w:r>
      <w:r w:rsidR="008E559D">
        <w:rPr>
          <w:rFonts w:cstheme="minorHAnsi"/>
          <w:lang w:val="en-GB" w:eastAsia="ja-JP"/>
        </w:rPr>
        <w:t>s</w:t>
      </w:r>
      <w:r w:rsidRPr="00906319">
        <w:rPr>
          <w:rFonts w:cstheme="minorHAnsi"/>
          <w:lang w:val="en-GB" w:eastAsia="ja-JP"/>
        </w:rPr>
        <w:t xml:space="preserve">cientific </w:t>
      </w:r>
      <w:r w:rsidR="008E559D">
        <w:rPr>
          <w:rFonts w:cstheme="minorHAnsi"/>
          <w:lang w:val="en-GB" w:eastAsia="ja-JP"/>
        </w:rPr>
        <w:t>l</w:t>
      </w:r>
      <w:r w:rsidRPr="00906319">
        <w:rPr>
          <w:rFonts w:cstheme="minorHAnsi"/>
          <w:lang w:val="en-GB" w:eastAsia="ja-JP"/>
        </w:rPr>
        <w:t xml:space="preserve">iteracy content of the unit and </w:t>
      </w:r>
      <w:r w:rsidR="009B5562">
        <w:rPr>
          <w:rFonts w:cstheme="minorHAnsi"/>
          <w:lang w:val="en-GB" w:eastAsia="ja-JP"/>
        </w:rPr>
        <w:t>is</w:t>
      </w:r>
      <w:r w:rsidRPr="00906319">
        <w:rPr>
          <w:rFonts w:cstheme="minorHAnsi"/>
          <w:lang w:val="en-GB" w:eastAsia="ja-JP"/>
        </w:rPr>
        <w:t xml:space="preserve"> integrated throughout the learning experiences.</w:t>
      </w:r>
    </w:p>
    <w:p w14:paraId="6AE49A09" w14:textId="77777777" w:rsidR="002E5A38" w:rsidRPr="004B605B" w:rsidRDefault="002E5A38" w:rsidP="004B605B">
      <w:pPr>
        <w:rPr>
          <w:b/>
          <w:bCs/>
        </w:rPr>
      </w:pPr>
      <w:r w:rsidRPr="004B605B">
        <w:rPr>
          <w:b/>
          <w:bCs/>
        </w:rPr>
        <w:t>Scientific method</w:t>
      </w:r>
    </w:p>
    <w:p w14:paraId="5EF633B8" w14:textId="77777777" w:rsidR="002E5A38" w:rsidRPr="004B605B"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identify a topic for investigation; research and construct questions for investigation</w:t>
      </w:r>
    </w:p>
    <w:p w14:paraId="262AFBC7" w14:textId="77777777" w:rsidR="002E5A38" w:rsidRPr="004B605B"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determine the appropriate methodology for investigations</w:t>
      </w:r>
    </w:p>
    <w:p w14:paraId="5A09C447" w14:textId="77777777" w:rsidR="002E5A38" w:rsidRPr="004B605B"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design scientific investigations, including the formulation of investigable questions and/or hypotheses, materials required, procedure to be followed to collect valid and reliable data, and identification of safety and ethical considerations</w:t>
      </w:r>
    </w:p>
    <w:p w14:paraId="43BBC078" w14:textId="77777777" w:rsidR="002E5A38" w:rsidRPr="004B605B"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conduct risk assessments to identify potential hazards and prevent potential incidents and injuries</w:t>
      </w:r>
    </w:p>
    <w:p w14:paraId="14D38BEB" w14:textId="77777777" w:rsidR="002E5A38" w:rsidRPr="004B605B"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select appropriate equipment and techniques to safely, competently and methodically collect valid and reliable data, and use equipment with precision, accuracy and consistency</w:t>
      </w:r>
    </w:p>
    <w:p w14:paraId="12AB856C" w14:textId="77777777" w:rsidR="002E5A38" w:rsidRPr="004B605B"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represent qualitative and quantitative data in meaningful and useful ways, including the construction of appropriately labelled tables, process quantitative data using appropriate mathematical relationships and units, and draw appropriate graphs</w:t>
      </w:r>
    </w:p>
    <w:p w14:paraId="592A4BE9" w14:textId="77777777" w:rsidR="002E5A38" w:rsidRPr="004B605B"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analyse data to identify and describe trends, patterns and relationships, including the use of appropriate mathematical techniques, and recognise errors and limitations in data</w:t>
      </w:r>
    </w:p>
    <w:p w14:paraId="46AF1504" w14:textId="77777777" w:rsidR="002E5A38" w:rsidRPr="004B605B"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draw conclusions consistent with the evidence and relevant to the question being investigated, identify further evidence that may be required, and recognise the limitations of conclusions</w:t>
      </w:r>
    </w:p>
    <w:p w14:paraId="45C61F75" w14:textId="77777777" w:rsidR="002E5A38" w:rsidRPr="004B605B"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evaluate the investigative procedure, including the relevance, accuracy, validity and reliability of data, and suggest improvements</w:t>
      </w:r>
    </w:p>
    <w:p w14:paraId="5CB19FA6" w14:textId="77777777" w:rsidR="002E5A38" w:rsidRDefault="002E5A38" w:rsidP="008E2FEB">
      <w:pPr>
        <w:pStyle w:val="ListParagraph"/>
        <w:numPr>
          <w:ilvl w:val="0"/>
          <w:numId w:val="7"/>
        </w:numPr>
        <w:rPr>
          <w:rFonts w:ascii="Calibri" w:hAnsi="Calibri" w:cs="Calibri"/>
          <w:lang w:val="en-AU" w:eastAsia="en-AU"/>
        </w:rPr>
      </w:pPr>
      <w:r w:rsidRPr="004B605B">
        <w:rPr>
          <w:rFonts w:ascii="Calibri" w:hAnsi="Calibri" w:cs="Calibri"/>
          <w:lang w:val="en-AU" w:eastAsia="en-AU"/>
        </w:rPr>
        <w:t>communicate information and ideas in a variety of ways using scientific conventions and terminology, including the selection and presentation of data and ideas to convey meaning to selected audiences in written, oral and multimedia formats</w:t>
      </w:r>
    </w:p>
    <w:p w14:paraId="658F07C6" w14:textId="3B2A2BBE" w:rsidR="004B605B" w:rsidRDefault="004B605B">
      <w:pPr>
        <w:spacing w:after="200"/>
        <w:rPr>
          <w:rFonts w:ascii="Calibri" w:hAnsi="Calibri" w:cs="Calibri"/>
          <w:lang w:val="en-AU" w:eastAsia="en-AU"/>
        </w:rPr>
      </w:pPr>
      <w:r>
        <w:rPr>
          <w:rFonts w:ascii="Calibri" w:hAnsi="Calibri" w:cs="Calibri"/>
          <w:lang w:val="en-AU" w:eastAsia="en-AU"/>
        </w:rPr>
        <w:br w:type="page"/>
      </w:r>
    </w:p>
    <w:p w14:paraId="0C7E0706" w14:textId="77777777" w:rsidR="002E5A38" w:rsidRDefault="00C74F04" w:rsidP="00E61619">
      <w:pPr>
        <w:pStyle w:val="SCSAHeading2"/>
        <w:ind w:left="142"/>
      </w:pPr>
      <w:r>
        <w:lastRenderedPageBreak/>
        <w:t>Semester 1</w:t>
      </w:r>
      <w:r w:rsidR="002E5A38">
        <w:t xml:space="preserve"> – Unit 3</w:t>
      </w:r>
      <w:r>
        <w:t xml:space="preserve"> </w:t>
      </w:r>
    </w:p>
    <w:tbl>
      <w:tblPr>
        <w:tblStyle w:val="SCSATable"/>
        <w:tblW w:w="4895" w:type="pct"/>
        <w:tblInd w:w="108" w:type="dxa"/>
        <w:tblLayout w:type="fixed"/>
        <w:tblLook w:val="04A0" w:firstRow="1" w:lastRow="0" w:firstColumn="1" w:lastColumn="0" w:noHBand="0" w:noVBand="1"/>
      </w:tblPr>
      <w:tblGrid>
        <w:gridCol w:w="1133"/>
        <w:gridCol w:w="7717"/>
      </w:tblGrid>
      <w:tr w:rsidR="002E5A38" w:rsidRPr="001F687C" w14:paraId="0EA2B52B" w14:textId="77777777" w:rsidTr="004B605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7" w:type="dxa"/>
            <w:hideMark/>
          </w:tcPr>
          <w:p w14:paraId="59E034D7" w14:textId="77777777" w:rsidR="002E5A38" w:rsidRPr="004B605B" w:rsidRDefault="002E5A38" w:rsidP="004B605B">
            <w:pPr>
              <w:spacing w:after="0"/>
              <w:rPr>
                <w:b w:val="0"/>
              </w:rPr>
            </w:pPr>
            <w:r w:rsidRPr="004B605B">
              <w:t>Week</w:t>
            </w:r>
          </w:p>
        </w:tc>
        <w:tc>
          <w:tcPr>
            <w:tcW w:w="7915" w:type="dxa"/>
            <w:hideMark/>
          </w:tcPr>
          <w:p w14:paraId="0957F6C6" w14:textId="77777777" w:rsidR="002E5A38" w:rsidRPr="004B605B" w:rsidRDefault="002E5A38" w:rsidP="004B605B">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4B605B">
              <w:t>Key teaching points</w:t>
            </w:r>
          </w:p>
        </w:tc>
      </w:tr>
      <w:tr w:rsidR="002E5A38" w:rsidRPr="001F687C" w14:paraId="46524467" w14:textId="77777777" w:rsidTr="004B605B">
        <w:trPr>
          <w:trHeight w:val="20"/>
        </w:trPr>
        <w:tc>
          <w:tcPr>
            <w:cnfStyle w:val="001000000000" w:firstRow="0" w:lastRow="0" w:firstColumn="1" w:lastColumn="0" w:oddVBand="0" w:evenVBand="0" w:oddHBand="0" w:evenHBand="0" w:firstRowFirstColumn="0" w:firstRowLastColumn="0" w:lastRowFirstColumn="0" w:lastRowLastColumn="0"/>
            <w:tcW w:w="1157" w:type="dxa"/>
            <w:hideMark/>
          </w:tcPr>
          <w:p w14:paraId="130CDEAF" w14:textId="77777777" w:rsidR="002E5A38" w:rsidRPr="001F687C" w:rsidRDefault="002E5A38" w:rsidP="0077642E">
            <w:pPr>
              <w:spacing w:after="0"/>
            </w:pPr>
            <w:r>
              <w:t>1–3</w:t>
            </w:r>
          </w:p>
        </w:tc>
        <w:tc>
          <w:tcPr>
            <w:tcW w:w="7915" w:type="dxa"/>
          </w:tcPr>
          <w:p w14:paraId="6FC78B8E" w14:textId="77777777" w:rsidR="002E5A38" w:rsidRPr="004B605B" w:rsidRDefault="002E5A38" w:rsidP="004B605B">
            <w:pPr>
              <w:cnfStyle w:val="000000000000" w:firstRow="0" w:lastRow="0" w:firstColumn="0" w:lastColumn="0" w:oddVBand="0" w:evenVBand="0" w:oddHBand="0" w:evenHBand="0" w:firstRowFirstColumn="0" w:firstRowLastColumn="0" w:lastRowFirstColumn="0" w:lastRowLastColumn="0"/>
              <w:rPr>
                <w:b/>
                <w:bCs/>
              </w:rPr>
            </w:pPr>
            <w:r w:rsidRPr="004B605B">
              <w:rPr>
                <w:b/>
                <w:bCs/>
              </w:rPr>
              <w:t>Cell reproduction</w:t>
            </w:r>
          </w:p>
          <w:p w14:paraId="5541B853" w14:textId="77777777" w:rsidR="002E5A38" w:rsidRPr="004B605B" w:rsidRDefault="002E5A38" w:rsidP="004B605B">
            <w:pPr>
              <w:spacing w:after="0"/>
              <w:cnfStyle w:val="000000000000" w:firstRow="0" w:lastRow="0" w:firstColumn="0" w:lastColumn="0" w:oddVBand="0" w:evenVBand="0" w:oddHBand="0" w:evenHBand="0" w:firstRowFirstColumn="0" w:firstRowLastColumn="0" w:lastRowFirstColumn="0" w:lastRowLastColumn="0"/>
              <w:rPr>
                <w:b/>
                <w:bCs/>
              </w:rPr>
            </w:pPr>
            <w:r w:rsidRPr="004B605B">
              <w:rPr>
                <w:b/>
                <w:bCs/>
              </w:rPr>
              <w:t>DNA</w:t>
            </w:r>
          </w:p>
          <w:p w14:paraId="55493E2A" w14:textId="77777777" w:rsidR="002E5A38" w:rsidRPr="004B605B" w:rsidRDefault="002E5A38" w:rsidP="008E2FEB">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605B">
              <w:rPr>
                <w:rFonts w:ascii="Calibri" w:hAnsi="Calibri" w:cs="Calibri"/>
              </w:rPr>
              <w:t>chromosomes are made up of large molecules of DNA found in the cell nucleus</w:t>
            </w:r>
          </w:p>
          <w:p w14:paraId="75E2AE51" w14:textId="77777777" w:rsidR="002E5A38" w:rsidRPr="004B605B" w:rsidRDefault="002E5A38" w:rsidP="008E2FEB">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605B">
              <w:rPr>
                <w:rFonts w:ascii="Calibri" w:hAnsi="Calibri" w:cs="Calibri"/>
              </w:rPr>
              <w:t>DNA has a double helix structure that is made up of nucleotides with complementary base pairing</w:t>
            </w:r>
          </w:p>
          <w:p w14:paraId="14464A32" w14:textId="77777777" w:rsidR="002E5A38" w:rsidRPr="004B605B" w:rsidRDefault="002E5A38" w:rsidP="008E2FE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605B">
              <w:rPr>
                <w:rFonts w:ascii="Calibri" w:hAnsi="Calibri" w:cs="Calibri"/>
              </w:rPr>
              <w:t>genes are units of inheritance and are responsible for carrying genetic information from one generation to the next</w:t>
            </w:r>
          </w:p>
          <w:p w14:paraId="679921E0" w14:textId="77777777" w:rsidR="002E5A38" w:rsidRPr="004B605B" w:rsidRDefault="002E5A38" w:rsidP="004B605B">
            <w:pPr>
              <w:spacing w:after="0"/>
              <w:cnfStyle w:val="000000000000" w:firstRow="0" w:lastRow="0" w:firstColumn="0" w:lastColumn="0" w:oddVBand="0" w:evenVBand="0" w:oddHBand="0" w:evenHBand="0" w:firstRowFirstColumn="0" w:firstRowLastColumn="0" w:lastRowFirstColumn="0" w:lastRowLastColumn="0"/>
              <w:rPr>
                <w:b/>
                <w:bCs/>
              </w:rPr>
            </w:pPr>
            <w:r w:rsidRPr="004B605B">
              <w:rPr>
                <w:b/>
                <w:bCs/>
              </w:rPr>
              <w:t>Cell division</w:t>
            </w:r>
          </w:p>
          <w:p w14:paraId="78B573AD" w14:textId="77777777" w:rsidR="002E5A38" w:rsidRPr="004B605B" w:rsidRDefault="002E5A38" w:rsidP="008E2FE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605B">
              <w:rPr>
                <w:rFonts w:ascii="Calibri" w:hAnsi="Calibri" w:cs="Calibri"/>
              </w:rPr>
              <w:t>mitosis produces diploid cells for the purpose of growth and repair and meiosis produces haploid cells for the purpose of gamete production (names and specific details of stages not required)</w:t>
            </w:r>
          </w:p>
          <w:p w14:paraId="6423A3DD" w14:textId="363C97D4" w:rsidR="002E5A38" w:rsidRPr="004B605B" w:rsidRDefault="002E5A38" w:rsidP="004B605B">
            <w:pPr>
              <w:spacing w:after="0"/>
              <w:cnfStyle w:val="000000000000" w:firstRow="0" w:lastRow="0" w:firstColumn="0" w:lastColumn="0" w:oddVBand="0" w:evenVBand="0" w:oddHBand="0" w:evenHBand="0" w:firstRowFirstColumn="0" w:firstRowLastColumn="0" w:lastRowFirstColumn="0" w:lastRowLastColumn="0"/>
              <w:rPr>
                <w:b/>
                <w:bCs/>
              </w:rPr>
            </w:pPr>
            <w:r w:rsidRPr="004B605B">
              <w:rPr>
                <w:b/>
                <w:bCs/>
              </w:rPr>
              <w:t>Assessment task 1</w:t>
            </w:r>
            <w:r w:rsidR="00A149F9">
              <w:rPr>
                <w:b/>
                <w:bCs/>
              </w:rPr>
              <w:t xml:space="preserve"> </w:t>
            </w:r>
            <w:r w:rsidRPr="004B605B">
              <w:rPr>
                <w:b/>
                <w:bCs/>
              </w:rPr>
              <w:t>– Practical assessment</w:t>
            </w:r>
          </w:p>
        </w:tc>
      </w:tr>
      <w:tr w:rsidR="002E5A38" w:rsidRPr="001F687C" w14:paraId="7336E017" w14:textId="77777777" w:rsidTr="004B605B">
        <w:trPr>
          <w:trHeight w:val="20"/>
        </w:trPr>
        <w:tc>
          <w:tcPr>
            <w:cnfStyle w:val="001000000000" w:firstRow="0" w:lastRow="0" w:firstColumn="1" w:lastColumn="0" w:oddVBand="0" w:evenVBand="0" w:oddHBand="0" w:evenHBand="0" w:firstRowFirstColumn="0" w:firstRowLastColumn="0" w:lastRowFirstColumn="0" w:lastRowLastColumn="0"/>
            <w:tcW w:w="1157" w:type="dxa"/>
            <w:hideMark/>
          </w:tcPr>
          <w:p w14:paraId="5D170B91" w14:textId="77777777" w:rsidR="002E5A38" w:rsidRPr="001F687C" w:rsidRDefault="002E5A38" w:rsidP="0077642E">
            <w:pPr>
              <w:spacing w:after="0"/>
            </w:pPr>
            <w:r>
              <w:t>4–6</w:t>
            </w:r>
          </w:p>
        </w:tc>
        <w:tc>
          <w:tcPr>
            <w:tcW w:w="7915" w:type="dxa"/>
          </w:tcPr>
          <w:p w14:paraId="5823A5F2" w14:textId="77777777" w:rsidR="002E5A38" w:rsidRPr="004B605B" w:rsidRDefault="002E5A38" w:rsidP="004B605B">
            <w:pPr>
              <w:cnfStyle w:val="000000000000" w:firstRow="0" w:lastRow="0" w:firstColumn="0" w:lastColumn="0" w:oddVBand="0" w:evenVBand="0" w:oddHBand="0" w:evenHBand="0" w:firstRowFirstColumn="0" w:firstRowLastColumn="0" w:lastRowFirstColumn="0" w:lastRowLastColumn="0"/>
              <w:rPr>
                <w:b/>
                <w:bCs/>
              </w:rPr>
            </w:pPr>
            <w:r w:rsidRPr="004B605B">
              <w:rPr>
                <w:b/>
                <w:bCs/>
              </w:rPr>
              <w:t>Reproductive systems</w:t>
            </w:r>
          </w:p>
          <w:p w14:paraId="6AA220CF" w14:textId="77777777" w:rsidR="002E5A38" w:rsidRPr="0077642E" w:rsidRDefault="002E5A38" w:rsidP="0077642E">
            <w:pPr>
              <w:spacing w:after="0"/>
              <w:cnfStyle w:val="000000000000" w:firstRow="0" w:lastRow="0" w:firstColumn="0" w:lastColumn="0" w:oddVBand="0" w:evenVBand="0" w:oddHBand="0" w:evenHBand="0" w:firstRowFirstColumn="0" w:firstRowLastColumn="0" w:lastRowFirstColumn="0" w:lastRowLastColumn="0"/>
              <w:rPr>
                <w:b/>
                <w:bCs/>
              </w:rPr>
            </w:pPr>
            <w:r w:rsidRPr="0077642E">
              <w:rPr>
                <w:b/>
                <w:bCs/>
              </w:rPr>
              <w:t>Male reproductive system</w:t>
            </w:r>
          </w:p>
          <w:p w14:paraId="68D1949E" w14:textId="77777777" w:rsidR="002E5A38" w:rsidRPr="0077642E" w:rsidRDefault="002E5A38" w:rsidP="008E2FEB">
            <w:pPr>
              <w:pStyle w:val="ListParagraph"/>
              <w:numPr>
                <w:ilvl w:val="0"/>
                <w:numId w:val="10"/>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the production and delivery of gametes is facilitated by the structures of the male and female reproductive systems; females have additional structures that support the development of the unborn baby</w:t>
            </w:r>
          </w:p>
          <w:p w14:paraId="4B3F4F0F" w14:textId="77777777" w:rsidR="002E5A38" w:rsidRPr="0077642E" w:rsidRDefault="002E5A38" w:rsidP="008E2FEB">
            <w:pPr>
              <w:pStyle w:val="ListParagraph"/>
              <w:numPr>
                <w:ilvl w:val="0"/>
                <w:numId w:val="10"/>
              </w:numPr>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the male reproductive hormones follicle stimulating hormone (FSH), luteinising hormone (LH) and testosterone have a role in the production and maturation of sperm</w:t>
            </w:r>
          </w:p>
          <w:p w14:paraId="56C8CE3C" w14:textId="77777777" w:rsidR="002E5A38" w:rsidRPr="0077642E" w:rsidRDefault="002E5A38" w:rsidP="0077642E">
            <w:pPr>
              <w:spacing w:after="0"/>
              <w:cnfStyle w:val="000000000000" w:firstRow="0" w:lastRow="0" w:firstColumn="0" w:lastColumn="0" w:oddVBand="0" w:evenVBand="0" w:oddHBand="0" w:evenHBand="0" w:firstRowFirstColumn="0" w:firstRowLastColumn="0" w:lastRowFirstColumn="0" w:lastRowLastColumn="0"/>
              <w:rPr>
                <w:b/>
                <w:bCs/>
              </w:rPr>
            </w:pPr>
            <w:r w:rsidRPr="0077642E">
              <w:rPr>
                <w:b/>
                <w:bCs/>
              </w:rPr>
              <w:t>Female reproductive system</w:t>
            </w:r>
          </w:p>
          <w:p w14:paraId="709CC131" w14:textId="77777777" w:rsidR="002E5A38" w:rsidRPr="0077642E" w:rsidRDefault="002E5A38" w:rsidP="008E2FEB">
            <w:pPr>
              <w:pStyle w:val="ListParagraph"/>
              <w:numPr>
                <w:ilvl w:val="0"/>
                <w:numId w:val="11"/>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the production and delivery of gametes is facilitated by the structures of the male and female reproductive systems; females have additional structures that support the development of the unborn baby</w:t>
            </w:r>
          </w:p>
          <w:p w14:paraId="48AC5622" w14:textId="77777777" w:rsidR="002E5A38" w:rsidRPr="0077642E" w:rsidRDefault="002E5A38" w:rsidP="008E2FEB">
            <w:pPr>
              <w:pStyle w:val="ListParagraph"/>
              <w:numPr>
                <w:ilvl w:val="0"/>
                <w:numId w:val="11"/>
              </w:numPr>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the female reproductive hormones follicle stimulating hormone (FSH) and luteinising hormone (LH) have a role in the production, maturation and release of ova; oestrogen and progesterone have a role in preparing the uterus for implantation after fertilisation (detailed menstrual and ovarian cycle not required)</w:t>
            </w:r>
          </w:p>
          <w:p w14:paraId="16712E65" w14:textId="77777777" w:rsidR="002E5A38" w:rsidRPr="0077642E" w:rsidRDefault="002E5A38" w:rsidP="0077642E">
            <w:pPr>
              <w:spacing w:after="0"/>
              <w:cnfStyle w:val="000000000000" w:firstRow="0" w:lastRow="0" w:firstColumn="0" w:lastColumn="0" w:oddVBand="0" w:evenVBand="0" w:oddHBand="0" w:evenHBand="0" w:firstRowFirstColumn="0" w:firstRowLastColumn="0" w:lastRowFirstColumn="0" w:lastRowLastColumn="0"/>
              <w:rPr>
                <w:b/>
                <w:bCs/>
              </w:rPr>
            </w:pPr>
            <w:r w:rsidRPr="0077642E">
              <w:rPr>
                <w:b/>
                <w:bCs/>
              </w:rPr>
              <w:t>Production of gametes</w:t>
            </w:r>
          </w:p>
          <w:p w14:paraId="0F0D9C94" w14:textId="77777777" w:rsidR="002E5A38" w:rsidRPr="0077642E" w:rsidRDefault="002E5A38" w:rsidP="008E2FEB">
            <w:pPr>
              <w:pStyle w:val="ListParagraph"/>
              <w:numPr>
                <w:ilvl w:val="0"/>
                <w:numId w:val="12"/>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mitosis produces diploid cells for the purpose of growth and repair and meiosis produces haploid cells for the purpose of gamete production (names and specific details of stages not required)</w:t>
            </w:r>
          </w:p>
          <w:p w14:paraId="183CA2F9" w14:textId="77777777" w:rsidR="002E5A38" w:rsidRPr="0077642E" w:rsidRDefault="002E5A38" w:rsidP="008E2FEB">
            <w:pPr>
              <w:pStyle w:val="ListParagraph"/>
              <w:numPr>
                <w:ilvl w:val="0"/>
                <w:numId w:val="12"/>
              </w:numPr>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the production and delivery of gametes is facilitated by the structures of the male and female reproductive systems; females have additional structures that support the development of the unborn baby</w:t>
            </w:r>
          </w:p>
          <w:p w14:paraId="6944EFB0" w14:textId="77777777" w:rsidR="002E5A38" w:rsidRPr="0077642E" w:rsidRDefault="002E5A38" w:rsidP="0077642E">
            <w:pPr>
              <w:spacing w:after="0"/>
              <w:cnfStyle w:val="000000000000" w:firstRow="0" w:lastRow="0" w:firstColumn="0" w:lastColumn="0" w:oddVBand="0" w:evenVBand="0" w:oddHBand="0" w:evenHBand="0" w:firstRowFirstColumn="0" w:firstRowLastColumn="0" w:lastRowFirstColumn="0" w:lastRowLastColumn="0"/>
              <w:rPr>
                <w:b/>
                <w:bCs/>
              </w:rPr>
            </w:pPr>
            <w:r w:rsidRPr="0077642E">
              <w:rPr>
                <w:b/>
                <w:bCs/>
              </w:rPr>
              <w:t>Sexually transmitted infections</w:t>
            </w:r>
          </w:p>
          <w:p w14:paraId="14AC2CD9" w14:textId="77777777" w:rsidR="002E5A38" w:rsidRPr="0077642E" w:rsidRDefault="002E5A38" w:rsidP="008E2FEB">
            <w:pPr>
              <w:pStyle w:val="ListParagraph"/>
              <w:numPr>
                <w:ilvl w:val="0"/>
                <w:numId w:val="13"/>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sexually transmitted infections (STIs) can be prevented through safe sex methods and, if left untreated, can lead to serious health consequences</w:t>
            </w:r>
          </w:p>
          <w:p w14:paraId="2C41489D" w14:textId="77777777" w:rsidR="002E5A38" w:rsidRPr="0077642E" w:rsidRDefault="002E5A38" w:rsidP="008E2FEB">
            <w:pPr>
              <w:pStyle w:val="ListParagraph"/>
              <w:numPr>
                <w:ilvl w:val="0"/>
                <w:numId w:val="13"/>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distinguish between opinion, anecdote and evidence, and scientific and non-scientific ideas</w:t>
            </w:r>
          </w:p>
          <w:p w14:paraId="5F8B8952" w14:textId="77777777" w:rsidR="002E5A38" w:rsidRPr="0077642E" w:rsidRDefault="002E5A38" w:rsidP="008E2FEB">
            <w:pPr>
              <w:pStyle w:val="ListParagraph"/>
              <w:numPr>
                <w:ilvl w:val="0"/>
                <w:numId w:val="13"/>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use reasoning to construct scientific arguments, and to draw and justify conclusions consistent with the evidence and relevant to the question under investigation</w:t>
            </w:r>
          </w:p>
          <w:p w14:paraId="07200A46" w14:textId="77777777" w:rsidR="002E5A38" w:rsidRPr="0077642E" w:rsidRDefault="002E5A38" w:rsidP="008E2FEB">
            <w:pPr>
              <w:pStyle w:val="ListParagraph"/>
              <w:numPr>
                <w:ilvl w:val="0"/>
                <w:numId w:val="13"/>
              </w:numPr>
              <w:spacing w:after="0"/>
              <w:ind w:left="357"/>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77642E">
              <w:rPr>
                <w:rFonts w:ascii="Calibri" w:hAnsi="Calibri" w:cs="Calibri"/>
              </w:rPr>
              <w:t>identify examples of where the application of scientific knowledge may have beneficial, harmful and/or unintended consequences</w:t>
            </w:r>
          </w:p>
        </w:tc>
      </w:tr>
      <w:tr w:rsidR="002E5A38" w:rsidRPr="001F687C" w14:paraId="14114DD7" w14:textId="77777777" w:rsidTr="004B605B">
        <w:trPr>
          <w:trHeight w:val="20"/>
        </w:trPr>
        <w:tc>
          <w:tcPr>
            <w:cnfStyle w:val="001000000000" w:firstRow="0" w:lastRow="0" w:firstColumn="1" w:lastColumn="0" w:oddVBand="0" w:evenVBand="0" w:oddHBand="0" w:evenHBand="0" w:firstRowFirstColumn="0" w:firstRowLastColumn="0" w:lastRowFirstColumn="0" w:lastRowLastColumn="0"/>
            <w:tcW w:w="1157" w:type="dxa"/>
            <w:hideMark/>
          </w:tcPr>
          <w:p w14:paraId="1B3FC932" w14:textId="77777777" w:rsidR="002E5A38" w:rsidRPr="001F687C" w:rsidRDefault="002E5A38" w:rsidP="0077642E">
            <w:pPr>
              <w:pageBreakBefore/>
              <w:spacing w:after="0"/>
            </w:pPr>
            <w:r>
              <w:lastRenderedPageBreak/>
              <w:t>7–10</w:t>
            </w:r>
          </w:p>
        </w:tc>
        <w:tc>
          <w:tcPr>
            <w:tcW w:w="7915" w:type="dxa"/>
          </w:tcPr>
          <w:p w14:paraId="791639EF" w14:textId="77777777" w:rsidR="002E5A38" w:rsidRPr="0077642E" w:rsidRDefault="002E5A38" w:rsidP="0077642E">
            <w:pPr>
              <w:cnfStyle w:val="000000000000" w:firstRow="0" w:lastRow="0" w:firstColumn="0" w:lastColumn="0" w:oddVBand="0" w:evenVBand="0" w:oddHBand="0" w:evenHBand="0" w:firstRowFirstColumn="0" w:firstRowLastColumn="0" w:lastRowFirstColumn="0" w:lastRowLastColumn="0"/>
              <w:rPr>
                <w:b/>
                <w:bCs/>
              </w:rPr>
            </w:pPr>
            <w:r w:rsidRPr="0077642E">
              <w:rPr>
                <w:b/>
                <w:bCs/>
              </w:rPr>
              <w:t>Pregnancy</w:t>
            </w:r>
          </w:p>
          <w:p w14:paraId="64B97D8F" w14:textId="77777777" w:rsidR="002E5A38" w:rsidRPr="0077642E" w:rsidRDefault="002E5A38" w:rsidP="0077642E">
            <w:pPr>
              <w:spacing w:after="0"/>
              <w:cnfStyle w:val="000000000000" w:firstRow="0" w:lastRow="0" w:firstColumn="0" w:lastColumn="0" w:oddVBand="0" w:evenVBand="0" w:oddHBand="0" w:evenHBand="0" w:firstRowFirstColumn="0" w:firstRowLastColumn="0" w:lastRowFirstColumn="0" w:lastRowLastColumn="0"/>
              <w:rPr>
                <w:b/>
                <w:bCs/>
              </w:rPr>
            </w:pPr>
            <w:r w:rsidRPr="0077642E">
              <w:rPr>
                <w:b/>
                <w:bCs/>
              </w:rPr>
              <w:t>Fertilisation</w:t>
            </w:r>
          </w:p>
          <w:p w14:paraId="3B12BAFB" w14:textId="77777777" w:rsidR="002E5A38" w:rsidRPr="0077642E" w:rsidRDefault="002E5A38" w:rsidP="008E2FEB">
            <w:pPr>
              <w:pStyle w:val="ListParagraph"/>
              <w:numPr>
                <w:ilvl w:val="0"/>
                <w:numId w:val="14"/>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fertilisation combines the male and female gametes producing a zygote with genes from both parents and pregnancy will be established if implantation occurs</w:t>
            </w:r>
          </w:p>
          <w:p w14:paraId="589BF577" w14:textId="77777777" w:rsidR="002E5A38" w:rsidRPr="0077642E" w:rsidRDefault="002E5A38" w:rsidP="0077642E">
            <w:pPr>
              <w:spacing w:before="120" w:after="0"/>
              <w:cnfStyle w:val="000000000000" w:firstRow="0" w:lastRow="0" w:firstColumn="0" w:lastColumn="0" w:oddVBand="0" w:evenVBand="0" w:oddHBand="0" w:evenHBand="0" w:firstRowFirstColumn="0" w:firstRowLastColumn="0" w:lastRowFirstColumn="0" w:lastRowLastColumn="0"/>
              <w:rPr>
                <w:b/>
                <w:bCs/>
              </w:rPr>
            </w:pPr>
            <w:r w:rsidRPr="0077642E">
              <w:rPr>
                <w:b/>
                <w:bCs/>
              </w:rPr>
              <w:t>Embryonic and foetal development</w:t>
            </w:r>
          </w:p>
          <w:p w14:paraId="7224BE9A" w14:textId="77777777" w:rsidR="002E5A38" w:rsidRPr="0077642E" w:rsidRDefault="002E5A38" w:rsidP="008E2FEB">
            <w:pPr>
              <w:pStyle w:val="ListParagraph"/>
              <w:numPr>
                <w:ilvl w:val="0"/>
                <w:numId w:val="15"/>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embryonic and foetal development have a known and predictable sequence of events (details of specific milestone events not required)</w:t>
            </w:r>
          </w:p>
          <w:p w14:paraId="06B11B20" w14:textId="77777777" w:rsidR="002E5A38" w:rsidRPr="0077642E" w:rsidRDefault="002E5A38" w:rsidP="008E2FEB">
            <w:pPr>
              <w:pStyle w:val="ListParagraph"/>
              <w:numPr>
                <w:ilvl w:val="0"/>
                <w:numId w:val="15"/>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the placenta has an important role in the provision of nutrients to and removal of wastes from the developing baby</w:t>
            </w:r>
          </w:p>
          <w:p w14:paraId="536A53CB" w14:textId="77777777" w:rsidR="002E5A38" w:rsidRPr="0077642E" w:rsidRDefault="002E5A38" w:rsidP="008E2FEB">
            <w:pPr>
              <w:pStyle w:val="ListParagraph"/>
              <w:numPr>
                <w:ilvl w:val="0"/>
                <w:numId w:val="15"/>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the unborn baby can be monitored utilising a variety of techniques, including ultrasound and blood tests</w:t>
            </w:r>
          </w:p>
          <w:p w14:paraId="311D834A" w14:textId="77777777" w:rsidR="002E5A38" w:rsidRPr="0077642E" w:rsidRDefault="002E5A38" w:rsidP="008E2FEB">
            <w:pPr>
              <w:pStyle w:val="ListParagraph"/>
              <w:numPr>
                <w:ilvl w:val="0"/>
                <w:numId w:val="15"/>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parental, embryonic and foetal testing can be done to detect a range of genetic and chromosomal abnormalities through the examination of karyotypes and DNA profiles</w:t>
            </w:r>
          </w:p>
          <w:p w14:paraId="544280FA" w14:textId="77777777" w:rsidR="002E5A38" w:rsidRPr="0077642E" w:rsidRDefault="002E5A38" w:rsidP="008E2FEB">
            <w:pPr>
              <w:pStyle w:val="ListParagraph"/>
              <w:numPr>
                <w:ilvl w:val="0"/>
                <w:numId w:val="15"/>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maternal lifestyle choices, including the use of drugs, alcohol and smoking, will affect the developing baby and ongoing health of the child</w:t>
            </w:r>
          </w:p>
          <w:p w14:paraId="165AE185" w14:textId="77777777" w:rsidR="002E5A38" w:rsidRPr="0077642E" w:rsidRDefault="002E5A38" w:rsidP="008E2FEB">
            <w:pPr>
              <w:pStyle w:val="ListParagraph"/>
              <w:numPr>
                <w:ilvl w:val="0"/>
                <w:numId w:val="15"/>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distinguish between opinion, anecdote and evidence, and scientific and non-scientific ideas</w:t>
            </w:r>
          </w:p>
          <w:p w14:paraId="378A77F8" w14:textId="77777777" w:rsidR="002E5A38" w:rsidRPr="0077642E" w:rsidRDefault="002E5A38" w:rsidP="008E2FEB">
            <w:pPr>
              <w:pStyle w:val="ListParagraph"/>
              <w:numPr>
                <w:ilvl w:val="0"/>
                <w:numId w:val="15"/>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use reasoning to construct scientific arguments, and to draw and justify conclusions consistent with the evidence and relevant to the question under investigation</w:t>
            </w:r>
          </w:p>
          <w:p w14:paraId="562937F7" w14:textId="77777777" w:rsidR="002E5A38" w:rsidRPr="0077642E" w:rsidRDefault="002E5A38" w:rsidP="008E2FEB">
            <w:pPr>
              <w:pStyle w:val="ListParagraph"/>
              <w:numPr>
                <w:ilvl w:val="0"/>
                <w:numId w:val="15"/>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identify examples of where the application of scientific knowledge may have beneficial, harmful and/or unintended consequences</w:t>
            </w:r>
          </w:p>
          <w:p w14:paraId="0654D487" w14:textId="77777777" w:rsidR="002E5A38" w:rsidRPr="0077642E" w:rsidRDefault="002E5A38" w:rsidP="0077642E">
            <w:pPr>
              <w:spacing w:before="120" w:after="0"/>
              <w:cnfStyle w:val="000000000000" w:firstRow="0" w:lastRow="0" w:firstColumn="0" w:lastColumn="0" w:oddVBand="0" w:evenVBand="0" w:oddHBand="0" w:evenHBand="0" w:firstRowFirstColumn="0" w:firstRowLastColumn="0" w:lastRowFirstColumn="0" w:lastRowLastColumn="0"/>
              <w:rPr>
                <w:b/>
                <w:bCs/>
              </w:rPr>
            </w:pPr>
            <w:r w:rsidRPr="0077642E">
              <w:rPr>
                <w:b/>
                <w:bCs/>
              </w:rPr>
              <w:t>Birth</w:t>
            </w:r>
          </w:p>
          <w:p w14:paraId="7F69F1B1" w14:textId="77777777" w:rsidR="002E5A38" w:rsidRPr="0077642E" w:rsidRDefault="002E5A38" w:rsidP="008E2FEB">
            <w:pPr>
              <w:pStyle w:val="ListParagraph"/>
              <w:numPr>
                <w:ilvl w:val="0"/>
                <w:numId w:val="16"/>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 xml:space="preserve">the sequence of events in the birth process </w:t>
            </w:r>
            <w:proofErr w:type="gramStart"/>
            <w:r w:rsidRPr="0077642E">
              <w:rPr>
                <w:rFonts w:ascii="Calibri" w:hAnsi="Calibri" w:cs="Calibri"/>
              </w:rPr>
              <w:t>prepare</w:t>
            </w:r>
            <w:proofErr w:type="gramEnd"/>
            <w:r w:rsidRPr="0077642E">
              <w:rPr>
                <w:rFonts w:ascii="Calibri" w:hAnsi="Calibri" w:cs="Calibri"/>
              </w:rPr>
              <w:t xml:space="preserve"> the baby and mother for delivery</w:t>
            </w:r>
          </w:p>
          <w:p w14:paraId="1E6A0B6A" w14:textId="77777777" w:rsidR="002E5A38" w:rsidRPr="0077642E" w:rsidRDefault="002E5A38" w:rsidP="008E2FEB">
            <w:pPr>
              <w:pStyle w:val="ListParagraph"/>
              <w:numPr>
                <w:ilvl w:val="0"/>
                <w:numId w:val="16"/>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7642E">
              <w:rPr>
                <w:rFonts w:ascii="Calibri" w:hAnsi="Calibri" w:cs="Calibri"/>
              </w:rPr>
              <w:t>various methods of delivery of the baby are available</w:t>
            </w:r>
          </w:p>
          <w:p w14:paraId="65449B93" w14:textId="4ADFAC78" w:rsidR="002E5A38" w:rsidRPr="0077642E" w:rsidRDefault="002E5A38" w:rsidP="0077642E">
            <w:pPr>
              <w:spacing w:before="120" w:after="0"/>
              <w:cnfStyle w:val="000000000000" w:firstRow="0" w:lastRow="0" w:firstColumn="0" w:lastColumn="0" w:oddVBand="0" w:evenVBand="0" w:oddHBand="0" w:evenHBand="0" w:firstRowFirstColumn="0" w:firstRowLastColumn="0" w:lastRowFirstColumn="0" w:lastRowLastColumn="0"/>
              <w:rPr>
                <w:b/>
                <w:bCs/>
              </w:rPr>
            </w:pPr>
            <w:r w:rsidRPr="0077642E">
              <w:rPr>
                <w:b/>
                <w:bCs/>
              </w:rPr>
              <w:t>Assessment task 2</w:t>
            </w:r>
            <w:r w:rsidR="00CA0077">
              <w:rPr>
                <w:b/>
                <w:bCs/>
              </w:rPr>
              <w:t xml:space="preserve"> </w:t>
            </w:r>
            <w:r w:rsidRPr="0077642E">
              <w:rPr>
                <w:b/>
                <w:bCs/>
              </w:rPr>
              <w:t xml:space="preserve">– Supervised written assessment </w:t>
            </w:r>
          </w:p>
        </w:tc>
      </w:tr>
      <w:tr w:rsidR="002E5A38" w:rsidRPr="001F687C" w14:paraId="2A082C85" w14:textId="77777777" w:rsidTr="004B605B">
        <w:trPr>
          <w:trHeight w:val="20"/>
        </w:trPr>
        <w:tc>
          <w:tcPr>
            <w:cnfStyle w:val="001000000000" w:firstRow="0" w:lastRow="0" w:firstColumn="1" w:lastColumn="0" w:oddVBand="0" w:evenVBand="0" w:oddHBand="0" w:evenHBand="0" w:firstRowFirstColumn="0" w:firstRowLastColumn="0" w:lastRowFirstColumn="0" w:lastRowLastColumn="0"/>
            <w:tcW w:w="1157" w:type="dxa"/>
            <w:hideMark/>
          </w:tcPr>
          <w:p w14:paraId="76E3F91C" w14:textId="77777777" w:rsidR="002E5A38" w:rsidRPr="001F687C" w:rsidRDefault="002E5A38" w:rsidP="0077642E">
            <w:pPr>
              <w:spacing w:after="0"/>
            </w:pPr>
            <w:r>
              <w:t>11–12</w:t>
            </w:r>
          </w:p>
        </w:tc>
        <w:tc>
          <w:tcPr>
            <w:tcW w:w="7915" w:type="dxa"/>
          </w:tcPr>
          <w:p w14:paraId="22D8965E" w14:textId="77777777" w:rsidR="002E5A38" w:rsidRPr="0077642E" w:rsidRDefault="002E5A38" w:rsidP="0077642E">
            <w:pPr>
              <w:cnfStyle w:val="000000000000" w:firstRow="0" w:lastRow="0" w:firstColumn="0" w:lastColumn="0" w:oddVBand="0" w:evenVBand="0" w:oddHBand="0" w:evenHBand="0" w:firstRowFirstColumn="0" w:firstRowLastColumn="0" w:lastRowFirstColumn="0" w:lastRowLastColumn="0"/>
              <w:rPr>
                <w:b/>
                <w:bCs/>
              </w:rPr>
            </w:pPr>
            <w:r w:rsidRPr="0077642E">
              <w:rPr>
                <w:b/>
                <w:bCs/>
              </w:rPr>
              <w:t>Reproductive technologies</w:t>
            </w:r>
          </w:p>
          <w:p w14:paraId="6A0D5CE7" w14:textId="77777777" w:rsidR="002E5A38" w:rsidRPr="0077642E" w:rsidRDefault="002E5A38" w:rsidP="0077642E">
            <w:pPr>
              <w:spacing w:after="0"/>
              <w:cnfStyle w:val="000000000000" w:firstRow="0" w:lastRow="0" w:firstColumn="0" w:lastColumn="0" w:oddVBand="0" w:evenVBand="0" w:oddHBand="0" w:evenHBand="0" w:firstRowFirstColumn="0" w:firstRowLastColumn="0" w:lastRowFirstColumn="0" w:lastRowLastColumn="0"/>
              <w:rPr>
                <w:b/>
                <w:bCs/>
              </w:rPr>
            </w:pPr>
            <w:r w:rsidRPr="0077642E">
              <w:rPr>
                <w:b/>
                <w:bCs/>
              </w:rPr>
              <w:t>Contraception</w:t>
            </w:r>
          </w:p>
          <w:p w14:paraId="1DB1F212" w14:textId="77777777" w:rsidR="002E5A38" w:rsidRPr="0077642E" w:rsidRDefault="002E5A38" w:rsidP="008E2FEB">
            <w:pPr>
              <w:pStyle w:val="ListParagraph"/>
              <w:numPr>
                <w:ilvl w:val="0"/>
                <w:numId w:val="17"/>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contraceptive methods or devices are used to prevent fertilisation or implantation</w:t>
            </w:r>
          </w:p>
          <w:p w14:paraId="4EA06272" w14:textId="77777777" w:rsidR="002E5A38" w:rsidRPr="0077642E" w:rsidRDefault="002E5A38" w:rsidP="008E2FEB">
            <w:pPr>
              <w:pStyle w:val="ListParagraph"/>
              <w:numPr>
                <w:ilvl w:val="0"/>
                <w:numId w:val="17"/>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distinguish between opinion, anecdote and evidence, and scientific and non-scientific ideas</w:t>
            </w:r>
          </w:p>
          <w:p w14:paraId="79ED9B4F" w14:textId="77777777" w:rsidR="002E5A38" w:rsidRPr="0077642E" w:rsidRDefault="002E5A38" w:rsidP="008E2FEB">
            <w:pPr>
              <w:pStyle w:val="ListParagraph"/>
              <w:numPr>
                <w:ilvl w:val="0"/>
                <w:numId w:val="17"/>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use reasoning to construct scientific arguments, and to draw and justify conclusions consistent with the evidence and relevant to the question under investigation</w:t>
            </w:r>
          </w:p>
          <w:p w14:paraId="2B6C151F" w14:textId="77777777" w:rsidR="002E5A38" w:rsidRPr="0077642E" w:rsidRDefault="002E5A38" w:rsidP="008E2FEB">
            <w:pPr>
              <w:pStyle w:val="ListParagraph"/>
              <w:numPr>
                <w:ilvl w:val="0"/>
                <w:numId w:val="17"/>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identify examples of where the application of scientific knowledge may have beneficial, harmful and/or unintended consequences</w:t>
            </w:r>
          </w:p>
          <w:p w14:paraId="6C72FDA2" w14:textId="77777777" w:rsidR="002E5A38" w:rsidRPr="0077642E" w:rsidRDefault="002E5A38" w:rsidP="0077642E">
            <w:pPr>
              <w:spacing w:before="120" w:after="0"/>
              <w:cnfStyle w:val="000000000000" w:firstRow="0" w:lastRow="0" w:firstColumn="0" w:lastColumn="0" w:oddVBand="0" w:evenVBand="0" w:oddHBand="0" w:evenHBand="0" w:firstRowFirstColumn="0" w:firstRowLastColumn="0" w:lastRowFirstColumn="0" w:lastRowLastColumn="0"/>
              <w:rPr>
                <w:b/>
                <w:bCs/>
              </w:rPr>
            </w:pPr>
            <w:r w:rsidRPr="0077642E">
              <w:rPr>
                <w:b/>
                <w:bCs/>
              </w:rPr>
              <w:t>Infertility treatments</w:t>
            </w:r>
          </w:p>
          <w:p w14:paraId="1279129C" w14:textId="77777777" w:rsidR="002E5A38" w:rsidRPr="0077642E" w:rsidRDefault="002E5A38" w:rsidP="008E2FEB">
            <w:pPr>
              <w:pStyle w:val="ListParagraph"/>
              <w:numPr>
                <w:ilvl w:val="0"/>
                <w:numId w:val="18"/>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there are a variety of infertility treatments which help overcome infertility problems; each has its limitations, risks and benefits</w:t>
            </w:r>
          </w:p>
          <w:p w14:paraId="49CBADBC" w14:textId="77777777" w:rsidR="002E5A38" w:rsidRPr="0077642E" w:rsidRDefault="002E5A38" w:rsidP="008E2FEB">
            <w:pPr>
              <w:pStyle w:val="ListParagraph"/>
              <w:numPr>
                <w:ilvl w:val="0"/>
                <w:numId w:val="18"/>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distinguish between opinion, anecdote and evidence, and scientific and non-scientific ideas</w:t>
            </w:r>
          </w:p>
          <w:p w14:paraId="25D4CE94" w14:textId="77777777" w:rsidR="002E5A38" w:rsidRPr="0077642E" w:rsidRDefault="002E5A38" w:rsidP="008E2FEB">
            <w:pPr>
              <w:pStyle w:val="ListParagraph"/>
              <w:numPr>
                <w:ilvl w:val="0"/>
                <w:numId w:val="18"/>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use reasoning to construct scientific arguments, and to draw and justify conclusions consistent with the evidence and relevant to the question under investigation</w:t>
            </w:r>
          </w:p>
          <w:p w14:paraId="7005CFF7" w14:textId="77777777" w:rsidR="002E5A38" w:rsidRPr="0077642E" w:rsidRDefault="002E5A38" w:rsidP="008E2FEB">
            <w:pPr>
              <w:pStyle w:val="ListParagraph"/>
              <w:numPr>
                <w:ilvl w:val="0"/>
                <w:numId w:val="18"/>
              </w:numPr>
              <w:spacing w:after="0"/>
              <w:ind w:left="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642E">
              <w:rPr>
                <w:rFonts w:ascii="Calibri" w:hAnsi="Calibri" w:cs="Calibri"/>
              </w:rPr>
              <w:t>identify examples of where the application of scientific knowledge may have beneficial, harmful and/or unintended consequences</w:t>
            </w:r>
          </w:p>
        </w:tc>
      </w:tr>
      <w:tr w:rsidR="002E5A38" w:rsidRPr="001F687C" w14:paraId="632E6087" w14:textId="77777777" w:rsidTr="004B605B">
        <w:trPr>
          <w:trHeight w:val="20"/>
        </w:trPr>
        <w:tc>
          <w:tcPr>
            <w:cnfStyle w:val="001000000000" w:firstRow="0" w:lastRow="0" w:firstColumn="1" w:lastColumn="0" w:oddVBand="0" w:evenVBand="0" w:oddHBand="0" w:evenHBand="0" w:firstRowFirstColumn="0" w:firstRowLastColumn="0" w:lastRowFirstColumn="0" w:lastRowLastColumn="0"/>
            <w:tcW w:w="1157" w:type="dxa"/>
            <w:hideMark/>
          </w:tcPr>
          <w:p w14:paraId="16A0B27A" w14:textId="77777777" w:rsidR="002E5A38" w:rsidRPr="001F687C" w:rsidRDefault="002E5A38" w:rsidP="0077642E">
            <w:pPr>
              <w:spacing w:after="0"/>
            </w:pPr>
            <w:r>
              <w:t>13–15</w:t>
            </w:r>
          </w:p>
        </w:tc>
        <w:tc>
          <w:tcPr>
            <w:tcW w:w="7915" w:type="dxa"/>
          </w:tcPr>
          <w:p w14:paraId="2DEBA2BA" w14:textId="71DC0524" w:rsidR="002E5A38" w:rsidRPr="0077642E" w:rsidRDefault="002E5A38" w:rsidP="0077642E">
            <w:pPr>
              <w:cnfStyle w:val="000000000000" w:firstRow="0" w:lastRow="0" w:firstColumn="0" w:lastColumn="0" w:oddVBand="0" w:evenVBand="0" w:oddHBand="0" w:evenHBand="0" w:firstRowFirstColumn="0" w:firstRowLastColumn="0" w:lastRowFirstColumn="0" w:lastRowLastColumn="0"/>
              <w:rPr>
                <w:b/>
                <w:bCs/>
              </w:rPr>
            </w:pPr>
            <w:r w:rsidRPr="0077642E">
              <w:rPr>
                <w:b/>
                <w:bCs/>
              </w:rPr>
              <w:t>Assessment task 3</w:t>
            </w:r>
            <w:r w:rsidR="00AC6E9D">
              <w:rPr>
                <w:b/>
                <w:bCs/>
              </w:rPr>
              <w:t xml:space="preserve"> </w:t>
            </w:r>
            <w:r w:rsidRPr="0077642E">
              <w:rPr>
                <w:b/>
                <w:bCs/>
              </w:rPr>
              <w:t xml:space="preserve">– Project </w:t>
            </w:r>
          </w:p>
          <w:p w14:paraId="43CE7A15" w14:textId="50D215ED" w:rsidR="002E5A38" w:rsidRPr="0077642E" w:rsidRDefault="002E5A38" w:rsidP="00EA6A80">
            <w:pPr>
              <w:spacing w:before="120" w:after="0"/>
              <w:cnfStyle w:val="000000000000" w:firstRow="0" w:lastRow="0" w:firstColumn="0" w:lastColumn="0" w:oddVBand="0" w:evenVBand="0" w:oddHBand="0" w:evenHBand="0" w:firstRowFirstColumn="0" w:firstRowLastColumn="0" w:lastRowFirstColumn="0" w:lastRowLastColumn="0"/>
              <w:rPr>
                <w:b/>
                <w:bCs/>
              </w:rPr>
            </w:pPr>
            <w:r w:rsidRPr="0077642E">
              <w:rPr>
                <w:b/>
                <w:bCs/>
              </w:rPr>
              <w:t xml:space="preserve">Assessment task 4 – Externally set task </w:t>
            </w:r>
          </w:p>
        </w:tc>
      </w:tr>
    </w:tbl>
    <w:p w14:paraId="0071854D" w14:textId="08FDD26B" w:rsidR="00460452" w:rsidRPr="00152B15" w:rsidRDefault="00460452" w:rsidP="0077642E">
      <w:r>
        <w:br w:type="page"/>
      </w:r>
    </w:p>
    <w:p w14:paraId="1E137EB7" w14:textId="00FC723C" w:rsidR="007638C7" w:rsidRPr="009C0721" w:rsidRDefault="007638C7" w:rsidP="00AC6E9D">
      <w:pPr>
        <w:pStyle w:val="SCSAHeading2"/>
        <w:ind w:firstLine="142"/>
      </w:pPr>
      <w:r>
        <w:lastRenderedPageBreak/>
        <w:t xml:space="preserve">Semester 2 </w:t>
      </w:r>
      <w:r w:rsidR="00905E7D">
        <w:t>–</w:t>
      </w:r>
      <w:r w:rsidR="007C03B8">
        <w:t xml:space="preserve"> Unit 4</w:t>
      </w:r>
    </w:p>
    <w:tbl>
      <w:tblPr>
        <w:tblStyle w:val="TableGrid"/>
        <w:tblW w:w="4895" w:type="pct"/>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1133"/>
        <w:gridCol w:w="7717"/>
      </w:tblGrid>
      <w:tr w:rsidR="002E5A38" w:rsidRPr="001F687C" w14:paraId="42C1853B" w14:textId="77777777" w:rsidTr="0077642E">
        <w:trPr>
          <w:trHeight w:val="20"/>
          <w:tblHeader/>
        </w:trPr>
        <w:tc>
          <w:tcPr>
            <w:tcW w:w="1157" w:type="dxa"/>
            <w:tcBorders>
              <w:right w:val="single" w:sz="4" w:space="0" w:color="FFFFFF" w:themeColor="background1"/>
            </w:tcBorders>
            <w:shd w:val="clear" w:color="auto" w:fill="BD9FCF" w:themeFill="accent4"/>
            <w:vAlign w:val="center"/>
            <w:hideMark/>
          </w:tcPr>
          <w:p w14:paraId="32DCFFE2" w14:textId="77777777" w:rsidR="002E5A38" w:rsidRPr="0077642E" w:rsidRDefault="002E5A38" w:rsidP="0077642E">
            <w:pPr>
              <w:spacing w:after="0"/>
              <w:jc w:val="center"/>
              <w:rPr>
                <w:b/>
                <w:szCs w:val="20"/>
              </w:rPr>
            </w:pPr>
            <w:r w:rsidRPr="0077642E">
              <w:rPr>
                <w:b/>
                <w:szCs w:val="20"/>
              </w:rPr>
              <w:t>Week</w:t>
            </w:r>
          </w:p>
        </w:tc>
        <w:tc>
          <w:tcPr>
            <w:tcW w:w="7915" w:type="dxa"/>
            <w:tcBorders>
              <w:left w:val="single" w:sz="4" w:space="0" w:color="FFFFFF" w:themeColor="background1"/>
            </w:tcBorders>
            <w:shd w:val="clear" w:color="auto" w:fill="BD9FCF" w:themeFill="accent4"/>
            <w:vAlign w:val="center"/>
            <w:hideMark/>
          </w:tcPr>
          <w:p w14:paraId="6351589E" w14:textId="77777777" w:rsidR="002E5A38" w:rsidRPr="0077642E" w:rsidRDefault="002E5A38" w:rsidP="0077642E">
            <w:pPr>
              <w:spacing w:after="0"/>
              <w:jc w:val="center"/>
              <w:rPr>
                <w:b/>
                <w:szCs w:val="20"/>
              </w:rPr>
            </w:pPr>
            <w:r w:rsidRPr="0077642E">
              <w:rPr>
                <w:b/>
                <w:szCs w:val="20"/>
              </w:rPr>
              <w:t>Key teaching points</w:t>
            </w:r>
          </w:p>
        </w:tc>
      </w:tr>
      <w:tr w:rsidR="002E5A38" w:rsidRPr="001F687C" w14:paraId="5934937E" w14:textId="77777777" w:rsidTr="0077642E">
        <w:trPr>
          <w:trHeight w:val="20"/>
        </w:trPr>
        <w:tc>
          <w:tcPr>
            <w:tcW w:w="1157" w:type="dxa"/>
            <w:shd w:val="clear" w:color="auto" w:fill="E4D8EB" w:themeFill="accent4" w:themeFillTint="66"/>
            <w:vAlign w:val="center"/>
            <w:hideMark/>
          </w:tcPr>
          <w:p w14:paraId="15210E7D" w14:textId="77777777" w:rsidR="002E5A38" w:rsidRPr="001F687C" w:rsidRDefault="002E5A38" w:rsidP="00C935F5">
            <w:pPr>
              <w:jc w:val="center"/>
              <w:rPr>
                <w:szCs w:val="20"/>
              </w:rPr>
            </w:pPr>
            <w:r>
              <w:rPr>
                <w:szCs w:val="20"/>
              </w:rPr>
              <w:t>1–2</w:t>
            </w:r>
          </w:p>
        </w:tc>
        <w:tc>
          <w:tcPr>
            <w:tcW w:w="7915" w:type="dxa"/>
            <w:vAlign w:val="center"/>
          </w:tcPr>
          <w:p w14:paraId="30359406" w14:textId="77777777" w:rsidR="002E5A38" w:rsidRPr="0077642E" w:rsidRDefault="002E5A38" w:rsidP="0077642E">
            <w:pPr>
              <w:rPr>
                <w:b/>
                <w:bCs/>
              </w:rPr>
            </w:pPr>
            <w:r w:rsidRPr="0077642E">
              <w:rPr>
                <w:b/>
                <w:bCs/>
              </w:rPr>
              <w:t>Infectious disease</w:t>
            </w:r>
          </w:p>
          <w:p w14:paraId="127C7004" w14:textId="77777777" w:rsidR="002E5A38" w:rsidRPr="0077642E" w:rsidRDefault="002E5A38" w:rsidP="0077642E">
            <w:pPr>
              <w:spacing w:after="0"/>
              <w:rPr>
                <w:b/>
                <w:bCs/>
              </w:rPr>
            </w:pPr>
            <w:r w:rsidRPr="0077642E">
              <w:rPr>
                <w:b/>
                <w:bCs/>
              </w:rPr>
              <w:t>Pathogens</w:t>
            </w:r>
          </w:p>
          <w:p w14:paraId="4AE20805" w14:textId="77777777" w:rsidR="002E5A38" w:rsidRPr="008E2FEB" w:rsidRDefault="002E5A38" w:rsidP="008E2FEB">
            <w:pPr>
              <w:pStyle w:val="ListParagraph"/>
              <w:numPr>
                <w:ilvl w:val="0"/>
                <w:numId w:val="19"/>
              </w:numPr>
              <w:spacing w:after="0"/>
              <w:ind w:left="357"/>
              <w:rPr>
                <w:rFonts w:ascii="Calibri" w:eastAsia="Times New Roman" w:hAnsi="Calibri" w:cs="Calibri"/>
              </w:rPr>
            </w:pPr>
            <w:r w:rsidRPr="008E2FEB">
              <w:rPr>
                <w:rFonts w:ascii="Calibri" w:hAnsi="Calibri" w:cs="Calibri"/>
              </w:rPr>
              <w:t>infectious disease is caused by the invasion of a pathogen, including bacteria, viruses, fungi, protozoa and parasites</w:t>
            </w:r>
          </w:p>
          <w:p w14:paraId="5C5A74FE" w14:textId="77777777" w:rsidR="002E5A38" w:rsidRDefault="002E5A38" w:rsidP="00C935F5">
            <w:pPr>
              <w:pStyle w:val="Tableheadings"/>
            </w:pPr>
            <w:r>
              <w:t>Transmission of pathogens</w:t>
            </w:r>
          </w:p>
          <w:p w14:paraId="15471190" w14:textId="77777777" w:rsidR="002E5A38" w:rsidRPr="008E2FEB" w:rsidRDefault="002E5A38" w:rsidP="008E2FEB">
            <w:pPr>
              <w:pStyle w:val="ListParagraph"/>
              <w:numPr>
                <w:ilvl w:val="0"/>
                <w:numId w:val="20"/>
              </w:numPr>
              <w:spacing w:after="0"/>
              <w:ind w:left="357"/>
              <w:rPr>
                <w:rFonts w:ascii="Calibri" w:hAnsi="Calibri" w:cs="Calibri"/>
              </w:rPr>
            </w:pPr>
            <w:r w:rsidRPr="008E2FEB">
              <w:rPr>
                <w:rFonts w:ascii="Calibri" w:hAnsi="Calibri" w:cs="Calibri"/>
              </w:rPr>
              <w:t>transmission of a pathogen from one host to another occurs by various mechanisms, including direct and indirect contact</w:t>
            </w:r>
          </w:p>
          <w:p w14:paraId="62797A42" w14:textId="77777777" w:rsidR="002E5A38" w:rsidRPr="008E2FEB" w:rsidRDefault="002E5A38" w:rsidP="008E2FEB">
            <w:pPr>
              <w:pStyle w:val="ListParagraph"/>
              <w:numPr>
                <w:ilvl w:val="0"/>
                <w:numId w:val="20"/>
              </w:numPr>
              <w:spacing w:after="0"/>
              <w:ind w:left="357"/>
              <w:rPr>
                <w:rFonts w:ascii="Calibri" w:hAnsi="Calibri" w:cs="Calibri"/>
              </w:rPr>
            </w:pPr>
            <w:r w:rsidRPr="008E2FEB">
              <w:rPr>
                <w:rFonts w:ascii="Calibri" w:hAnsi="Calibri" w:cs="Calibri"/>
              </w:rPr>
              <w:t>hygiene practices, including social distancing, personal protective equipment (PPE), hand hygiene and the use of antiseptics, assist in limiting the transmission of disease</w:t>
            </w:r>
          </w:p>
          <w:p w14:paraId="6954119D" w14:textId="30CC37E4" w:rsidR="002E5A38" w:rsidRPr="008E2FEB" w:rsidRDefault="002E5A38" w:rsidP="008E2FEB">
            <w:pPr>
              <w:spacing w:before="120" w:after="0"/>
              <w:rPr>
                <w:rFonts w:eastAsia="Times New Roman" w:cs="Arial"/>
                <w:b/>
                <w:bCs/>
              </w:rPr>
            </w:pPr>
            <w:r w:rsidRPr="008E2FEB">
              <w:rPr>
                <w:b/>
                <w:bCs/>
              </w:rPr>
              <w:t xml:space="preserve">Commence Assessment task 5 – Investigation </w:t>
            </w:r>
          </w:p>
        </w:tc>
      </w:tr>
      <w:tr w:rsidR="002E5A38" w:rsidRPr="001F687C" w14:paraId="2EE82F40" w14:textId="77777777" w:rsidTr="0077642E">
        <w:trPr>
          <w:trHeight w:val="20"/>
        </w:trPr>
        <w:tc>
          <w:tcPr>
            <w:tcW w:w="1157" w:type="dxa"/>
            <w:shd w:val="clear" w:color="auto" w:fill="E4D8EB" w:themeFill="accent4" w:themeFillTint="66"/>
            <w:vAlign w:val="center"/>
          </w:tcPr>
          <w:p w14:paraId="510B3259" w14:textId="77777777" w:rsidR="002E5A38" w:rsidRDefault="002E5A38" w:rsidP="00C935F5">
            <w:pPr>
              <w:jc w:val="center"/>
              <w:rPr>
                <w:szCs w:val="20"/>
              </w:rPr>
            </w:pPr>
            <w:r>
              <w:rPr>
                <w:szCs w:val="20"/>
              </w:rPr>
              <w:t>3–6</w:t>
            </w:r>
          </w:p>
        </w:tc>
        <w:tc>
          <w:tcPr>
            <w:tcW w:w="7915" w:type="dxa"/>
            <w:vAlign w:val="center"/>
          </w:tcPr>
          <w:p w14:paraId="3597578D" w14:textId="77777777" w:rsidR="002E5A38" w:rsidRPr="008E2FEB" w:rsidRDefault="002E5A38" w:rsidP="008E2FEB">
            <w:pPr>
              <w:rPr>
                <w:b/>
                <w:bCs/>
              </w:rPr>
            </w:pPr>
            <w:r w:rsidRPr="008E2FEB">
              <w:rPr>
                <w:b/>
                <w:bCs/>
              </w:rPr>
              <w:t>Immune system</w:t>
            </w:r>
          </w:p>
          <w:p w14:paraId="0A068030" w14:textId="77777777" w:rsidR="002E5A38" w:rsidRPr="008E2FEB" w:rsidRDefault="002E5A38" w:rsidP="008E2FEB">
            <w:pPr>
              <w:spacing w:after="0"/>
              <w:rPr>
                <w:b/>
                <w:bCs/>
              </w:rPr>
            </w:pPr>
            <w:r w:rsidRPr="008E2FEB">
              <w:rPr>
                <w:b/>
                <w:bCs/>
              </w:rPr>
              <w:t>First line of defence</w:t>
            </w:r>
          </w:p>
          <w:p w14:paraId="36705B40" w14:textId="77777777" w:rsidR="002E5A38" w:rsidRPr="008E2FEB" w:rsidRDefault="002E5A38" w:rsidP="008E2FEB">
            <w:pPr>
              <w:pStyle w:val="ListParagraph"/>
              <w:numPr>
                <w:ilvl w:val="0"/>
                <w:numId w:val="21"/>
              </w:numPr>
              <w:spacing w:after="0"/>
              <w:ind w:left="357"/>
              <w:rPr>
                <w:rFonts w:ascii="Calibri" w:eastAsia="Times New Roman" w:hAnsi="Calibri" w:cs="Calibri"/>
              </w:rPr>
            </w:pPr>
            <w:r w:rsidRPr="008E2FEB">
              <w:rPr>
                <w:rFonts w:ascii="Calibri" w:hAnsi="Calibri" w:cs="Calibri"/>
              </w:rPr>
              <w:t>the first line of defence involves external non-specific biological, chemical and physical barriers to prevent the entry of pathogens</w:t>
            </w:r>
          </w:p>
          <w:p w14:paraId="0F69675E" w14:textId="77777777" w:rsidR="002E5A38" w:rsidRPr="008E2FEB" w:rsidRDefault="002E5A38" w:rsidP="008E2FEB">
            <w:pPr>
              <w:spacing w:before="120" w:after="0"/>
              <w:rPr>
                <w:b/>
                <w:bCs/>
              </w:rPr>
            </w:pPr>
            <w:r w:rsidRPr="008E2FEB">
              <w:rPr>
                <w:b/>
                <w:bCs/>
              </w:rPr>
              <w:t>Second line of defence</w:t>
            </w:r>
          </w:p>
          <w:p w14:paraId="59AF2EB4" w14:textId="77777777" w:rsidR="002E5A38" w:rsidRPr="008E2FEB" w:rsidRDefault="002E5A38" w:rsidP="008E2FEB">
            <w:pPr>
              <w:pStyle w:val="ListParagraph"/>
              <w:numPr>
                <w:ilvl w:val="0"/>
                <w:numId w:val="22"/>
              </w:numPr>
              <w:spacing w:after="0"/>
              <w:ind w:left="357"/>
              <w:rPr>
                <w:rFonts w:ascii="Calibri" w:eastAsia="Times New Roman" w:hAnsi="Calibri" w:cs="Calibri"/>
              </w:rPr>
            </w:pPr>
            <w:r w:rsidRPr="008E2FEB">
              <w:rPr>
                <w:rFonts w:ascii="Calibri" w:hAnsi="Calibri" w:cs="Calibri"/>
              </w:rPr>
              <w:t>the second line of defence involves phagocytic cells, including neutrophils and macrophages, and other non-specific responses, including inflammation and fever</w:t>
            </w:r>
          </w:p>
          <w:p w14:paraId="309F9A04" w14:textId="77777777" w:rsidR="002E5A38" w:rsidRPr="008E2FEB" w:rsidRDefault="002E5A38" w:rsidP="008E2FEB">
            <w:pPr>
              <w:spacing w:before="120" w:after="0"/>
              <w:rPr>
                <w:b/>
                <w:bCs/>
              </w:rPr>
            </w:pPr>
            <w:r w:rsidRPr="008E2FEB">
              <w:rPr>
                <w:b/>
                <w:bCs/>
              </w:rPr>
              <w:t>Third line of defence</w:t>
            </w:r>
          </w:p>
          <w:p w14:paraId="75E45122" w14:textId="77777777" w:rsidR="002E5A38" w:rsidRPr="008E2FEB" w:rsidRDefault="002E5A38" w:rsidP="008E2FEB">
            <w:pPr>
              <w:pStyle w:val="ListParagraph"/>
              <w:numPr>
                <w:ilvl w:val="0"/>
                <w:numId w:val="23"/>
              </w:numPr>
              <w:spacing w:after="0"/>
              <w:ind w:left="357"/>
              <w:rPr>
                <w:rFonts w:ascii="Calibri" w:eastAsia="Times New Roman" w:hAnsi="Calibri" w:cs="Calibri"/>
              </w:rPr>
            </w:pPr>
            <w:r w:rsidRPr="008E2FEB">
              <w:rPr>
                <w:rFonts w:ascii="Calibri" w:hAnsi="Calibri" w:cs="Calibri"/>
              </w:rPr>
              <w:t>the third line of defence involves specific responses to antigens, including the production of antibodies and memory cells for short-term and long-term immunity (details of B and T cells are not required)</w:t>
            </w:r>
          </w:p>
          <w:p w14:paraId="530982B5" w14:textId="414B7BA9" w:rsidR="002E5A38" w:rsidRPr="008E2FEB" w:rsidRDefault="002E5A38" w:rsidP="008E2FEB">
            <w:pPr>
              <w:spacing w:before="120" w:after="0"/>
              <w:rPr>
                <w:b/>
                <w:bCs/>
              </w:rPr>
            </w:pPr>
            <w:r w:rsidRPr="008E2FEB">
              <w:rPr>
                <w:b/>
                <w:bCs/>
              </w:rPr>
              <w:t xml:space="preserve">Submit Assessment task 5 – Investigation </w:t>
            </w:r>
          </w:p>
        </w:tc>
      </w:tr>
      <w:tr w:rsidR="002E5A38" w:rsidRPr="001F687C" w14:paraId="2C6766E5" w14:textId="77777777" w:rsidTr="0077642E">
        <w:trPr>
          <w:trHeight w:val="20"/>
        </w:trPr>
        <w:tc>
          <w:tcPr>
            <w:tcW w:w="1157" w:type="dxa"/>
            <w:shd w:val="clear" w:color="auto" w:fill="E4D8EB" w:themeFill="accent4" w:themeFillTint="66"/>
            <w:vAlign w:val="center"/>
          </w:tcPr>
          <w:p w14:paraId="1C696765" w14:textId="77777777" w:rsidR="002E5A38" w:rsidRDefault="002E5A38" w:rsidP="00C935F5">
            <w:pPr>
              <w:jc w:val="center"/>
              <w:rPr>
                <w:szCs w:val="20"/>
              </w:rPr>
            </w:pPr>
            <w:r>
              <w:rPr>
                <w:szCs w:val="20"/>
              </w:rPr>
              <w:t>7–8</w:t>
            </w:r>
          </w:p>
        </w:tc>
        <w:tc>
          <w:tcPr>
            <w:tcW w:w="7915" w:type="dxa"/>
            <w:vAlign w:val="center"/>
          </w:tcPr>
          <w:p w14:paraId="12B04990" w14:textId="77777777" w:rsidR="002E5A38" w:rsidRPr="008E2FEB" w:rsidRDefault="002E5A38" w:rsidP="008E2FEB">
            <w:pPr>
              <w:spacing w:after="0"/>
              <w:rPr>
                <w:b/>
                <w:bCs/>
              </w:rPr>
            </w:pPr>
            <w:r w:rsidRPr="008E2FEB">
              <w:rPr>
                <w:b/>
                <w:bCs/>
              </w:rPr>
              <w:t>Immunity</w:t>
            </w:r>
          </w:p>
          <w:p w14:paraId="1002D1D0" w14:textId="77777777" w:rsidR="002E5A38" w:rsidRPr="008E2FEB" w:rsidRDefault="002E5A38" w:rsidP="008E2FEB">
            <w:pPr>
              <w:pStyle w:val="ListParagraph"/>
              <w:numPr>
                <w:ilvl w:val="0"/>
                <w:numId w:val="24"/>
              </w:numPr>
              <w:spacing w:after="0"/>
              <w:ind w:left="357"/>
              <w:rPr>
                <w:rFonts w:ascii="Calibri" w:eastAsia="Times New Roman" w:hAnsi="Calibri" w:cs="Calibri"/>
              </w:rPr>
            </w:pPr>
            <w:r w:rsidRPr="008E2FEB">
              <w:rPr>
                <w:rFonts w:ascii="Calibri" w:hAnsi="Calibri" w:cs="Calibri"/>
              </w:rPr>
              <w:t>passive and active immunity can be acquired through natural and artificial means</w:t>
            </w:r>
          </w:p>
          <w:p w14:paraId="5737CA64" w14:textId="77777777" w:rsidR="002E5A38" w:rsidRPr="008E2FEB" w:rsidRDefault="002E5A38" w:rsidP="008E2FEB">
            <w:pPr>
              <w:spacing w:before="120" w:after="0"/>
              <w:rPr>
                <w:b/>
                <w:bCs/>
              </w:rPr>
            </w:pPr>
            <w:r w:rsidRPr="008E2FEB">
              <w:rPr>
                <w:b/>
                <w:bCs/>
              </w:rPr>
              <w:t xml:space="preserve">Antimicrobial medications </w:t>
            </w:r>
          </w:p>
          <w:p w14:paraId="125C3027" w14:textId="77777777" w:rsidR="002E5A38" w:rsidRPr="008E2FEB" w:rsidRDefault="002E5A38" w:rsidP="008E2FEB">
            <w:pPr>
              <w:pStyle w:val="ListParagraph"/>
              <w:numPr>
                <w:ilvl w:val="0"/>
                <w:numId w:val="25"/>
              </w:numPr>
              <w:spacing w:after="0"/>
              <w:ind w:left="357"/>
              <w:rPr>
                <w:rFonts w:ascii="Calibri" w:hAnsi="Calibri" w:cs="Calibri"/>
              </w:rPr>
            </w:pPr>
            <w:r w:rsidRPr="008E2FEB">
              <w:rPr>
                <w:rFonts w:ascii="Calibri" w:hAnsi="Calibri" w:cs="Calibri"/>
              </w:rPr>
              <w:t>antivirals and antibiotics can be used to reduce the rate or severity of infection</w:t>
            </w:r>
          </w:p>
          <w:p w14:paraId="75B00921" w14:textId="77777777" w:rsidR="002E5A38" w:rsidRPr="008E2FEB" w:rsidRDefault="002E5A38" w:rsidP="008E2FEB">
            <w:pPr>
              <w:pStyle w:val="ListParagraph"/>
              <w:numPr>
                <w:ilvl w:val="0"/>
                <w:numId w:val="25"/>
              </w:numPr>
              <w:spacing w:after="0"/>
              <w:ind w:left="357"/>
              <w:rPr>
                <w:rFonts w:ascii="Calibri" w:hAnsi="Calibri" w:cs="Calibri"/>
              </w:rPr>
            </w:pPr>
            <w:proofErr w:type="gramStart"/>
            <w:r w:rsidRPr="008E2FEB">
              <w:rPr>
                <w:rFonts w:ascii="Calibri" w:hAnsi="Calibri" w:cs="Calibri"/>
              </w:rPr>
              <w:t>use</w:t>
            </w:r>
            <w:proofErr w:type="gramEnd"/>
            <w:r w:rsidRPr="008E2FEB">
              <w:rPr>
                <w:rFonts w:ascii="Calibri" w:hAnsi="Calibri" w:cs="Calibri"/>
              </w:rPr>
              <w:t xml:space="preserve"> and misuse of antibiotics can lead to the development of multidrug-resistant bacteria </w:t>
            </w:r>
          </w:p>
          <w:p w14:paraId="7D5B2355" w14:textId="5BA72D45" w:rsidR="002E5A38" w:rsidRPr="008E2FEB" w:rsidRDefault="002E5A38" w:rsidP="008E2FEB">
            <w:pPr>
              <w:spacing w:before="120" w:after="0"/>
              <w:rPr>
                <w:b/>
                <w:bCs/>
              </w:rPr>
            </w:pPr>
            <w:r w:rsidRPr="008E2FEB">
              <w:rPr>
                <w:b/>
                <w:bCs/>
              </w:rPr>
              <w:t xml:space="preserve">Assessment task 6 – Supervised written assessment </w:t>
            </w:r>
          </w:p>
        </w:tc>
      </w:tr>
      <w:tr w:rsidR="002E5A38" w:rsidRPr="001F687C" w14:paraId="04D477E7" w14:textId="77777777" w:rsidTr="0077642E">
        <w:trPr>
          <w:trHeight w:val="20"/>
        </w:trPr>
        <w:tc>
          <w:tcPr>
            <w:tcW w:w="1157" w:type="dxa"/>
            <w:shd w:val="clear" w:color="auto" w:fill="E4D8EB" w:themeFill="accent4" w:themeFillTint="66"/>
            <w:vAlign w:val="center"/>
          </w:tcPr>
          <w:p w14:paraId="15E33224" w14:textId="77777777" w:rsidR="002E5A38" w:rsidRDefault="002E5A38" w:rsidP="00C935F5">
            <w:pPr>
              <w:jc w:val="center"/>
              <w:rPr>
                <w:szCs w:val="20"/>
              </w:rPr>
            </w:pPr>
            <w:r>
              <w:rPr>
                <w:szCs w:val="20"/>
              </w:rPr>
              <w:t>9–12</w:t>
            </w:r>
          </w:p>
        </w:tc>
        <w:tc>
          <w:tcPr>
            <w:tcW w:w="7915" w:type="dxa"/>
            <w:vAlign w:val="center"/>
          </w:tcPr>
          <w:p w14:paraId="4807457A" w14:textId="77777777" w:rsidR="002E5A38" w:rsidRPr="008E2FEB" w:rsidRDefault="002E5A38" w:rsidP="008E2FEB">
            <w:pPr>
              <w:rPr>
                <w:b/>
                <w:bCs/>
              </w:rPr>
            </w:pPr>
            <w:r w:rsidRPr="008E2FEB">
              <w:rPr>
                <w:b/>
                <w:bCs/>
              </w:rPr>
              <w:t>Community and global health</w:t>
            </w:r>
          </w:p>
          <w:p w14:paraId="5A012E36" w14:textId="77777777" w:rsidR="002E5A38" w:rsidRPr="008E2FEB" w:rsidRDefault="002E5A38" w:rsidP="008E2FEB">
            <w:pPr>
              <w:spacing w:after="0"/>
              <w:rPr>
                <w:b/>
                <w:bCs/>
              </w:rPr>
            </w:pPr>
            <w:r w:rsidRPr="008E2FEB">
              <w:rPr>
                <w:b/>
                <w:bCs/>
              </w:rPr>
              <w:t>Immunisation</w:t>
            </w:r>
          </w:p>
          <w:p w14:paraId="7A56C619" w14:textId="77777777" w:rsidR="002E5A38" w:rsidRPr="008E2FEB" w:rsidRDefault="002E5A38" w:rsidP="008E2FEB">
            <w:pPr>
              <w:pStyle w:val="ListParagraph"/>
              <w:numPr>
                <w:ilvl w:val="0"/>
                <w:numId w:val="26"/>
              </w:numPr>
              <w:spacing w:after="0"/>
              <w:ind w:left="357"/>
              <w:rPr>
                <w:rFonts w:ascii="Calibri" w:hAnsi="Calibri" w:cs="Calibri"/>
              </w:rPr>
            </w:pPr>
            <w:r w:rsidRPr="008E2FEB">
              <w:rPr>
                <w:rFonts w:ascii="Calibri" w:hAnsi="Calibri" w:cs="Calibri"/>
              </w:rPr>
              <w:t>a vaccine prepares the immune system to recognise and fight a pathogen it has not previously been exposed to</w:t>
            </w:r>
          </w:p>
          <w:p w14:paraId="6DFAB047" w14:textId="77777777" w:rsidR="002E5A38" w:rsidRPr="008E2FEB" w:rsidRDefault="002E5A38" w:rsidP="008E2FEB">
            <w:pPr>
              <w:pStyle w:val="ListParagraph"/>
              <w:numPr>
                <w:ilvl w:val="0"/>
                <w:numId w:val="26"/>
              </w:numPr>
              <w:spacing w:after="0"/>
              <w:ind w:left="357"/>
              <w:rPr>
                <w:rFonts w:ascii="Calibri" w:hAnsi="Calibri" w:cs="Calibri"/>
              </w:rPr>
            </w:pPr>
            <w:r w:rsidRPr="008E2FEB">
              <w:rPr>
                <w:rFonts w:ascii="Calibri" w:hAnsi="Calibri" w:cs="Calibri"/>
              </w:rPr>
              <w:t xml:space="preserve">national immunisation programs aim to develop herd immunity in communities </w:t>
            </w:r>
          </w:p>
          <w:p w14:paraId="45499618" w14:textId="77777777" w:rsidR="002E5A38" w:rsidRPr="008E2FEB" w:rsidRDefault="002E5A38" w:rsidP="008E2FEB">
            <w:pPr>
              <w:pStyle w:val="ListParagraph"/>
              <w:numPr>
                <w:ilvl w:val="0"/>
                <w:numId w:val="26"/>
              </w:numPr>
              <w:spacing w:after="0"/>
              <w:ind w:left="357"/>
              <w:rPr>
                <w:rFonts w:ascii="Calibri" w:hAnsi="Calibri" w:cs="Calibri"/>
              </w:rPr>
            </w:pPr>
            <w:r w:rsidRPr="008E2FEB">
              <w:rPr>
                <w:rFonts w:ascii="Calibri" w:hAnsi="Calibri" w:cs="Calibri"/>
              </w:rPr>
              <w:t>an individual’s decision to participate in immunisation programs can be influenced by the socio</w:t>
            </w:r>
            <w:r w:rsidRPr="008E2FEB">
              <w:rPr>
                <w:rFonts w:ascii="Calibri" w:hAnsi="Calibri" w:cs="Calibri"/>
              </w:rPr>
              <w:noBreakHyphen/>
              <w:t>cultural context in which it is considered</w:t>
            </w:r>
          </w:p>
          <w:p w14:paraId="330FEBC3" w14:textId="6AB07FDB" w:rsidR="002E5A38" w:rsidRPr="008E2FEB" w:rsidRDefault="002E5A38" w:rsidP="00EA6A80">
            <w:pPr>
              <w:spacing w:before="120" w:after="0"/>
              <w:rPr>
                <w:b/>
                <w:bCs/>
              </w:rPr>
            </w:pPr>
            <w:r w:rsidRPr="008E2FEB">
              <w:rPr>
                <w:b/>
                <w:bCs/>
              </w:rPr>
              <w:t xml:space="preserve">Assessment task 7 – Project </w:t>
            </w:r>
          </w:p>
        </w:tc>
      </w:tr>
      <w:tr w:rsidR="002E5A38" w:rsidRPr="001F687C" w14:paraId="756615D4" w14:textId="77777777" w:rsidTr="0077642E">
        <w:trPr>
          <w:trHeight w:val="20"/>
        </w:trPr>
        <w:tc>
          <w:tcPr>
            <w:tcW w:w="1157" w:type="dxa"/>
            <w:shd w:val="clear" w:color="auto" w:fill="E4D8EB" w:themeFill="accent4" w:themeFillTint="66"/>
            <w:vAlign w:val="center"/>
          </w:tcPr>
          <w:p w14:paraId="66088726" w14:textId="77777777" w:rsidR="002E5A38" w:rsidRDefault="002E5A38" w:rsidP="008E2FEB">
            <w:pPr>
              <w:pageBreakBefore/>
              <w:jc w:val="center"/>
              <w:rPr>
                <w:szCs w:val="20"/>
              </w:rPr>
            </w:pPr>
            <w:r>
              <w:rPr>
                <w:szCs w:val="20"/>
              </w:rPr>
              <w:lastRenderedPageBreak/>
              <w:t>13–15</w:t>
            </w:r>
          </w:p>
        </w:tc>
        <w:tc>
          <w:tcPr>
            <w:tcW w:w="7915" w:type="dxa"/>
            <w:vAlign w:val="center"/>
          </w:tcPr>
          <w:p w14:paraId="7035996A" w14:textId="77777777" w:rsidR="002E5A38" w:rsidRPr="008E2FEB" w:rsidRDefault="002E5A38" w:rsidP="008E2FEB">
            <w:pPr>
              <w:spacing w:after="0"/>
              <w:rPr>
                <w:b/>
                <w:bCs/>
              </w:rPr>
            </w:pPr>
            <w:r w:rsidRPr="008E2FEB">
              <w:rPr>
                <w:b/>
                <w:bCs/>
              </w:rPr>
              <w:t>Infectious disease control</w:t>
            </w:r>
          </w:p>
          <w:p w14:paraId="534B64D4" w14:textId="77777777" w:rsidR="002E5A38" w:rsidRPr="008E2FEB" w:rsidRDefault="002E5A38" w:rsidP="008E2FEB">
            <w:pPr>
              <w:pStyle w:val="ListParagraph"/>
              <w:numPr>
                <w:ilvl w:val="0"/>
                <w:numId w:val="27"/>
              </w:numPr>
              <w:spacing w:after="0"/>
              <w:ind w:left="357"/>
              <w:rPr>
                <w:rFonts w:ascii="Calibri" w:hAnsi="Calibri" w:cs="Calibri"/>
              </w:rPr>
            </w:pPr>
            <w:r w:rsidRPr="008E2FEB">
              <w:rPr>
                <w:rFonts w:ascii="Calibri" w:hAnsi="Calibri" w:cs="Calibri"/>
              </w:rPr>
              <w:t>hygiene practices, including social distancing, personal protective equipment (PPE), hand hygiene and the use of antiseptics, assist in limiting the transmission of disease</w:t>
            </w:r>
          </w:p>
          <w:p w14:paraId="0E67F375" w14:textId="77777777" w:rsidR="002E5A38" w:rsidRPr="008E2FEB" w:rsidRDefault="002E5A38" w:rsidP="008E2FEB">
            <w:pPr>
              <w:pStyle w:val="ListParagraph"/>
              <w:numPr>
                <w:ilvl w:val="0"/>
                <w:numId w:val="27"/>
              </w:numPr>
              <w:spacing w:after="0"/>
              <w:ind w:left="357"/>
              <w:rPr>
                <w:rFonts w:ascii="Calibri" w:hAnsi="Calibri" w:cs="Calibri"/>
              </w:rPr>
            </w:pPr>
            <w:r w:rsidRPr="008E2FEB">
              <w:rPr>
                <w:rFonts w:ascii="Calibri" w:hAnsi="Calibri" w:cs="Calibri"/>
              </w:rPr>
              <w:t>contact tracing is a disease control strategy that involves identifying cases and their contacts to interrupt disease transmission</w:t>
            </w:r>
          </w:p>
          <w:p w14:paraId="44F38C32" w14:textId="77777777" w:rsidR="002E5A38" w:rsidRPr="008E2FEB" w:rsidRDefault="002E5A38" w:rsidP="008E2FEB">
            <w:pPr>
              <w:pStyle w:val="ListParagraph"/>
              <w:numPr>
                <w:ilvl w:val="0"/>
                <w:numId w:val="27"/>
              </w:numPr>
              <w:spacing w:after="0"/>
              <w:ind w:left="357"/>
              <w:rPr>
                <w:rFonts w:ascii="Calibri" w:hAnsi="Calibri" w:cs="Calibri"/>
              </w:rPr>
            </w:pPr>
            <w:r w:rsidRPr="008E2FEB">
              <w:rPr>
                <w:rFonts w:ascii="Calibri" w:hAnsi="Calibri" w:cs="Calibri"/>
              </w:rPr>
              <w:t xml:space="preserve">quarantine separates and restricts the movement of people who may have been exposed to an infectious disease and isolation separates and restricts the movement of people with an infectious disease </w:t>
            </w:r>
          </w:p>
          <w:p w14:paraId="4E5638F3" w14:textId="77777777" w:rsidR="002E5A38" w:rsidRPr="008E2FEB" w:rsidRDefault="002E5A38" w:rsidP="008E2FEB">
            <w:pPr>
              <w:pStyle w:val="ListParagraph"/>
              <w:numPr>
                <w:ilvl w:val="0"/>
                <w:numId w:val="27"/>
              </w:numPr>
              <w:spacing w:after="0"/>
              <w:ind w:left="357"/>
              <w:rPr>
                <w:rFonts w:ascii="Calibri" w:hAnsi="Calibri" w:cs="Calibri"/>
              </w:rPr>
            </w:pPr>
            <w:r w:rsidRPr="008E2FEB">
              <w:rPr>
                <w:rFonts w:ascii="Calibri" w:hAnsi="Calibri" w:cs="Calibri"/>
              </w:rPr>
              <w:t>susceptibility of urban areas to epidemics and pandemics of infectious disease can be due to population density, variation in living conditions and healthcare provisions</w:t>
            </w:r>
          </w:p>
          <w:p w14:paraId="5CD39380" w14:textId="77777777" w:rsidR="002E5A38" w:rsidRPr="008E2FEB" w:rsidRDefault="002E5A38" w:rsidP="008E2FEB">
            <w:pPr>
              <w:pStyle w:val="ListParagraph"/>
              <w:numPr>
                <w:ilvl w:val="0"/>
                <w:numId w:val="27"/>
              </w:numPr>
              <w:spacing w:after="0"/>
              <w:ind w:left="357"/>
              <w:rPr>
                <w:rFonts w:ascii="Calibri" w:hAnsi="Calibri" w:cs="Calibri"/>
              </w:rPr>
            </w:pPr>
            <w:r w:rsidRPr="008E2FEB">
              <w:rPr>
                <w:rFonts w:ascii="Calibri" w:hAnsi="Calibri" w:cs="Calibri"/>
              </w:rPr>
              <w:t>the reporting of notifiable diseases enables public health authorities to restrict outbreaks, prevent possible epidemics and inform public health policy</w:t>
            </w:r>
          </w:p>
          <w:p w14:paraId="3BCE6B71" w14:textId="77777777" w:rsidR="002E5A38" w:rsidRPr="008E2FEB" w:rsidRDefault="002E5A38" w:rsidP="008E2FEB">
            <w:pPr>
              <w:pStyle w:val="ListParagraph"/>
              <w:numPr>
                <w:ilvl w:val="0"/>
                <w:numId w:val="27"/>
              </w:numPr>
              <w:spacing w:after="0"/>
              <w:ind w:left="357"/>
              <w:rPr>
                <w:rFonts w:ascii="Calibri" w:hAnsi="Calibri" w:cs="Calibri"/>
              </w:rPr>
            </w:pPr>
            <w:proofErr w:type="gramStart"/>
            <w:r w:rsidRPr="008E2FEB">
              <w:rPr>
                <w:rFonts w:ascii="Calibri" w:hAnsi="Calibri" w:cs="Calibri"/>
              </w:rPr>
              <w:t>the</w:t>
            </w:r>
            <w:proofErr w:type="gramEnd"/>
            <w:r w:rsidRPr="008E2FEB">
              <w:rPr>
                <w:rFonts w:ascii="Calibri" w:hAnsi="Calibri" w:cs="Calibri"/>
              </w:rPr>
              <w:t xml:space="preserve"> transmission and spread of infectious disease </w:t>
            </w:r>
            <w:proofErr w:type="gramStart"/>
            <w:r w:rsidRPr="008E2FEB">
              <w:rPr>
                <w:rFonts w:ascii="Calibri" w:hAnsi="Calibri" w:cs="Calibri"/>
              </w:rPr>
              <w:t>is</w:t>
            </w:r>
            <w:proofErr w:type="gramEnd"/>
            <w:r w:rsidRPr="008E2FEB">
              <w:rPr>
                <w:rFonts w:ascii="Calibri" w:hAnsi="Calibri" w:cs="Calibri"/>
              </w:rPr>
              <w:t xml:space="preserve"> facilitated by local, regional and global movement of individuals, and travel warnings provide information to help reduce risk of infection</w:t>
            </w:r>
          </w:p>
          <w:p w14:paraId="78FCB500" w14:textId="77777777" w:rsidR="002E5A38" w:rsidRPr="008E2FEB" w:rsidRDefault="002E5A38" w:rsidP="008E2FEB">
            <w:pPr>
              <w:pStyle w:val="ListParagraph"/>
              <w:numPr>
                <w:ilvl w:val="0"/>
                <w:numId w:val="27"/>
              </w:numPr>
              <w:spacing w:after="0"/>
              <w:ind w:left="357"/>
              <w:rPr>
                <w:rFonts w:ascii="Calibri" w:hAnsi="Calibri" w:cs="Calibri"/>
              </w:rPr>
            </w:pPr>
            <w:r w:rsidRPr="008E2FEB">
              <w:rPr>
                <w:rFonts w:ascii="Calibri" w:hAnsi="Calibri" w:cs="Calibri"/>
              </w:rPr>
              <w:t>international cooperation and communication are needed to evaluate the risk of the spread of disease, including the emergence of new viral diseases</w:t>
            </w:r>
            <w:r w:rsidRPr="008E2FEB">
              <w:rPr>
                <w:rFonts w:ascii="Calibri" w:hAnsi="Calibri" w:cs="Calibri"/>
              </w:rPr>
              <w:br w:type="page"/>
            </w:r>
          </w:p>
          <w:p w14:paraId="11B8B0DF" w14:textId="15353B9C" w:rsidR="002E5A38" w:rsidRPr="008E2FEB" w:rsidRDefault="002E5A38" w:rsidP="008E2FEB">
            <w:pPr>
              <w:spacing w:before="120" w:after="0"/>
              <w:rPr>
                <w:b/>
                <w:bCs/>
                <w:spacing w:val="1"/>
              </w:rPr>
            </w:pPr>
            <w:r w:rsidRPr="008E2FEB">
              <w:rPr>
                <w:b/>
                <w:bCs/>
              </w:rPr>
              <w:t>Assessment task 8 – Practical assessment</w:t>
            </w:r>
          </w:p>
        </w:tc>
      </w:tr>
    </w:tbl>
    <w:p w14:paraId="4172C6A5" w14:textId="77777777" w:rsidR="00CF3CB2" w:rsidRPr="00907F48" w:rsidRDefault="00CF3CB2" w:rsidP="00F358C6">
      <w:pPr>
        <w:spacing w:after="200"/>
        <w:rPr>
          <w:rFonts w:cstheme="minorHAnsi"/>
          <w:lang w:val="en-GB"/>
        </w:rPr>
      </w:pPr>
    </w:p>
    <w:sectPr w:rsidR="00CF3CB2" w:rsidRPr="00907F48" w:rsidSect="004B605B">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40" w:left="1440"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F6CF6" w14:textId="77777777" w:rsidR="00EB0DA6" w:rsidRDefault="00EB0DA6" w:rsidP="00DB14C9">
      <w:r>
        <w:separator/>
      </w:r>
    </w:p>
  </w:endnote>
  <w:endnote w:type="continuationSeparator" w:id="0">
    <w:p w14:paraId="16DEE9DB" w14:textId="77777777" w:rsidR="00EB0DA6" w:rsidRDefault="00EB0DA6"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34E1" w14:textId="6BABE34D" w:rsidR="009C0721" w:rsidRPr="00DE34C4" w:rsidRDefault="009C0721" w:rsidP="004B605B">
    <w:pPr>
      <w:pStyle w:val="Footereven"/>
    </w:pPr>
    <w:r>
      <w:t>2015/19178</w:t>
    </w:r>
    <w:r w:rsidR="004B605B">
      <w:t>[</w:t>
    </w:r>
    <w:r w:rsidR="009E4850">
      <w:t>v</w:t>
    </w:r>
    <w:r w:rsidR="00EA6A80">
      <w:t>6</w:t>
    </w:r>
    <w:r w:rsidR="004B605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B63D" w14:textId="77777777" w:rsidR="009C0721" w:rsidRPr="00DE34C4" w:rsidRDefault="009C0721"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1C751" w14:textId="77777777" w:rsidR="009C0721" w:rsidRPr="00905E7D" w:rsidRDefault="009C0721" w:rsidP="004B605B">
    <w:pPr>
      <w:pStyle w:val="Footereven"/>
    </w:pPr>
    <w:r>
      <w:t xml:space="preserve">Sample course outline </w:t>
    </w:r>
    <w:r w:rsidRPr="00D41604">
      <w:t>|</w:t>
    </w:r>
    <w:r>
      <w:t xml:space="preserve"> Human Biology</w:t>
    </w:r>
    <w:r w:rsidRPr="00D41604">
      <w:t xml:space="preserve"> | </w:t>
    </w:r>
    <w:r>
      <w:t>General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042B" w14:textId="77777777" w:rsidR="009C0721" w:rsidRPr="00711EDC" w:rsidRDefault="009C0721" w:rsidP="0077642E">
    <w:pPr>
      <w:pStyle w:val="Footerodd"/>
    </w:pPr>
    <w:r>
      <w:t xml:space="preserve">Sample course outline </w:t>
    </w:r>
    <w:r w:rsidRPr="00D41604">
      <w:t>|</w:t>
    </w:r>
    <w:r>
      <w:t xml:space="preserve"> Huamn Biology</w:t>
    </w:r>
    <w:r w:rsidRPr="00D41604">
      <w:t xml:space="preserve"> | </w:t>
    </w:r>
    <w:r>
      <w:t>General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7EC1" w14:textId="77777777" w:rsidR="009C0721" w:rsidRPr="005143EB" w:rsidRDefault="009C0721" w:rsidP="004B605B">
    <w:pPr>
      <w:pStyle w:val="Footerodd"/>
    </w:pPr>
    <w:r>
      <w:t xml:space="preserve">Sample course outline </w:t>
    </w:r>
    <w:r w:rsidRPr="00D41604">
      <w:t>|</w:t>
    </w:r>
    <w:r>
      <w:t xml:space="preserve"> Human Biology</w:t>
    </w:r>
    <w:r w:rsidRPr="00D41604">
      <w:t xml:space="preserve"> | </w:t>
    </w:r>
    <w:r>
      <w:t>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CA54" w14:textId="77777777" w:rsidR="00EB0DA6" w:rsidRDefault="00EB0DA6" w:rsidP="00DB14C9">
      <w:r>
        <w:separator/>
      </w:r>
    </w:p>
  </w:footnote>
  <w:footnote w:type="continuationSeparator" w:id="0">
    <w:p w14:paraId="45E85611" w14:textId="77777777" w:rsidR="00EB0DA6" w:rsidRDefault="00EB0DA6"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92E1" w14:textId="77777777" w:rsidR="009C0721" w:rsidRDefault="009C0721" w:rsidP="00E8086E">
    <w:pPr>
      <w:pStyle w:val="Header"/>
      <w:ind w:left="-709"/>
    </w:pPr>
    <w:r>
      <w:rPr>
        <w:noProof/>
        <w:lang w:val="en-AU" w:eastAsia="en-AU"/>
      </w:rPr>
      <w:drawing>
        <wp:inline distT="0" distB="0" distL="0" distR="0" wp14:anchorId="1A5FD4B1" wp14:editId="749D3775">
          <wp:extent cx="4533900" cy="704850"/>
          <wp:effectExtent l="0" t="0" r="0" b="0"/>
          <wp:docPr id="4" name="Picture 4"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30459" w14:textId="77777777" w:rsidR="009C0721" w:rsidRPr="001B3981" w:rsidRDefault="009C0721" w:rsidP="004B605B">
    <w:pPr>
      <w:pStyle w:val="Headereven"/>
    </w:pPr>
    <w:r w:rsidRPr="001B3981">
      <w:fldChar w:fldCharType="begin"/>
    </w:r>
    <w:r w:rsidRPr="001B3981">
      <w:instrText xml:space="preserve"> PAGE   \* MERGEFORMAT </w:instrText>
    </w:r>
    <w:r w:rsidRPr="001B3981">
      <w:fldChar w:fldCharType="separate"/>
    </w:r>
    <w:r w:rsidR="00BE669B">
      <w:rPr>
        <w:noProof/>
      </w:rPr>
      <w:t>2</w:t>
    </w:r>
    <w:r w:rsidRPr="001B39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2995" w14:textId="77777777" w:rsidR="009C0721" w:rsidRPr="001B3981" w:rsidRDefault="009C0721" w:rsidP="0077642E">
    <w:pPr>
      <w:pStyle w:val="Headerodd"/>
    </w:pPr>
    <w:r w:rsidRPr="001B3981">
      <w:rPr>
        <w:noProof w:val="0"/>
      </w:rPr>
      <w:fldChar w:fldCharType="begin"/>
    </w:r>
    <w:r w:rsidRPr="001B3981">
      <w:instrText xml:space="preserve"> PAGE   \* MERGEFORMAT </w:instrText>
    </w:r>
    <w:r w:rsidRPr="001B3981">
      <w:rPr>
        <w:noProof w:val="0"/>
      </w:rPr>
      <w:fldChar w:fldCharType="separate"/>
    </w:r>
    <w:r w:rsidR="00BE669B">
      <w:t>5</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CAB5" w14:textId="77777777" w:rsidR="009C0721" w:rsidRPr="001B3981" w:rsidRDefault="009C0721" w:rsidP="004B605B">
    <w:pPr>
      <w:pStyle w:val="Headerodd"/>
    </w:pPr>
    <w:r w:rsidRPr="001B3981">
      <w:fldChar w:fldCharType="begin"/>
    </w:r>
    <w:r w:rsidRPr="001B3981">
      <w:instrText xml:space="preserve"> PAGE   \* MERGEFORMAT </w:instrText>
    </w:r>
    <w:r w:rsidRPr="001B3981">
      <w:fldChar w:fldCharType="separate"/>
    </w:r>
    <w:r w:rsidR="00BE669B">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5767"/>
    <w:multiLevelType w:val="multilevel"/>
    <w:tmpl w:val="75082F76"/>
    <w:numStyleLink w:val="SCSABulletList"/>
  </w:abstractNum>
  <w:abstractNum w:abstractNumId="1" w15:restartNumberingAfterBreak="0">
    <w:nsid w:val="120C7C99"/>
    <w:multiLevelType w:val="multilevel"/>
    <w:tmpl w:val="75082F76"/>
    <w:numStyleLink w:val="SCSABulletList"/>
  </w:abstractNum>
  <w:abstractNum w:abstractNumId="2" w15:restartNumberingAfterBreak="0">
    <w:nsid w:val="12BB55F6"/>
    <w:multiLevelType w:val="multilevel"/>
    <w:tmpl w:val="75082F76"/>
    <w:numStyleLink w:val="SCSABulletList"/>
  </w:abstractNum>
  <w:abstractNum w:abstractNumId="3" w15:restartNumberingAfterBreak="0">
    <w:nsid w:val="1C09417F"/>
    <w:multiLevelType w:val="multilevel"/>
    <w:tmpl w:val="75082F76"/>
    <w:numStyleLink w:val="SCSABulletList"/>
  </w:abstractNum>
  <w:abstractNum w:abstractNumId="4" w15:restartNumberingAfterBreak="0">
    <w:nsid w:val="1CDD7761"/>
    <w:multiLevelType w:val="multilevel"/>
    <w:tmpl w:val="75082F76"/>
    <w:numStyleLink w:val="SCSABulletList"/>
  </w:abstractNum>
  <w:abstractNum w:abstractNumId="5" w15:restartNumberingAfterBreak="0">
    <w:nsid w:val="1CE959E4"/>
    <w:multiLevelType w:val="multilevel"/>
    <w:tmpl w:val="75082F76"/>
    <w:numStyleLink w:val="SCSABulletList"/>
  </w:abstractNum>
  <w:abstractNum w:abstractNumId="6"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FB6D06"/>
    <w:multiLevelType w:val="hybridMultilevel"/>
    <w:tmpl w:val="D02E27BC"/>
    <w:lvl w:ilvl="0" w:tplc="BB74CD2E">
      <w:start w:val="1"/>
      <w:numFmt w:val="bullet"/>
      <w:pStyle w:val="ListBullet4"/>
      <w:lvlText w:val="­"/>
      <w:lvlJc w:val="left"/>
      <w:pPr>
        <w:ind w:left="1397" w:hanging="360"/>
      </w:pPr>
      <w:rPr>
        <w:rFonts w:ascii="Courier New" w:hAnsi="Courier New" w:hint="default"/>
      </w:rPr>
    </w:lvl>
    <w:lvl w:ilvl="1" w:tplc="0C090003" w:tentative="1">
      <w:start w:val="1"/>
      <w:numFmt w:val="bullet"/>
      <w:lvlText w:val="o"/>
      <w:lvlJc w:val="left"/>
      <w:pPr>
        <w:ind w:left="2117" w:hanging="360"/>
      </w:pPr>
      <w:rPr>
        <w:rFonts w:ascii="Courier New" w:hAnsi="Courier New" w:cs="Courier New" w:hint="default"/>
      </w:rPr>
    </w:lvl>
    <w:lvl w:ilvl="2" w:tplc="0C090005" w:tentative="1">
      <w:start w:val="1"/>
      <w:numFmt w:val="bullet"/>
      <w:lvlText w:val=""/>
      <w:lvlJc w:val="left"/>
      <w:pPr>
        <w:ind w:left="2837" w:hanging="360"/>
      </w:pPr>
      <w:rPr>
        <w:rFonts w:ascii="Wingdings" w:hAnsi="Wingdings" w:hint="default"/>
      </w:rPr>
    </w:lvl>
    <w:lvl w:ilvl="3" w:tplc="0C090001" w:tentative="1">
      <w:start w:val="1"/>
      <w:numFmt w:val="bullet"/>
      <w:lvlText w:val=""/>
      <w:lvlJc w:val="left"/>
      <w:pPr>
        <w:ind w:left="3557" w:hanging="360"/>
      </w:pPr>
      <w:rPr>
        <w:rFonts w:ascii="Symbol" w:hAnsi="Symbol" w:hint="default"/>
      </w:rPr>
    </w:lvl>
    <w:lvl w:ilvl="4" w:tplc="0C090003" w:tentative="1">
      <w:start w:val="1"/>
      <w:numFmt w:val="bullet"/>
      <w:lvlText w:val="o"/>
      <w:lvlJc w:val="left"/>
      <w:pPr>
        <w:ind w:left="4277" w:hanging="360"/>
      </w:pPr>
      <w:rPr>
        <w:rFonts w:ascii="Courier New" w:hAnsi="Courier New" w:cs="Courier New" w:hint="default"/>
      </w:rPr>
    </w:lvl>
    <w:lvl w:ilvl="5" w:tplc="0C090005" w:tentative="1">
      <w:start w:val="1"/>
      <w:numFmt w:val="bullet"/>
      <w:lvlText w:val=""/>
      <w:lvlJc w:val="left"/>
      <w:pPr>
        <w:ind w:left="4997" w:hanging="360"/>
      </w:pPr>
      <w:rPr>
        <w:rFonts w:ascii="Wingdings" w:hAnsi="Wingdings" w:hint="default"/>
      </w:rPr>
    </w:lvl>
    <w:lvl w:ilvl="6" w:tplc="0C090001" w:tentative="1">
      <w:start w:val="1"/>
      <w:numFmt w:val="bullet"/>
      <w:lvlText w:val=""/>
      <w:lvlJc w:val="left"/>
      <w:pPr>
        <w:ind w:left="5717" w:hanging="360"/>
      </w:pPr>
      <w:rPr>
        <w:rFonts w:ascii="Symbol" w:hAnsi="Symbol" w:hint="default"/>
      </w:rPr>
    </w:lvl>
    <w:lvl w:ilvl="7" w:tplc="0C090003" w:tentative="1">
      <w:start w:val="1"/>
      <w:numFmt w:val="bullet"/>
      <w:lvlText w:val="o"/>
      <w:lvlJc w:val="left"/>
      <w:pPr>
        <w:ind w:left="6437" w:hanging="360"/>
      </w:pPr>
      <w:rPr>
        <w:rFonts w:ascii="Courier New" w:hAnsi="Courier New" w:cs="Courier New" w:hint="default"/>
      </w:rPr>
    </w:lvl>
    <w:lvl w:ilvl="8" w:tplc="0C090005" w:tentative="1">
      <w:start w:val="1"/>
      <w:numFmt w:val="bullet"/>
      <w:lvlText w:val=""/>
      <w:lvlJc w:val="left"/>
      <w:pPr>
        <w:ind w:left="7157" w:hanging="360"/>
      </w:pPr>
      <w:rPr>
        <w:rFonts w:ascii="Wingdings" w:hAnsi="Wingdings" w:hint="default"/>
      </w:rPr>
    </w:lvl>
  </w:abstractNum>
  <w:abstractNum w:abstractNumId="8" w15:restartNumberingAfterBreak="0">
    <w:nsid w:val="2974788A"/>
    <w:multiLevelType w:val="multilevel"/>
    <w:tmpl w:val="75082F76"/>
    <w:numStyleLink w:val="SCSABulletList"/>
  </w:abstractNum>
  <w:abstractNum w:abstractNumId="9" w15:restartNumberingAfterBreak="0">
    <w:nsid w:val="2A2D43BA"/>
    <w:multiLevelType w:val="multilevel"/>
    <w:tmpl w:val="75082F76"/>
    <w:numStyleLink w:val="SCSABulletList"/>
  </w:abstractNum>
  <w:abstractNum w:abstractNumId="10" w15:restartNumberingAfterBreak="0">
    <w:nsid w:val="2C9E67D0"/>
    <w:multiLevelType w:val="multilevel"/>
    <w:tmpl w:val="75082F76"/>
    <w:numStyleLink w:val="SCSABulletList"/>
  </w:abstractNum>
  <w:abstractNum w:abstractNumId="11" w15:restartNumberingAfterBreak="0">
    <w:nsid w:val="329F3CF0"/>
    <w:multiLevelType w:val="multilevel"/>
    <w:tmpl w:val="75082F76"/>
    <w:numStyleLink w:val="SCSABulletList"/>
  </w:abstractNum>
  <w:abstractNum w:abstractNumId="12" w15:restartNumberingAfterBreak="0">
    <w:nsid w:val="3A7854E5"/>
    <w:multiLevelType w:val="multilevel"/>
    <w:tmpl w:val="75082F76"/>
    <w:numStyleLink w:val="SCSABulletList"/>
  </w:abstractNum>
  <w:abstractNum w:abstractNumId="13" w15:restartNumberingAfterBreak="0">
    <w:nsid w:val="41650269"/>
    <w:multiLevelType w:val="multilevel"/>
    <w:tmpl w:val="75082F76"/>
    <w:numStyleLink w:val="SCSABulletList"/>
  </w:abstractNum>
  <w:abstractNum w:abstractNumId="14" w15:restartNumberingAfterBreak="0">
    <w:nsid w:val="49655CDF"/>
    <w:multiLevelType w:val="multilevel"/>
    <w:tmpl w:val="75082F76"/>
    <w:numStyleLink w:val="SCSABulletList"/>
  </w:abstractNum>
  <w:abstractNum w:abstractNumId="15" w15:restartNumberingAfterBreak="0">
    <w:nsid w:val="4F4850EC"/>
    <w:multiLevelType w:val="multilevel"/>
    <w:tmpl w:val="75082F76"/>
    <w:numStyleLink w:val="SCSABulletList"/>
  </w:abstractNum>
  <w:abstractNum w:abstractNumId="16" w15:restartNumberingAfterBreak="0">
    <w:nsid w:val="59A97DD5"/>
    <w:multiLevelType w:val="multilevel"/>
    <w:tmpl w:val="75082F76"/>
    <w:numStyleLink w:val="SCSABulletList"/>
  </w:abstractNum>
  <w:abstractNum w:abstractNumId="17" w15:restartNumberingAfterBreak="0">
    <w:nsid w:val="5ADE4730"/>
    <w:multiLevelType w:val="multilevel"/>
    <w:tmpl w:val="75082F76"/>
    <w:numStyleLink w:val="SCSABulletList"/>
  </w:abstractNum>
  <w:abstractNum w:abstractNumId="18" w15:restartNumberingAfterBreak="0">
    <w:nsid w:val="5CA56118"/>
    <w:multiLevelType w:val="multilevel"/>
    <w:tmpl w:val="75082F76"/>
    <w:numStyleLink w:val="SCSABulletList"/>
  </w:abstractNum>
  <w:abstractNum w:abstractNumId="19" w15:restartNumberingAfterBreak="0">
    <w:nsid w:val="5DA713D2"/>
    <w:multiLevelType w:val="multilevel"/>
    <w:tmpl w:val="75082F76"/>
    <w:numStyleLink w:val="SCSABulletList"/>
  </w:abstractNum>
  <w:abstractNum w:abstractNumId="20" w15:restartNumberingAfterBreak="0">
    <w:nsid w:val="60001924"/>
    <w:multiLevelType w:val="multilevel"/>
    <w:tmpl w:val="75082F76"/>
    <w:numStyleLink w:val="SCSABulletList"/>
  </w:abstractNum>
  <w:abstractNum w:abstractNumId="21"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2" w15:restartNumberingAfterBreak="0">
    <w:nsid w:val="653F6AA2"/>
    <w:multiLevelType w:val="multilevel"/>
    <w:tmpl w:val="75082F76"/>
    <w:numStyleLink w:val="SCSABulletList"/>
  </w:abstractNum>
  <w:abstractNum w:abstractNumId="23" w15:restartNumberingAfterBreak="0">
    <w:nsid w:val="6FCE0F2E"/>
    <w:multiLevelType w:val="multilevel"/>
    <w:tmpl w:val="75082F76"/>
    <w:numStyleLink w:val="SCSABulletList"/>
  </w:abstractNum>
  <w:abstractNum w:abstractNumId="24" w15:restartNumberingAfterBreak="0">
    <w:nsid w:val="78A513E1"/>
    <w:multiLevelType w:val="hybridMultilevel"/>
    <w:tmpl w:val="D7AC7696"/>
    <w:lvl w:ilvl="0" w:tplc="CB96DA12">
      <w:start w:val="1"/>
      <w:numFmt w:val="bullet"/>
      <w:pStyle w:val="ListBullet3"/>
      <w:lvlText w:val="o"/>
      <w:lvlJc w:val="left"/>
      <w:pPr>
        <w:ind w:left="1037" w:hanging="360"/>
      </w:pPr>
      <w:rPr>
        <w:rFonts w:ascii="Courier New" w:hAnsi="Courier New" w:cs="Courier New" w:hint="default"/>
      </w:rPr>
    </w:lvl>
    <w:lvl w:ilvl="1" w:tplc="0C090003">
      <w:start w:val="1"/>
      <w:numFmt w:val="bullet"/>
      <w:lvlText w:val="o"/>
      <w:lvlJc w:val="left"/>
      <w:pPr>
        <w:ind w:left="1757" w:hanging="360"/>
      </w:pPr>
      <w:rPr>
        <w:rFonts w:ascii="Courier New" w:hAnsi="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25" w15:restartNumberingAfterBreak="0">
    <w:nsid w:val="7A6A0D83"/>
    <w:multiLevelType w:val="hybridMultilevel"/>
    <w:tmpl w:val="B99C4CE0"/>
    <w:lvl w:ilvl="0" w:tplc="899A4368">
      <w:start w:val="1"/>
      <w:numFmt w:val="bullet"/>
      <w:pStyle w:val="ListBullet2"/>
      <w:lvlText w:val=""/>
      <w:lvlJc w:val="left"/>
      <w:pPr>
        <w:ind w:left="677" w:hanging="360"/>
      </w:pPr>
      <w:rPr>
        <w:rFonts w:ascii="Wingdings" w:hAnsi="Wingdings" w:hint="default"/>
      </w:rPr>
    </w:lvl>
    <w:lvl w:ilvl="1" w:tplc="0C090003" w:tentative="1">
      <w:start w:val="1"/>
      <w:numFmt w:val="bullet"/>
      <w:lvlText w:val="o"/>
      <w:lvlJc w:val="left"/>
      <w:pPr>
        <w:ind w:left="1397" w:hanging="360"/>
      </w:pPr>
      <w:rPr>
        <w:rFonts w:ascii="Courier New" w:hAnsi="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6" w15:restartNumberingAfterBreak="0">
    <w:nsid w:val="7F3A15D6"/>
    <w:multiLevelType w:val="hybridMultilevel"/>
    <w:tmpl w:val="0396FD9A"/>
    <w:lvl w:ilvl="0" w:tplc="52E0C178">
      <w:start w:val="1"/>
      <w:numFmt w:val="bullet"/>
      <w:pStyle w:val="Tablebullets1"/>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5592610">
    <w:abstractNumId w:val="21"/>
  </w:num>
  <w:num w:numId="2" w16cid:durableId="1242643615">
    <w:abstractNumId w:val="25"/>
  </w:num>
  <w:num w:numId="3" w16cid:durableId="815489403">
    <w:abstractNumId w:val="24"/>
  </w:num>
  <w:num w:numId="4" w16cid:durableId="112598983">
    <w:abstractNumId w:val="7"/>
  </w:num>
  <w:num w:numId="5" w16cid:durableId="1504777848">
    <w:abstractNumId w:val="26"/>
  </w:num>
  <w:num w:numId="6" w16cid:durableId="1868058983">
    <w:abstractNumId w:val="6"/>
  </w:num>
  <w:num w:numId="7" w16cid:durableId="1732652380">
    <w:abstractNumId w:val="17"/>
  </w:num>
  <w:num w:numId="8" w16cid:durableId="1524828279">
    <w:abstractNumId w:val="23"/>
  </w:num>
  <w:num w:numId="9" w16cid:durableId="1709991855">
    <w:abstractNumId w:val="20"/>
  </w:num>
  <w:num w:numId="10" w16cid:durableId="767041040">
    <w:abstractNumId w:val="1"/>
  </w:num>
  <w:num w:numId="11" w16cid:durableId="174617464">
    <w:abstractNumId w:val="3"/>
  </w:num>
  <w:num w:numId="12" w16cid:durableId="1263369940">
    <w:abstractNumId w:val="15"/>
  </w:num>
  <w:num w:numId="13" w16cid:durableId="877743456">
    <w:abstractNumId w:val="9"/>
  </w:num>
  <w:num w:numId="14" w16cid:durableId="692341779">
    <w:abstractNumId w:val="11"/>
  </w:num>
  <w:num w:numId="15" w16cid:durableId="1889491886">
    <w:abstractNumId w:val="19"/>
  </w:num>
  <w:num w:numId="16" w16cid:durableId="1992519743">
    <w:abstractNumId w:val="22"/>
  </w:num>
  <w:num w:numId="17" w16cid:durableId="2056391202">
    <w:abstractNumId w:val="16"/>
  </w:num>
  <w:num w:numId="18" w16cid:durableId="1954945743">
    <w:abstractNumId w:val="5"/>
  </w:num>
  <w:num w:numId="19" w16cid:durableId="701322573">
    <w:abstractNumId w:val="13"/>
  </w:num>
  <w:num w:numId="20" w16cid:durableId="1592083020">
    <w:abstractNumId w:val="2"/>
  </w:num>
  <w:num w:numId="21" w16cid:durableId="1072195693">
    <w:abstractNumId w:val="18"/>
  </w:num>
  <w:num w:numId="22" w16cid:durableId="205408542">
    <w:abstractNumId w:val="14"/>
  </w:num>
  <w:num w:numId="23" w16cid:durableId="503713202">
    <w:abstractNumId w:val="4"/>
  </w:num>
  <w:num w:numId="24" w16cid:durableId="1034577494">
    <w:abstractNumId w:val="10"/>
  </w:num>
  <w:num w:numId="25" w16cid:durableId="1876653131">
    <w:abstractNumId w:val="8"/>
  </w:num>
  <w:num w:numId="26" w16cid:durableId="1717701243">
    <w:abstractNumId w:val="12"/>
  </w:num>
  <w:num w:numId="27" w16cid:durableId="1390150205">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02411"/>
    <w:rsid w:val="000244A1"/>
    <w:rsid w:val="0003475E"/>
    <w:rsid w:val="0004659D"/>
    <w:rsid w:val="00047BE8"/>
    <w:rsid w:val="00051689"/>
    <w:rsid w:val="0006384F"/>
    <w:rsid w:val="000651A6"/>
    <w:rsid w:val="0007071F"/>
    <w:rsid w:val="000776E5"/>
    <w:rsid w:val="0009174F"/>
    <w:rsid w:val="000D5463"/>
    <w:rsid w:val="000D718D"/>
    <w:rsid w:val="000F0A1A"/>
    <w:rsid w:val="000F6BBB"/>
    <w:rsid w:val="001160FD"/>
    <w:rsid w:val="0014458B"/>
    <w:rsid w:val="00152B15"/>
    <w:rsid w:val="00162901"/>
    <w:rsid w:val="00184052"/>
    <w:rsid w:val="001A065F"/>
    <w:rsid w:val="001A1988"/>
    <w:rsid w:val="001A6FD0"/>
    <w:rsid w:val="001B7CDC"/>
    <w:rsid w:val="001F0AFE"/>
    <w:rsid w:val="00204411"/>
    <w:rsid w:val="00222F56"/>
    <w:rsid w:val="00237908"/>
    <w:rsid w:val="00240545"/>
    <w:rsid w:val="0025174E"/>
    <w:rsid w:val="00252E9D"/>
    <w:rsid w:val="002928CA"/>
    <w:rsid w:val="002B1788"/>
    <w:rsid w:val="002C53BE"/>
    <w:rsid w:val="002E59C7"/>
    <w:rsid w:val="002E5A38"/>
    <w:rsid w:val="002F0127"/>
    <w:rsid w:val="002F1A73"/>
    <w:rsid w:val="002F6527"/>
    <w:rsid w:val="00305F1B"/>
    <w:rsid w:val="00324ACE"/>
    <w:rsid w:val="0035732E"/>
    <w:rsid w:val="00377024"/>
    <w:rsid w:val="003A4697"/>
    <w:rsid w:val="003B2538"/>
    <w:rsid w:val="003C2A08"/>
    <w:rsid w:val="003C5A53"/>
    <w:rsid w:val="003E18D3"/>
    <w:rsid w:val="003F73FB"/>
    <w:rsid w:val="004266F1"/>
    <w:rsid w:val="00460452"/>
    <w:rsid w:val="004641AC"/>
    <w:rsid w:val="004743D3"/>
    <w:rsid w:val="00475DCB"/>
    <w:rsid w:val="004814F0"/>
    <w:rsid w:val="004863E5"/>
    <w:rsid w:val="004877BD"/>
    <w:rsid w:val="004A4B2C"/>
    <w:rsid w:val="004B206E"/>
    <w:rsid w:val="004B605B"/>
    <w:rsid w:val="004C1C26"/>
    <w:rsid w:val="004C50E4"/>
    <w:rsid w:val="004C6186"/>
    <w:rsid w:val="004D064C"/>
    <w:rsid w:val="004E1286"/>
    <w:rsid w:val="004F3D4D"/>
    <w:rsid w:val="004F656E"/>
    <w:rsid w:val="005322F1"/>
    <w:rsid w:val="005621DD"/>
    <w:rsid w:val="00590859"/>
    <w:rsid w:val="005A36E7"/>
    <w:rsid w:val="00614330"/>
    <w:rsid w:val="006221C0"/>
    <w:rsid w:val="006330C6"/>
    <w:rsid w:val="006645B4"/>
    <w:rsid w:val="006A5C8D"/>
    <w:rsid w:val="00711EDC"/>
    <w:rsid w:val="00714E9C"/>
    <w:rsid w:val="00741C79"/>
    <w:rsid w:val="00742B1D"/>
    <w:rsid w:val="00745B3B"/>
    <w:rsid w:val="00753F42"/>
    <w:rsid w:val="00757A6A"/>
    <w:rsid w:val="0076183F"/>
    <w:rsid w:val="007638C7"/>
    <w:rsid w:val="0077642E"/>
    <w:rsid w:val="0077748E"/>
    <w:rsid w:val="007B6EA7"/>
    <w:rsid w:val="007C03B8"/>
    <w:rsid w:val="007D7C15"/>
    <w:rsid w:val="007D7ECC"/>
    <w:rsid w:val="007E3CE0"/>
    <w:rsid w:val="007E7A45"/>
    <w:rsid w:val="007F6811"/>
    <w:rsid w:val="00806FF5"/>
    <w:rsid w:val="00811957"/>
    <w:rsid w:val="00821EA1"/>
    <w:rsid w:val="0082593B"/>
    <w:rsid w:val="008373AC"/>
    <w:rsid w:val="00840722"/>
    <w:rsid w:val="00855E0F"/>
    <w:rsid w:val="008768D3"/>
    <w:rsid w:val="00885205"/>
    <w:rsid w:val="008B0E0C"/>
    <w:rsid w:val="008B0EC6"/>
    <w:rsid w:val="008B157B"/>
    <w:rsid w:val="008D1D8C"/>
    <w:rsid w:val="008D7553"/>
    <w:rsid w:val="008E2FEB"/>
    <w:rsid w:val="008E559D"/>
    <w:rsid w:val="00905E7D"/>
    <w:rsid w:val="00907F48"/>
    <w:rsid w:val="00914054"/>
    <w:rsid w:val="00920528"/>
    <w:rsid w:val="00921373"/>
    <w:rsid w:val="00921F74"/>
    <w:rsid w:val="00925DCD"/>
    <w:rsid w:val="00930FD4"/>
    <w:rsid w:val="00952D80"/>
    <w:rsid w:val="009B1E37"/>
    <w:rsid w:val="009B5562"/>
    <w:rsid w:val="009B6E81"/>
    <w:rsid w:val="009C0721"/>
    <w:rsid w:val="009D6678"/>
    <w:rsid w:val="009E4850"/>
    <w:rsid w:val="009F4EA4"/>
    <w:rsid w:val="009F77B2"/>
    <w:rsid w:val="00A149F9"/>
    <w:rsid w:val="00A35065"/>
    <w:rsid w:val="00A43097"/>
    <w:rsid w:val="00A57719"/>
    <w:rsid w:val="00AA5FB7"/>
    <w:rsid w:val="00AC6E9D"/>
    <w:rsid w:val="00AE52B0"/>
    <w:rsid w:val="00AE5E03"/>
    <w:rsid w:val="00AF03E4"/>
    <w:rsid w:val="00AF0717"/>
    <w:rsid w:val="00AF2E8E"/>
    <w:rsid w:val="00AF317D"/>
    <w:rsid w:val="00AF3E15"/>
    <w:rsid w:val="00B00B58"/>
    <w:rsid w:val="00B0748C"/>
    <w:rsid w:val="00B718E3"/>
    <w:rsid w:val="00B87C49"/>
    <w:rsid w:val="00BA051E"/>
    <w:rsid w:val="00BB20C5"/>
    <w:rsid w:val="00BC63DB"/>
    <w:rsid w:val="00BD7C4A"/>
    <w:rsid w:val="00BE669B"/>
    <w:rsid w:val="00BF3799"/>
    <w:rsid w:val="00C03B4B"/>
    <w:rsid w:val="00C05BCC"/>
    <w:rsid w:val="00C344B8"/>
    <w:rsid w:val="00C56CE5"/>
    <w:rsid w:val="00C66F94"/>
    <w:rsid w:val="00C6729E"/>
    <w:rsid w:val="00C72D1C"/>
    <w:rsid w:val="00C73731"/>
    <w:rsid w:val="00C74F04"/>
    <w:rsid w:val="00C854B8"/>
    <w:rsid w:val="00C91D01"/>
    <w:rsid w:val="00C97E10"/>
    <w:rsid w:val="00CA0077"/>
    <w:rsid w:val="00CA3535"/>
    <w:rsid w:val="00CC2F5F"/>
    <w:rsid w:val="00CD0DBA"/>
    <w:rsid w:val="00CE23EC"/>
    <w:rsid w:val="00CF3CB2"/>
    <w:rsid w:val="00D0555F"/>
    <w:rsid w:val="00D06E73"/>
    <w:rsid w:val="00D15A5B"/>
    <w:rsid w:val="00D3715A"/>
    <w:rsid w:val="00D4756C"/>
    <w:rsid w:val="00D47F40"/>
    <w:rsid w:val="00D64011"/>
    <w:rsid w:val="00D65BAF"/>
    <w:rsid w:val="00D66E5D"/>
    <w:rsid w:val="00D741BD"/>
    <w:rsid w:val="00D97A9D"/>
    <w:rsid w:val="00DA49FA"/>
    <w:rsid w:val="00DB14C9"/>
    <w:rsid w:val="00DB5EA2"/>
    <w:rsid w:val="00DC1810"/>
    <w:rsid w:val="00DC370F"/>
    <w:rsid w:val="00DD4C73"/>
    <w:rsid w:val="00DF2166"/>
    <w:rsid w:val="00DF4C0D"/>
    <w:rsid w:val="00E06600"/>
    <w:rsid w:val="00E165B2"/>
    <w:rsid w:val="00E27F9A"/>
    <w:rsid w:val="00E61619"/>
    <w:rsid w:val="00E8086E"/>
    <w:rsid w:val="00E92382"/>
    <w:rsid w:val="00E92E22"/>
    <w:rsid w:val="00EA6A80"/>
    <w:rsid w:val="00EA7C06"/>
    <w:rsid w:val="00EB0DA6"/>
    <w:rsid w:val="00F04F8B"/>
    <w:rsid w:val="00F167AD"/>
    <w:rsid w:val="00F33444"/>
    <w:rsid w:val="00F358C6"/>
    <w:rsid w:val="00F53533"/>
    <w:rsid w:val="00F667AA"/>
    <w:rsid w:val="00F7346B"/>
    <w:rsid w:val="00F76D4D"/>
    <w:rsid w:val="00F853E0"/>
    <w:rsid w:val="00FA1552"/>
    <w:rsid w:val="00FB254B"/>
    <w:rsid w:val="00FB4769"/>
    <w:rsid w:val="00FC4EFB"/>
    <w:rsid w:val="00FE2D1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4256"/>
  <w15:docId w15:val="{39B11EBA-0FEE-43FC-B2F3-EE5A5C62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6E"/>
    <w:pPr>
      <w:spacing w:after="120"/>
    </w:pPr>
    <w:rPr>
      <w:rFonts w:asciiTheme="minorHAnsi" w:eastAsiaTheme="minorEastAsia" w:hAnsiTheme="minorHAnsi" w:cstheme="minorBidi"/>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styleId="Title">
    <w:name w:val="Title"/>
    <w:basedOn w:val="Normal"/>
    <w:link w:val="TitleChar"/>
    <w:uiPriority w:val="99"/>
    <w:qFormat/>
    <w:rsid w:val="004F3D4D"/>
    <w:pPr>
      <w:jc w:val="center"/>
    </w:pPr>
    <w:rPr>
      <w:b/>
      <w:bCs/>
    </w:rPr>
  </w:style>
  <w:style w:type="character" w:customStyle="1" w:styleId="TitleChar">
    <w:name w:val="Title Char"/>
    <w:basedOn w:val="DefaultParagraphFont"/>
    <w:link w:val="Title"/>
    <w:uiPriority w:val="99"/>
    <w:rsid w:val="004F3D4D"/>
    <w:rPr>
      <w:rFonts w:ascii="Times New Roman" w:eastAsia="Times New Roman" w:hAnsi="Times New Roman" w:cs="Times New Roman"/>
      <w:b/>
      <w:bCs/>
      <w:sz w:val="24"/>
    </w:rPr>
  </w:style>
  <w:style w:type="character" w:styleId="Hyperlink">
    <w:name w:val="Hyperlink"/>
    <w:rsid w:val="00D741BD"/>
    <w:rPr>
      <w:rFonts w:asciiTheme="minorHAnsi" w:hAnsiTheme="minorHAnsi"/>
      <w:color w:val="580F8B"/>
      <w:sz w:val="16"/>
      <w:u w:val="single" w:color="5D3972" w:themeColor="accent2"/>
    </w:rPr>
  </w:style>
  <w:style w:type="paragraph" w:styleId="ListBullet">
    <w:name w:val="List Bullet"/>
    <w:basedOn w:val="ListParagraph"/>
    <w:uiPriority w:val="99"/>
    <w:unhideWhenUsed/>
    <w:qFormat/>
    <w:rsid w:val="0003475E"/>
    <w:pPr>
      <w:ind w:left="0"/>
    </w:pPr>
    <w:rPr>
      <w:rFonts w:eastAsia="Times New Roman"/>
      <w:sz w:val="20"/>
      <w:szCs w:val="20"/>
    </w:rPr>
  </w:style>
  <w:style w:type="paragraph" w:styleId="ListBullet2">
    <w:name w:val="List Bullet 2"/>
    <w:basedOn w:val="ListParagraph"/>
    <w:uiPriority w:val="99"/>
    <w:unhideWhenUsed/>
    <w:qFormat/>
    <w:rsid w:val="0003475E"/>
    <w:pPr>
      <w:numPr>
        <w:numId w:val="2"/>
      </w:numPr>
      <w:ind w:left="714" w:hanging="357"/>
    </w:pPr>
    <w:rPr>
      <w:rFonts w:eastAsia="Times New Roman"/>
      <w:sz w:val="20"/>
      <w:szCs w:val="20"/>
    </w:rPr>
  </w:style>
  <w:style w:type="paragraph" w:styleId="ListBullet3">
    <w:name w:val="List Bullet 3"/>
    <w:basedOn w:val="ListParagraph"/>
    <w:uiPriority w:val="99"/>
    <w:unhideWhenUsed/>
    <w:qFormat/>
    <w:rsid w:val="0003475E"/>
    <w:pPr>
      <w:numPr>
        <w:numId w:val="3"/>
      </w:numPr>
      <w:ind w:left="1071" w:hanging="357"/>
    </w:pPr>
    <w:rPr>
      <w:rFonts w:eastAsia="Times New Roman"/>
      <w:sz w:val="20"/>
      <w:szCs w:val="20"/>
    </w:rPr>
  </w:style>
  <w:style w:type="paragraph" w:styleId="ListBullet4">
    <w:name w:val="List Bullet 4"/>
    <w:basedOn w:val="ListParagraph"/>
    <w:uiPriority w:val="99"/>
    <w:unhideWhenUsed/>
    <w:qFormat/>
    <w:rsid w:val="0003475E"/>
    <w:pPr>
      <w:numPr>
        <w:numId w:val="4"/>
      </w:numPr>
      <w:ind w:left="1429" w:hanging="357"/>
    </w:pPr>
    <w:rPr>
      <w:rFonts w:eastAsia="Times New Roman"/>
      <w:sz w:val="20"/>
      <w:szCs w:val="20"/>
    </w:rPr>
  </w:style>
  <w:style w:type="paragraph" w:styleId="ListContinue3">
    <w:name w:val="List Continue 3"/>
    <w:basedOn w:val="Normal"/>
    <w:uiPriority w:val="99"/>
    <w:unhideWhenUsed/>
    <w:rsid w:val="004D064C"/>
    <w:pPr>
      <w:ind w:left="849"/>
      <w:contextualSpacing/>
    </w:pPr>
  </w:style>
  <w:style w:type="paragraph" w:customStyle="1" w:styleId="Tablebullets1">
    <w:name w:val="Table bullets 1"/>
    <w:qFormat/>
    <w:rsid w:val="002E5A38"/>
    <w:pPr>
      <w:numPr>
        <w:numId w:val="5"/>
      </w:numPr>
      <w:spacing w:after="0" w:line="240" w:lineRule="auto"/>
    </w:pPr>
    <w:rPr>
      <w:rFonts w:ascii="Calibri" w:eastAsiaTheme="minorEastAsia" w:hAnsi="Calibri" w:cstheme="minorBidi"/>
      <w:sz w:val="20"/>
      <w:szCs w:val="20"/>
      <w:lang w:val="en-AU"/>
    </w:rPr>
  </w:style>
  <w:style w:type="paragraph" w:customStyle="1" w:styleId="Tableheadings">
    <w:name w:val="Table headings"/>
    <w:qFormat/>
    <w:rsid w:val="002E5A38"/>
    <w:pPr>
      <w:spacing w:before="120" w:after="0" w:line="240" w:lineRule="auto"/>
    </w:pPr>
    <w:rPr>
      <w:rFonts w:ascii="Calibri" w:eastAsiaTheme="minorEastAsia" w:hAnsi="Calibri" w:cstheme="minorBidi"/>
      <w:b/>
      <w:sz w:val="20"/>
      <w:szCs w:val="20"/>
      <w:lang w:val="en-AU"/>
    </w:rPr>
  </w:style>
  <w:style w:type="paragraph" w:customStyle="1" w:styleId="Paragraph">
    <w:name w:val="Paragraph"/>
    <w:basedOn w:val="Normal"/>
    <w:link w:val="ParagraphChar"/>
    <w:qFormat/>
    <w:rsid w:val="002E5A38"/>
    <w:pPr>
      <w:spacing w:before="120"/>
    </w:pPr>
    <w:rPr>
      <w:rFonts w:ascii="Calibri" w:hAnsi="Calibri" w:cs="Calibri"/>
      <w:lang w:val="en-AU" w:eastAsia="en-AU"/>
    </w:rPr>
  </w:style>
  <w:style w:type="character" w:customStyle="1" w:styleId="ParagraphChar">
    <w:name w:val="Paragraph Char"/>
    <w:basedOn w:val="DefaultParagraphFont"/>
    <w:link w:val="Paragraph"/>
    <w:locked/>
    <w:rsid w:val="002E5A38"/>
    <w:rPr>
      <w:rFonts w:ascii="Calibri" w:hAnsi="Calibri" w:cs="Calibri"/>
      <w:lang w:val="en-AU" w:eastAsia="en-AU"/>
    </w:rPr>
  </w:style>
  <w:style w:type="paragraph" w:customStyle="1" w:styleId="Footereven">
    <w:name w:val="Footer even"/>
    <w:basedOn w:val="Normal"/>
    <w:qFormat/>
    <w:rsid w:val="004B605B"/>
    <w:pPr>
      <w:pBdr>
        <w:top w:val="single" w:sz="4" w:space="4" w:color="580F8B"/>
      </w:pBdr>
    </w:pPr>
    <w:rPr>
      <w:rFonts w:cs="Times New Roman"/>
      <w:b/>
      <w:noProof/>
      <w:color w:val="580F8B"/>
      <w:sz w:val="18"/>
      <w:szCs w:val="18"/>
      <w:lang w:val="en-AU" w:eastAsia="en-AU"/>
    </w:rPr>
  </w:style>
  <w:style w:type="paragraph" w:customStyle="1" w:styleId="Footerodd">
    <w:name w:val="Footer odd"/>
    <w:basedOn w:val="Normal"/>
    <w:qFormat/>
    <w:rsid w:val="004B605B"/>
    <w:pPr>
      <w:pBdr>
        <w:top w:val="single" w:sz="4" w:space="4" w:color="580F8B"/>
      </w:pBdr>
      <w:jc w:val="right"/>
    </w:pPr>
    <w:rPr>
      <w:rFonts w:cs="Times New Roman"/>
      <w:b/>
      <w:noProof/>
      <w:color w:val="580F8B"/>
      <w:sz w:val="18"/>
      <w:szCs w:val="18"/>
      <w:lang w:val="en-AU" w:eastAsia="en-AU"/>
    </w:rPr>
  </w:style>
  <w:style w:type="paragraph" w:customStyle="1" w:styleId="Headereven">
    <w:name w:val="Header even"/>
    <w:basedOn w:val="Normal"/>
    <w:qFormat/>
    <w:rsid w:val="004B605B"/>
    <w:pPr>
      <w:pBdr>
        <w:bottom w:val="single" w:sz="8" w:space="1" w:color="580F8B"/>
      </w:pBdr>
      <w:ind w:left="-1134" w:right="9356"/>
      <w:jc w:val="right"/>
    </w:pPr>
    <w:rPr>
      <w:rFonts w:cs="Times New Roman"/>
      <w:b/>
      <w:color w:val="580F8B"/>
      <w:sz w:val="36"/>
      <w:lang w:val="en-AU" w:eastAsia="en-AU"/>
    </w:rPr>
  </w:style>
  <w:style w:type="paragraph" w:customStyle="1" w:styleId="Headerodd">
    <w:name w:val="Header odd"/>
    <w:basedOn w:val="Normal"/>
    <w:qFormat/>
    <w:rsid w:val="004B605B"/>
    <w:pPr>
      <w:pBdr>
        <w:bottom w:val="single" w:sz="8" w:space="1" w:color="580F8B"/>
      </w:pBdr>
      <w:ind w:left="9356" w:right="-1134"/>
    </w:pPr>
    <w:rPr>
      <w:rFonts w:cs="Times New Roman"/>
      <w:b/>
      <w:noProof/>
      <w:color w:val="580F8B"/>
      <w:sz w:val="36"/>
      <w:szCs w:val="24"/>
      <w:lang w:val="en-AU" w:eastAsia="en-AU"/>
    </w:rPr>
  </w:style>
  <w:style w:type="numbering" w:customStyle="1" w:styleId="SCSABulletList">
    <w:name w:val="SCSA Bullet List"/>
    <w:uiPriority w:val="99"/>
    <w:rsid w:val="004B605B"/>
    <w:pPr>
      <w:numPr>
        <w:numId w:val="6"/>
      </w:numPr>
    </w:pPr>
  </w:style>
  <w:style w:type="paragraph" w:customStyle="1" w:styleId="SCSAHeading1">
    <w:name w:val="SCSA Heading 1"/>
    <w:basedOn w:val="Heading1"/>
    <w:qFormat/>
    <w:rsid w:val="004B605B"/>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4B605B"/>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4B605B"/>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4B605B"/>
    <w:pPr>
      <w:keepNext/>
      <w:spacing w:before="3500"/>
      <w:jc w:val="center"/>
    </w:pPr>
    <w:rPr>
      <w:rFonts w:cs="Times New Roman"/>
      <w:b/>
      <w:smallCaps/>
      <w:color w:val="580F8B"/>
      <w:sz w:val="40"/>
      <w:szCs w:val="52"/>
      <w:lang w:val="en-AU" w:eastAsia="en-AU"/>
    </w:rPr>
  </w:style>
  <w:style w:type="paragraph" w:customStyle="1" w:styleId="SCSATitle2">
    <w:name w:val="SCSA Title 2"/>
    <w:basedOn w:val="Normal"/>
    <w:qFormat/>
    <w:rsid w:val="004B605B"/>
    <w:pPr>
      <w:keepNext/>
      <w:pBdr>
        <w:top w:val="single" w:sz="8" w:space="3" w:color="580F8B"/>
      </w:pBdr>
      <w:ind w:left="1701" w:right="1701"/>
      <w:jc w:val="center"/>
    </w:pPr>
    <w:rPr>
      <w:rFonts w:cs="Times New Roman"/>
      <w:b/>
      <w:smallCaps/>
      <w:color w:val="580F8B"/>
      <w:sz w:val="32"/>
      <w:szCs w:val="28"/>
      <w:lang w:val="en-AU" w:eastAsia="x-none"/>
    </w:rPr>
  </w:style>
  <w:style w:type="paragraph" w:customStyle="1" w:styleId="SCSATitle3">
    <w:name w:val="SCSA Title 3"/>
    <w:basedOn w:val="Normal"/>
    <w:qFormat/>
    <w:rsid w:val="004B605B"/>
    <w:pPr>
      <w:keepNext/>
      <w:pBdr>
        <w:bottom w:val="single" w:sz="8" w:space="3" w:color="580F8B"/>
      </w:pBdr>
      <w:ind w:left="1701" w:right="1701"/>
      <w:jc w:val="center"/>
    </w:pPr>
    <w:rPr>
      <w:rFonts w:cs="Times New Roman"/>
      <w:b/>
      <w:smallCaps/>
      <w:color w:val="580F8B"/>
      <w:sz w:val="32"/>
      <w:szCs w:val="28"/>
      <w:lang w:val="en-AU" w:eastAsia="x-none"/>
    </w:rPr>
  </w:style>
  <w:style w:type="paragraph" w:customStyle="1" w:styleId="SCSATitle4">
    <w:name w:val="SCSA Title 4"/>
    <w:basedOn w:val="SCSATitle3"/>
    <w:qFormat/>
    <w:rsid w:val="004B605B"/>
    <w:pPr>
      <w:pBdr>
        <w:top w:val="single" w:sz="8" w:space="3" w:color="4F6228"/>
        <w:bottom w:val="single" w:sz="8" w:space="3" w:color="4F6228"/>
      </w:pBdr>
      <w:outlineLvl w:val="0"/>
    </w:pPr>
    <w:rPr>
      <w:smallCaps w:val="0"/>
      <w:color w:val="5F497A"/>
      <w:lang w:val="en-GB"/>
    </w:rPr>
  </w:style>
  <w:style w:type="paragraph" w:styleId="Revision">
    <w:name w:val="Revision"/>
    <w:hidden/>
    <w:uiPriority w:val="99"/>
    <w:semiHidden/>
    <w:rsid w:val="00921373"/>
    <w:pPr>
      <w:spacing w:after="0" w:line="240" w:lineRule="auto"/>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002411"/>
    <w:rPr>
      <w:sz w:val="16"/>
      <w:szCs w:val="16"/>
    </w:rPr>
  </w:style>
  <w:style w:type="paragraph" w:styleId="CommentText">
    <w:name w:val="annotation text"/>
    <w:basedOn w:val="Normal"/>
    <w:link w:val="CommentTextChar"/>
    <w:uiPriority w:val="99"/>
    <w:unhideWhenUsed/>
    <w:rsid w:val="00002411"/>
    <w:pPr>
      <w:spacing w:line="240" w:lineRule="auto"/>
    </w:pPr>
    <w:rPr>
      <w:sz w:val="20"/>
      <w:szCs w:val="20"/>
    </w:rPr>
  </w:style>
  <w:style w:type="character" w:customStyle="1" w:styleId="CommentTextChar">
    <w:name w:val="Comment Text Char"/>
    <w:basedOn w:val="DefaultParagraphFont"/>
    <w:link w:val="CommentText"/>
    <w:uiPriority w:val="99"/>
    <w:rsid w:val="00002411"/>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02411"/>
    <w:rPr>
      <w:b/>
      <w:bCs/>
    </w:rPr>
  </w:style>
  <w:style w:type="character" w:customStyle="1" w:styleId="CommentSubjectChar">
    <w:name w:val="Comment Subject Char"/>
    <w:basedOn w:val="CommentTextChar"/>
    <w:link w:val="CommentSubject"/>
    <w:uiPriority w:val="99"/>
    <w:semiHidden/>
    <w:rsid w:val="00002411"/>
    <w:rPr>
      <w:rFonts w:asciiTheme="minorHAnsi" w:eastAsiaTheme="minorEastAsia" w:hAnsiTheme="minorHAnsi" w:cstheme="minorBidi"/>
      <w:b/>
      <w:bCs/>
      <w:sz w:val="20"/>
      <w:szCs w:val="20"/>
    </w:rPr>
  </w:style>
  <w:style w:type="character" w:styleId="FollowedHyperlink">
    <w:name w:val="FollowedHyperlink"/>
    <w:basedOn w:val="DefaultParagraphFont"/>
    <w:uiPriority w:val="99"/>
    <w:semiHidden/>
    <w:unhideWhenUsed/>
    <w:rsid w:val="004B206E"/>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A32B-5DBD-466C-8A6B-3D0DC2CD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Sarah Morris-Batt</cp:lastModifiedBy>
  <cp:revision>13</cp:revision>
  <cp:lastPrinted>2015-05-01T07:33:00Z</cp:lastPrinted>
  <dcterms:created xsi:type="dcterms:W3CDTF">2024-09-11T03:34:00Z</dcterms:created>
  <dcterms:modified xsi:type="dcterms:W3CDTF">2025-04-02T07:16:00Z</dcterms:modified>
</cp:coreProperties>
</file>