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A119" w14:textId="45A34C5A" w:rsidR="00C70C91" w:rsidRPr="00F91574" w:rsidRDefault="00A640FD" w:rsidP="001C62C9">
      <w:pPr>
        <w:pStyle w:val="SCSATitle1"/>
      </w:pPr>
      <w:r w:rsidRPr="00F91574">
        <w:rPr>
          <w:noProof/>
        </w:rPr>
        <w:drawing>
          <wp:anchor distT="0" distB="0" distL="114300" distR="114300" simplePos="0" relativeHeight="251656192" behindDoc="1" locked="0" layoutInCell="1" allowOverlap="1" wp14:anchorId="24B4EC8B" wp14:editId="161A4AF0">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C4221" w:rsidRPr="00F91574">
        <w:t>Politics and Law</w:t>
      </w:r>
    </w:p>
    <w:p w14:paraId="21DE03CA" w14:textId="77777777" w:rsidR="00AA2B0D" w:rsidRPr="00F91574" w:rsidRDefault="00E31D54" w:rsidP="001C62C9">
      <w:pPr>
        <w:pStyle w:val="SCSATitle2"/>
      </w:pPr>
      <w:r w:rsidRPr="00F91574">
        <w:t>A</w:t>
      </w:r>
      <w:r w:rsidR="00AA2B0D" w:rsidRPr="00F91574">
        <w:t>TAR course</w:t>
      </w:r>
    </w:p>
    <w:p w14:paraId="5D442FB4" w14:textId="2AE06448" w:rsidR="00AA2B0D" w:rsidRPr="00F91574" w:rsidRDefault="001C62C9" w:rsidP="001C62C9">
      <w:pPr>
        <w:pStyle w:val="SCSATitle3"/>
      </w:pPr>
      <w:r w:rsidRPr="00F91574">
        <w:t>Year 11 syllabus for teaching from 2026</w:t>
      </w:r>
    </w:p>
    <w:p w14:paraId="1BE6E5A2" w14:textId="77777777" w:rsidR="002C05E5" w:rsidRPr="00F91574" w:rsidRDefault="002C05E5">
      <w:r w:rsidRPr="00F91574">
        <w:br w:type="page"/>
      </w:r>
    </w:p>
    <w:p w14:paraId="0BD074D0" w14:textId="77777777" w:rsidR="001C62C9" w:rsidRPr="00F91574" w:rsidRDefault="001C62C9" w:rsidP="0028345C">
      <w:pPr>
        <w:rPr>
          <w:b/>
          <w:bCs/>
          <w:lang w:eastAsia="zh-CN"/>
        </w:rPr>
      </w:pPr>
      <w:r w:rsidRPr="00F91574">
        <w:rPr>
          <w:b/>
          <w:bCs/>
          <w:lang w:eastAsia="zh-CN"/>
        </w:rPr>
        <w:lastRenderedPageBreak/>
        <w:t>Acknowledgement of Country</w:t>
      </w:r>
    </w:p>
    <w:p w14:paraId="571DF45A" w14:textId="77777777" w:rsidR="001C62C9" w:rsidRPr="00F91574" w:rsidRDefault="001C62C9" w:rsidP="00F065EB">
      <w:pPr>
        <w:spacing w:after="5400"/>
        <w:rPr>
          <w:lang w:eastAsia="zh-CN"/>
        </w:rPr>
      </w:pPr>
      <w:r w:rsidRPr="00F91574">
        <w:rPr>
          <w:lang w:eastAsia="zh-CN"/>
        </w:rPr>
        <w:t xml:space="preserve">Kaya. The School Curriculum and Standards Authority (the Authority) acknowledges that our offices are on Whadjuk Noongar </w:t>
      </w:r>
      <w:proofErr w:type="spellStart"/>
      <w:r w:rsidRPr="00F91574">
        <w:rPr>
          <w:lang w:eastAsia="zh-CN"/>
        </w:rPr>
        <w:t>boodjar</w:t>
      </w:r>
      <w:proofErr w:type="spellEnd"/>
      <w:r w:rsidRPr="00F91574">
        <w:rPr>
          <w:lang w:eastAsia="zh-CN"/>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33401A7" w14:textId="77777777" w:rsidR="001C62C9" w:rsidRPr="00F91574" w:rsidRDefault="001C62C9" w:rsidP="00F065EB">
      <w:pPr>
        <w:rPr>
          <w:b/>
          <w:bCs/>
          <w:sz w:val="20"/>
          <w:szCs w:val="20"/>
        </w:rPr>
      </w:pPr>
      <w:r w:rsidRPr="00F91574">
        <w:rPr>
          <w:b/>
          <w:bCs/>
          <w:sz w:val="20"/>
          <w:szCs w:val="20"/>
        </w:rPr>
        <w:t>Important information</w:t>
      </w:r>
    </w:p>
    <w:p w14:paraId="6D303F27" w14:textId="77777777" w:rsidR="001C62C9" w:rsidRPr="00F91574" w:rsidRDefault="001C62C9" w:rsidP="00F065EB">
      <w:pPr>
        <w:rPr>
          <w:sz w:val="20"/>
          <w:szCs w:val="20"/>
        </w:rPr>
      </w:pPr>
      <w:r w:rsidRPr="00F91574">
        <w:rPr>
          <w:sz w:val="20"/>
          <w:szCs w:val="20"/>
        </w:rPr>
        <w:t xml:space="preserve">As part of the Western Australian Certificate of Education (WACE) Refreshment, the School Curriculum and Standards Authority (the Authority) has revised the course rationale and </w:t>
      </w:r>
      <w:proofErr w:type="gramStart"/>
      <w:r w:rsidRPr="00F91574">
        <w:rPr>
          <w:sz w:val="20"/>
          <w:szCs w:val="20"/>
        </w:rPr>
        <w:t>aims, and</w:t>
      </w:r>
      <w:proofErr w:type="gramEnd"/>
      <w:r w:rsidRPr="00F91574">
        <w:rPr>
          <w:sz w:val="20"/>
          <w:szCs w:val="20"/>
        </w:rPr>
        <w:t xml:space="preserve"> updated the General Capabilities to create clearer connections with the syllabus content.</w:t>
      </w:r>
    </w:p>
    <w:p w14:paraId="6EF3B30D" w14:textId="77777777" w:rsidR="001C62C9" w:rsidRPr="00F91574" w:rsidRDefault="001C62C9" w:rsidP="00F065EB">
      <w:pPr>
        <w:rPr>
          <w:sz w:val="20"/>
          <w:szCs w:val="20"/>
        </w:rPr>
      </w:pPr>
      <w:r w:rsidRPr="00F91574">
        <w:rPr>
          <w:sz w:val="20"/>
          <w:szCs w:val="20"/>
        </w:rPr>
        <w:t>This syllabus is effective from 1 January 2026.</w:t>
      </w:r>
    </w:p>
    <w:p w14:paraId="1628EB8B" w14:textId="77777777" w:rsidR="001C62C9" w:rsidRPr="00F91574" w:rsidRDefault="001C62C9" w:rsidP="00F065EB">
      <w:pPr>
        <w:rPr>
          <w:sz w:val="20"/>
          <w:szCs w:val="20"/>
        </w:rPr>
      </w:pPr>
      <w:r w:rsidRPr="00F91574">
        <w:rPr>
          <w:sz w:val="20"/>
          <w:szCs w:val="20"/>
        </w:rPr>
        <w:t>Users of this syllabus are responsible for checking its currency.</w:t>
      </w:r>
    </w:p>
    <w:p w14:paraId="3AE0E3AD" w14:textId="77777777" w:rsidR="001C62C9" w:rsidRPr="00F91574" w:rsidRDefault="001C62C9" w:rsidP="00F065EB">
      <w:pPr>
        <w:rPr>
          <w:rFonts w:eastAsia="Times New Roman"/>
          <w:sz w:val="20"/>
          <w:szCs w:val="20"/>
        </w:rPr>
      </w:pPr>
      <w:r w:rsidRPr="00F91574">
        <w:rPr>
          <w:sz w:val="20"/>
          <w:szCs w:val="20"/>
        </w:rPr>
        <w:t>Syllabuses are formally reviewed by the Authority on a cyclical basis, typically every five years.</w:t>
      </w:r>
    </w:p>
    <w:p w14:paraId="78511E39" w14:textId="77777777" w:rsidR="00E61184" w:rsidRPr="00F91574" w:rsidRDefault="00E61184" w:rsidP="00E61184">
      <w:pPr>
        <w:jc w:val="both"/>
        <w:rPr>
          <w:b/>
          <w:sz w:val="20"/>
          <w:szCs w:val="20"/>
        </w:rPr>
      </w:pPr>
      <w:r w:rsidRPr="00F91574">
        <w:rPr>
          <w:b/>
          <w:sz w:val="20"/>
          <w:szCs w:val="20"/>
        </w:rPr>
        <w:t>Copyright</w:t>
      </w:r>
    </w:p>
    <w:p w14:paraId="5B016119" w14:textId="2AB7E964" w:rsidR="00E61184" w:rsidRPr="00F91574" w:rsidRDefault="00E61184" w:rsidP="00E61184">
      <w:pPr>
        <w:jc w:val="both"/>
        <w:rPr>
          <w:rFonts w:cstheme="minorHAnsi"/>
          <w:sz w:val="20"/>
          <w:szCs w:val="20"/>
        </w:rPr>
      </w:pPr>
      <w:r w:rsidRPr="00F91574">
        <w:rPr>
          <w:rFonts w:cstheme="minorHAnsi"/>
          <w:sz w:val="20"/>
          <w:szCs w:val="20"/>
        </w:rPr>
        <w:t>© School Curriculum and Standards Authority, 202</w:t>
      </w:r>
      <w:r w:rsidR="00DF7F1D">
        <w:rPr>
          <w:rFonts w:cstheme="minorHAnsi"/>
          <w:sz w:val="20"/>
          <w:szCs w:val="20"/>
        </w:rPr>
        <w:t>5</w:t>
      </w:r>
    </w:p>
    <w:p w14:paraId="5EF6E79A" w14:textId="77777777" w:rsidR="00E61184" w:rsidRPr="00F91574" w:rsidRDefault="00E61184" w:rsidP="00E61184">
      <w:pPr>
        <w:rPr>
          <w:rFonts w:cstheme="minorHAnsi"/>
          <w:sz w:val="20"/>
          <w:szCs w:val="20"/>
        </w:rPr>
      </w:pPr>
      <w:r w:rsidRPr="00F91574">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11FF1E3" w14:textId="77777777" w:rsidR="00E61184" w:rsidRPr="00F91574" w:rsidRDefault="00E61184" w:rsidP="00E61184">
      <w:pPr>
        <w:rPr>
          <w:rFonts w:cstheme="minorHAnsi"/>
          <w:sz w:val="20"/>
          <w:szCs w:val="20"/>
        </w:rPr>
      </w:pPr>
      <w:r w:rsidRPr="00F91574">
        <w:rPr>
          <w:rFonts w:cstheme="minorHAnsi"/>
          <w:sz w:val="20"/>
          <w:szCs w:val="20"/>
        </w:rPr>
        <w:t>Copying or communication for any other purpose can be done only within the terms of the</w:t>
      </w:r>
      <w:r w:rsidRPr="00F91574">
        <w:rPr>
          <w:rFonts w:cstheme="minorHAnsi"/>
          <w:i/>
          <w:iCs/>
          <w:sz w:val="20"/>
          <w:szCs w:val="20"/>
        </w:rPr>
        <w:t xml:space="preserve"> Copyright Act 1968</w:t>
      </w:r>
      <w:r w:rsidRPr="00F91574">
        <w:rPr>
          <w:rFonts w:cstheme="minorHAnsi"/>
          <w:sz w:val="20"/>
          <w:szCs w:val="20"/>
        </w:rPr>
        <w:t xml:space="preserve"> or with prior written permission of the Authority. Copying or communication of any third-party copyright material can be done only within the terms of the </w:t>
      </w:r>
      <w:r w:rsidRPr="00F91574">
        <w:rPr>
          <w:rFonts w:cstheme="minorHAnsi"/>
          <w:i/>
          <w:iCs/>
          <w:sz w:val="20"/>
          <w:szCs w:val="20"/>
        </w:rPr>
        <w:t>Copyright Act 1968</w:t>
      </w:r>
      <w:r w:rsidRPr="00F91574">
        <w:rPr>
          <w:rFonts w:cstheme="minorHAnsi"/>
          <w:sz w:val="20"/>
          <w:szCs w:val="20"/>
        </w:rPr>
        <w:t xml:space="preserve"> or with permission of the copyright owners.</w:t>
      </w:r>
    </w:p>
    <w:p w14:paraId="734717B5" w14:textId="3CF0B55D" w:rsidR="00E11A51" w:rsidRDefault="00E61184">
      <w:pPr>
        <w:rPr>
          <w:rFonts w:cstheme="minorHAnsi"/>
          <w:sz w:val="20"/>
          <w:szCs w:val="20"/>
        </w:rPr>
      </w:pPr>
      <w:r w:rsidRPr="00F91574">
        <w:rPr>
          <w:rFonts w:cstheme="minorHAnsi"/>
          <w:sz w:val="20"/>
          <w:szCs w:val="20"/>
        </w:rPr>
        <w:t xml:space="preserve">Any content in this document that has been derived from the Australian Curriculum may be used under the terms of the </w:t>
      </w:r>
      <w:hyperlink r:id="rId9" w:tgtFrame="_blank" w:history="1">
        <w:r w:rsidRPr="00F91574">
          <w:rPr>
            <w:rFonts w:cstheme="minorHAnsi"/>
            <w:color w:val="580F8B"/>
            <w:sz w:val="20"/>
            <w:szCs w:val="20"/>
            <w:u w:val="single"/>
          </w:rPr>
          <w:t>Creative Commons Attribution 4.0 International licence</w:t>
        </w:r>
      </w:hyperlink>
      <w:r w:rsidRPr="00F91574">
        <w:rPr>
          <w:rFonts w:cstheme="minorHAnsi"/>
          <w:sz w:val="20"/>
          <w:szCs w:val="20"/>
        </w:rPr>
        <w:t>.</w:t>
      </w:r>
    </w:p>
    <w:p w14:paraId="07DD7A91" w14:textId="77777777" w:rsidR="00E11A51" w:rsidRPr="00F91574" w:rsidRDefault="00E11A51" w:rsidP="00E61184">
      <w:pPr>
        <w:rPr>
          <w:rFonts w:cstheme="minorHAnsi"/>
          <w:sz w:val="20"/>
          <w:szCs w:val="20"/>
        </w:rPr>
        <w:sectPr w:rsidR="00E11A51" w:rsidRPr="00F91574" w:rsidSect="00E11A51">
          <w:footerReference w:type="even" r:id="rId10"/>
          <w:pgSz w:w="11906" w:h="16838"/>
          <w:pgMar w:top="1644" w:right="1418" w:bottom="1276" w:left="1418" w:header="680" w:footer="567" w:gutter="0"/>
          <w:pgNumType w:fmt="lowerRoman" w:start="1"/>
          <w:cols w:space="708"/>
          <w:titlePg/>
          <w:docGrid w:linePitch="360"/>
        </w:sectPr>
      </w:pPr>
    </w:p>
    <w:p w14:paraId="096566A8" w14:textId="796A8800" w:rsidR="00AA2B0D" w:rsidRPr="00F91574" w:rsidRDefault="00AA2B0D" w:rsidP="001C62C9">
      <w:pPr>
        <w:pStyle w:val="SCSATOCHeading"/>
      </w:pPr>
      <w:r w:rsidRPr="00F91574">
        <w:lastRenderedPageBreak/>
        <w:t>Content</w:t>
      </w:r>
      <w:r w:rsidR="00E11A51">
        <w:t>s</w:t>
      </w:r>
    </w:p>
    <w:p w14:paraId="28633ECD" w14:textId="5E3F8D22" w:rsidR="00741F64" w:rsidRDefault="00C81A96">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985303" w:history="1">
        <w:r w:rsidR="00741F64" w:rsidRPr="00D56557">
          <w:rPr>
            <w:rStyle w:val="Hyperlink"/>
            <w:noProof/>
          </w:rPr>
          <w:t>Rationale</w:t>
        </w:r>
        <w:r w:rsidR="00741F64">
          <w:rPr>
            <w:noProof/>
            <w:webHidden/>
          </w:rPr>
          <w:tab/>
        </w:r>
        <w:r w:rsidR="00741F64">
          <w:rPr>
            <w:noProof/>
            <w:webHidden/>
          </w:rPr>
          <w:fldChar w:fldCharType="begin"/>
        </w:r>
        <w:r w:rsidR="00741F64">
          <w:rPr>
            <w:noProof/>
            <w:webHidden/>
          </w:rPr>
          <w:instrText xml:space="preserve"> PAGEREF _Toc219985303 \h </w:instrText>
        </w:r>
        <w:r w:rsidR="00741F64">
          <w:rPr>
            <w:noProof/>
            <w:webHidden/>
          </w:rPr>
        </w:r>
        <w:r w:rsidR="00741F64">
          <w:rPr>
            <w:noProof/>
            <w:webHidden/>
          </w:rPr>
          <w:fldChar w:fldCharType="separate"/>
        </w:r>
        <w:r w:rsidR="00741F64">
          <w:rPr>
            <w:noProof/>
            <w:webHidden/>
          </w:rPr>
          <w:t>1</w:t>
        </w:r>
        <w:r w:rsidR="00741F64">
          <w:rPr>
            <w:noProof/>
            <w:webHidden/>
          </w:rPr>
          <w:fldChar w:fldCharType="end"/>
        </w:r>
      </w:hyperlink>
    </w:p>
    <w:p w14:paraId="026D0090" w14:textId="3D85CECB" w:rsidR="00741F64" w:rsidRDefault="00741F64">
      <w:pPr>
        <w:pStyle w:val="TOC1"/>
        <w:rPr>
          <w:b w:val="0"/>
          <w:bCs w:val="0"/>
          <w:noProof/>
          <w:sz w:val="24"/>
          <w:szCs w:val="21"/>
          <w:lang w:eastAsia="zh-CN" w:bidi="hi-IN"/>
        </w:rPr>
      </w:pPr>
      <w:hyperlink w:anchor="_Toc219985304" w:history="1">
        <w:r w:rsidRPr="00D56557">
          <w:rPr>
            <w:rStyle w:val="Hyperlink"/>
            <w:noProof/>
          </w:rPr>
          <w:t>Aims</w:t>
        </w:r>
        <w:r>
          <w:rPr>
            <w:noProof/>
            <w:webHidden/>
          </w:rPr>
          <w:tab/>
        </w:r>
        <w:r>
          <w:rPr>
            <w:noProof/>
            <w:webHidden/>
          </w:rPr>
          <w:fldChar w:fldCharType="begin"/>
        </w:r>
        <w:r>
          <w:rPr>
            <w:noProof/>
            <w:webHidden/>
          </w:rPr>
          <w:instrText xml:space="preserve"> PAGEREF _Toc219985304 \h </w:instrText>
        </w:r>
        <w:r>
          <w:rPr>
            <w:noProof/>
            <w:webHidden/>
          </w:rPr>
        </w:r>
        <w:r>
          <w:rPr>
            <w:noProof/>
            <w:webHidden/>
          </w:rPr>
          <w:fldChar w:fldCharType="separate"/>
        </w:r>
        <w:r>
          <w:rPr>
            <w:noProof/>
            <w:webHidden/>
          </w:rPr>
          <w:t>2</w:t>
        </w:r>
        <w:r>
          <w:rPr>
            <w:noProof/>
            <w:webHidden/>
          </w:rPr>
          <w:fldChar w:fldCharType="end"/>
        </w:r>
      </w:hyperlink>
    </w:p>
    <w:p w14:paraId="2ABB4FBB" w14:textId="2FB115FE" w:rsidR="00741F64" w:rsidRDefault="00741F64">
      <w:pPr>
        <w:pStyle w:val="TOC1"/>
        <w:rPr>
          <w:b w:val="0"/>
          <w:bCs w:val="0"/>
          <w:noProof/>
          <w:sz w:val="24"/>
          <w:szCs w:val="21"/>
          <w:lang w:eastAsia="zh-CN" w:bidi="hi-IN"/>
        </w:rPr>
      </w:pPr>
      <w:hyperlink w:anchor="_Toc219985305" w:history="1">
        <w:r w:rsidRPr="00D56557">
          <w:rPr>
            <w:rStyle w:val="Hyperlink"/>
            <w:noProof/>
          </w:rPr>
          <w:t>Organisation</w:t>
        </w:r>
        <w:r>
          <w:rPr>
            <w:noProof/>
            <w:webHidden/>
          </w:rPr>
          <w:tab/>
        </w:r>
        <w:r>
          <w:rPr>
            <w:noProof/>
            <w:webHidden/>
          </w:rPr>
          <w:fldChar w:fldCharType="begin"/>
        </w:r>
        <w:r>
          <w:rPr>
            <w:noProof/>
            <w:webHidden/>
          </w:rPr>
          <w:instrText xml:space="preserve"> PAGEREF _Toc219985305 \h </w:instrText>
        </w:r>
        <w:r>
          <w:rPr>
            <w:noProof/>
            <w:webHidden/>
          </w:rPr>
        </w:r>
        <w:r>
          <w:rPr>
            <w:noProof/>
            <w:webHidden/>
          </w:rPr>
          <w:fldChar w:fldCharType="separate"/>
        </w:r>
        <w:r>
          <w:rPr>
            <w:noProof/>
            <w:webHidden/>
          </w:rPr>
          <w:t>2</w:t>
        </w:r>
        <w:r>
          <w:rPr>
            <w:noProof/>
            <w:webHidden/>
          </w:rPr>
          <w:fldChar w:fldCharType="end"/>
        </w:r>
      </w:hyperlink>
    </w:p>
    <w:p w14:paraId="6EEE9459" w14:textId="63107DA3" w:rsidR="00741F64" w:rsidRDefault="00741F64">
      <w:pPr>
        <w:pStyle w:val="TOC2"/>
        <w:rPr>
          <w:noProof/>
          <w:sz w:val="24"/>
          <w:szCs w:val="21"/>
          <w:lang w:eastAsia="zh-CN" w:bidi="hi-IN"/>
        </w:rPr>
      </w:pPr>
      <w:hyperlink w:anchor="_Toc219985306" w:history="1">
        <w:r w:rsidRPr="00D56557">
          <w:rPr>
            <w:rStyle w:val="Hyperlink"/>
            <w:noProof/>
          </w:rPr>
          <w:t>Structure of the syllabus</w:t>
        </w:r>
        <w:r>
          <w:rPr>
            <w:noProof/>
            <w:webHidden/>
          </w:rPr>
          <w:tab/>
        </w:r>
        <w:r>
          <w:rPr>
            <w:noProof/>
            <w:webHidden/>
          </w:rPr>
          <w:fldChar w:fldCharType="begin"/>
        </w:r>
        <w:r>
          <w:rPr>
            <w:noProof/>
            <w:webHidden/>
          </w:rPr>
          <w:instrText xml:space="preserve"> PAGEREF _Toc219985306 \h </w:instrText>
        </w:r>
        <w:r>
          <w:rPr>
            <w:noProof/>
            <w:webHidden/>
          </w:rPr>
        </w:r>
        <w:r>
          <w:rPr>
            <w:noProof/>
            <w:webHidden/>
          </w:rPr>
          <w:fldChar w:fldCharType="separate"/>
        </w:r>
        <w:r>
          <w:rPr>
            <w:noProof/>
            <w:webHidden/>
          </w:rPr>
          <w:t>2</w:t>
        </w:r>
        <w:r>
          <w:rPr>
            <w:noProof/>
            <w:webHidden/>
          </w:rPr>
          <w:fldChar w:fldCharType="end"/>
        </w:r>
      </w:hyperlink>
    </w:p>
    <w:p w14:paraId="51BDFBE3" w14:textId="3CE51B21" w:rsidR="00741F64" w:rsidRDefault="00741F64">
      <w:pPr>
        <w:pStyle w:val="TOC2"/>
        <w:rPr>
          <w:noProof/>
          <w:sz w:val="24"/>
          <w:szCs w:val="21"/>
          <w:lang w:eastAsia="zh-CN" w:bidi="hi-IN"/>
        </w:rPr>
      </w:pPr>
      <w:hyperlink w:anchor="_Toc219985307" w:history="1">
        <w:r w:rsidRPr="00D56557">
          <w:rPr>
            <w:rStyle w:val="Hyperlink"/>
            <w:noProof/>
          </w:rPr>
          <w:t>Organisation of content</w:t>
        </w:r>
        <w:r>
          <w:rPr>
            <w:noProof/>
            <w:webHidden/>
          </w:rPr>
          <w:tab/>
        </w:r>
        <w:r>
          <w:rPr>
            <w:noProof/>
            <w:webHidden/>
          </w:rPr>
          <w:fldChar w:fldCharType="begin"/>
        </w:r>
        <w:r>
          <w:rPr>
            <w:noProof/>
            <w:webHidden/>
          </w:rPr>
          <w:instrText xml:space="preserve"> PAGEREF _Toc219985307 \h </w:instrText>
        </w:r>
        <w:r>
          <w:rPr>
            <w:noProof/>
            <w:webHidden/>
          </w:rPr>
        </w:r>
        <w:r>
          <w:rPr>
            <w:noProof/>
            <w:webHidden/>
          </w:rPr>
          <w:fldChar w:fldCharType="separate"/>
        </w:r>
        <w:r>
          <w:rPr>
            <w:noProof/>
            <w:webHidden/>
          </w:rPr>
          <w:t>2</w:t>
        </w:r>
        <w:r>
          <w:rPr>
            <w:noProof/>
            <w:webHidden/>
          </w:rPr>
          <w:fldChar w:fldCharType="end"/>
        </w:r>
      </w:hyperlink>
    </w:p>
    <w:p w14:paraId="0075207D" w14:textId="2F5FBFA3" w:rsidR="00741F64" w:rsidRDefault="00741F64">
      <w:pPr>
        <w:pStyle w:val="TOC2"/>
        <w:rPr>
          <w:noProof/>
          <w:sz w:val="24"/>
          <w:szCs w:val="21"/>
          <w:lang w:eastAsia="zh-CN" w:bidi="hi-IN"/>
        </w:rPr>
      </w:pPr>
      <w:hyperlink w:anchor="_Toc219985308" w:history="1">
        <w:r w:rsidRPr="00D56557">
          <w:rPr>
            <w:rStyle w:val="Hyperlink"/>
            <w:noProof/>
          </w:rPr>
          <w:t>Progression from the Years 7–10 curriculum</w:t>
        </w:r>
        <w:r>
          <w:rPr>
            <w:noProof/>
            <w:webHidden/>
          </w:rPr>
          <w:tab/>
        </w:r>
        <w:r>
          <w:rPr>
            <w:noProof/>
            <w:webHidden/>
          </w:rPr>
          <w:fldChar w:fldCharType="begin"/>
        </w:r>
        <w:r>
          <w:rPr>
            <w:noProof/>
            <w:webHidden/>
          </w:rPr>
          <w:instrText xml:space="preserve"> PAGEREF _Toc219985308 \h </w:instrText>
        </w:r>
        <w:r>
          <w:rPr>
            <w:noProof/>
            <w:webHidden/>
          </w:rPr>
        </w:r>
        <w:r>
          <w:rPr>
            <w:noProof/>
            <w:webHidden/>
          </w:rPr>
          <w:fldChar w:fldCharType="separate"/>
        </w:r>
        <w:r>
          <w:rPr>
            <w:noProof/>
            <w:webHidden/>
          </w:rPr>
          <w:t>3</w:t>
        </w:r>
        <w:r>
          <w:rPr>
            <w:noProof/>
            <w:webHidden/>
          </w:rPr>
          <w:fldChar w:fldCharType="end"/>
        </w:r>
      </w:hyperlink>
    </w:p>
    <w:p w14:paraId="286C19E7" w14:textId="6045CFEF" w:rsidR="00741F64" w:rsidRDefault="00741F64">
      <w:pPr>
        <w:pStyle w:val="TOC2"/>
        <w:rPr>
          <w:noProof/>
          <w:sz w:val="24"/>
          <w:szCs w:val="21"/>
          <w:lang w:eastAsia="zh-CN" w:bidi="hi-IN"/>
        </w:rPr>
      </w:pPr>
      <w:hyperlink w:anchor="_Toc219985309" w:history="1">
        <w:r w:rsidRPr="00D56557">
          <w:rPr>
            <w:rStyle w:val="Hyperlink"/>
            <w:noProof/>
          </w:rPr>
          <w:t>Representation of the General Capabilities</w:t>
        </w:r>
        <w:r>
          <w:rPr>
            <w:noProof/>
            <w:webHidden/>
          </w:rPr>
          <w:tab/>
        </w:r>
        <w:r>
          <w:rPr>
            <w:noProof/>
            <w:webHidden/>
          </w:rPr>
          <w:fldChar w:fldCharType="begin"/>
        </w:r>
        <w:r>
          <w:rPr>
            <w:noProof/>
            <w:webHidden/>
          </w:rPr>
          <w:instrText xml:space="preserve"> PAGEREF _Toc219985309 \h </w:instrText>
        </w:r>
        <w:r>
          <w:rPr>
            <w:noProof/>
            <w:webHidden/>
          </w:rPr>
        </w:r>
        <w:r>
          <w:rPr>
            <w:noProof/>
            <w:webHidden/>
          </w:rPr>
          <w:fldChar w:fldCharType="separate"/>
        </w:r>
        <w:r>
          <w:rPr>
            <w:noProof/>
            <w:webHidden/>
          </w:rPr>
          <w:t>3</w:t>
        </w:r>
        <w:r>
          <w:rPr>
            <w:noProof/>
            <w:webHidden/>
          </w:rPr>
          <w:fldChar w:fldCharType="end"/>
        </w:r>
      </w:hyperlink>
    </w:p>
    <w:p w14:paraId="562A7920" w14:textId="47E346B9" w:rsidR="00741F64" w:rsidRDefault="00741F64">
      <w:pPr>
        <w:pStyle w:val="TOC2"/>
        <w:rPr>
          <w:noProof/>
          <w:sz w:val="24"/>
          <w:szCs w:val="21"/>
          <w:lang w:eastAsia="zh-CN" w:bidi="hi-IN"/>
        </w:rPr>
      </w:pPr>
      <w:hyperlink w:anchor="_Toc219985310" w:history="1">
        <w:r w:rsidRPr="00D56557">
          <w:rPr>
            <w:rStyle w:val="Hyperlink"/>
            <w:noProof/>
          </w:rPr>
          <w:t>Representation of the Cross-curriculum Priorities</w:t>
        </w:r>
        <w:r>
          <w:rPr>
            <w:noProof/>
            <w:webHidden/>
          </w:rPr>
          <w:tab/>
        </w:r>
        <w:r>
          <w:rPr>
            <w:noProof/>
            <w:webHidden/>
          </w:rPr>
          <w:fldChar w:fldCharType="begin"/>
        </w:r>
        <w:r>
          <w:rPr>
            <w:noProof/>
            <w:webHidden/>
          </w:rPr>
          <w:instrText xml:space="preserve"> PAGEREF _Toc219985310 \h </w:instrText>
        </w:r>
        <w:r>
          <w:rPr>
            <w:noProof/>
            <w:webHidden/>
          </w:rPr>
        </w:r>
        <w:r>
          <w:rPr>
            <w:noProof/>
            <w:webHidden/>
          </w:rPr>
          <w:fldChar w:fldCharType="separate"/>
        </w:r>
        <w:r>
          <w:rPr>
            <w:noProof/>
            <w:webHidden/>
          </w:rPr>
          <w:t>4</w:t>
        </w:r>
        <w:r>
          <w:rPr>
            <w:noProof/>
            <w:webHidden/>
          </w:rPr>
          <w:fldChar w:fldCharType="end"/>
        </w:r>
      </w:hyperlink>
    </w:p>
    <w:p w14:paraId="3675AD89" w14:textId="72739569" w:rsidR="00741F64" w:rsidRDefault="00741F64">
      <w:pPr>
        <w:pStyle w:val="TOC1"/>
        <w:rPr>
          <w:b w:val="0"/>
          <w:bCs w:val="0"/>
          <w:noProof/>
          <w:sz w:val="24"/>
          <w:szCs w:val="21"/>
          <w:lang w:eastAsia="zh-CN" w:bidi="hi-IN"/>
        </w:rPr>
      </w:pPr>
      <w:hyperlink w:anchor="_Toc219985311" w:history="1">
        <w:r w:rsidRPr="00D56557">
          <w:rPr>
            <w:rStyle w:val="Hyperlink"/>
            <w:noProof/>
          </w:rPr>
          <w:t>Unit 1 – Democracy and the rule of law</w:t>
        </w:r>
        <w:r>
          <w:rPr>
            <w:noProof/>
            <w:webHidden/>
          </w:rPr>
          <w:tab/>
        </w:r>
        <w:r>
          <w:rPr>
            <w:noProof/>
            <w:webHidden/>
          </w:rPr>
          <w:fldChar w:fldCharType="begin"/>
        </w:r>
        <w:r>
          <w:rPr>
            <w:noProof/>
            <w:webHidden/>
          </w:rPr>
          <w:instrText xml:space="preserve"> PAGEREF _Toc219985311 \h </w:instrText>
        </w:r>
        <w:r>
          <w:rPr>
            <w:noProof/>
            <w:webHidden/>
          </w:rPr>
        </w:r>
        <w:r>
          <w:rPr>
            <w:noProof/>
            <w:webHidden/>
          </w:rPr>
          <w:fldChar w:fldCharType="separate"/>
        </w:r>
        <w:r>
          <w:rPr>
            <w:noProof/>
            <w:webHidden/>
          </w:rPr>
          <w:t>6</w:t>
        </w:r>
        <w:r>
          <w:rPr>
            <w:noProof/>
            <w:webHidden/>
          </w:rPr>
          <w:fldChar w:fldCharType="end"/>
        </w:r>
      </w:hyperlink>
    </w:p>
    <w:p w14:paraId="5B8F27F3" w14:textId="14A9774A" w:rsidR="00741F64" w:rsidRDefault="00741F64">
      <w:pPr>
        <w:pStyle w:val="TOC2"/>
        <w:rPr>
          <w:noProof/>
          <w:sz w:val="24"/>
          <w:szCs w:val="21"/>
          <w:lang w:eastAsia="zh-CN" w:bidi="hi-IN"/>
        </w:rPr>
      </w:pPr>
      <w:hyperlink w:anchor="_Toc219985312" w:history="1">
        <w:r w:rsidRPr="00D56557">
          <w:rPr>
            <w:rStyle w:val="Hyperlink"/>
            <w:noProof/>
          </w:rPr>
          <w:t>Unit description</w:t>
        </w:r>
        <w:r>
          <w:rPr>
            <w:noProof/>
            <w:webHidden/>
          </w:rPr>
          <w:tab/>
        </w:r>
        <w:r>
          <w:rPr>
            <w:noProof/>
            <w:webHidden/>
          </w:rPr>
          <w:fldChar w:fldCharType="begin"/>
        </w:r>
        <w:r>
          <w:rPr>
            <w:noProof/>
            <w:webHidden/>
          </w:rPr>
          <w:instrText xml:space="preserve"> PAGEREF _Toc219985312 \h </w:instrText>
        </w:r>
        <w:r>
          <w:rPr>
            <w:noProof/>
            <w:webHidden/>
          </w:rPr>
        </w:r>
        <w:r>
          <w:rPr>
            <w:noProof/>
            <w:webHidden/>
          </w:rPr>
          <w:fldChar w:fldCharType="separate"/>
        </w:r>
        <w:r>
          <w:rPr>
            <w:noProof/>
            <w:webHidden/>
          </w:rPr>
          <w:t>6</w:t>
        </w:r>
        <w:r>
          <w:rPr>
            <w:noProof/>
            <w:webHidden/>
          </w:rPr>
          <w:fldChar w:fldCharType="end"/>
        </w:r>
      </w:hyperlink>
    </w:p>
    <w:p w14:paraId="1DFC848C" w14:textId="1B847680" w:rsidR="00741F64" w:rsidRDefault="00741F64">
      <w:pPr>
        <w:pStyle w:val="TOC2"/>
        <w:rPr>
          <w:noProof/>
          <w:sz w:val="24"/>
          <w:szCs w:val="21"/>
          <w:lang w:eastAsia="zh-CN" w:bidi="hi-IN"/>
        </w:rPr>
      </w:pPr>
      <w:hyperlink w:anchor="_Toc219985313" w:history="1">
        <w:r w:rsidRPr="00D56557">
          <w:rPr>
            <w:rStyle w:val="Hyperlink"/>
            <w:noProof/>
          </w:rPr>
          <w:t>Unit content</w:t>
        </w:r>
        <w:r>
          <w:rPr>
            <w:noProof/>
            <w:webHidden/>
          </w:rPr>
          <w:tab/>
        </w:r>
        <w:r>
          <w:rPr>
            <w:noProof/>
            <w:webHidden/>
          </w:rPr>
          <w:fldChar w:fldCharType="begin"/>
        </w:r>
        <w:r>
          <w:rPr>
            <w:noProof/>
            <w:webHidden/>
          </w:rPr>
          <w:instrText xml:space="preserve"> PAGEREF _Toc219985313 \h </w:instrText>
        </w:r>
        <w:r>
          <w:rPr>
            <w:noProof/>
            <w:webHidden/>
          </w:rPr>
        </w:r>
        <w:r>
          <w:rPr>
            <w:noProof/>
            <w:webHidden/>
          </w:rPr>
          <w:fldChar w:fldCharType="separate"/>
        </w:r>
        <w:r>
          <w:rPr>
            <w:noProof/>
            <w:webHidden/>
          </w:rPr>
          <w:t>6</w:t>
        </w:r>
        <w:r>
          <w:rPr>
            <w:noProof/>
            <w:webHidden/>
          </w:rPr>
          <w:fldChar w:fldCharType="end"/>
        </w:r>
      </w:hyperlink>
    </w:p>
    <w:p w14:paraId="7B75BE94" w14:textId="21938843" w:rsidR="00741F64" w:rsidRDefault="00741F64">
      <w:pPr>
        <w:pStyle w:val="TOC1"/>
        <w:rPr>
          <w:b w:val="0"/>
          <w:bCs w:val="0"/>
          <w:noProof/>
          <w:sz w:val="24"/>
          <w:szCs w:val="21"/>
          <w:lang w:eastAsia="zh-CN" w:bidi="hi-IN"/>
        </w:rPr>
      </w:pPr>
      <w:hyperlink w:anchor="_Toc219985314" w:history="1">
        <w:r w:rsidRPr="00D56557">
          <w:rPr>
            <w:rStyle w:val="Hyperlink"/>
            <w:noProof/>
          </w:rPr>
          <w:t>Unit 2 – Representation and justice</w:t>
        </w:r>
        <w:r>
          <w:rPr>
            <w:noProof/>
            <w:webHidden/>
          </w:rPr>
          <w:tab/>
        </w:r>
        <w:r>
          <w:rPr>
            <w:noProof/>
            <w:webHidden/>
          </w:rPr>
          <w:fldChar w:fldCharType="begin"/>
        </w:r>
        <w:r>
          <w:rPr>
            <w:noProof/>
            <w:webHidden/>
          </w:rPr>
          <w:instrText xml:space="preserve"> PAGEREF _Toc219985314 \h </w:instrText>
        </w:r>
        <w:r>
          <w:rPr>
            <w:noProof/>
            <w:webHidden/>
          </w:rPr>
        </w:r>
        <w:r>
          <w:rPr>
            <w:noProof/>
            <w:webHidden/>
          </w:rPr>
          <w:fldChar w:fldCharType="separate"/>
        </w:r>
        <w:r>
          <w:rPr>
            <w:noProof/>
            <w:webHidden/>
          </w:rPr>
          <w:t>8</w:t>
        </w:r>
        <w:r>
          <w:rPr>
            <w:noProof/>
            <w:webHidden/>
          </w:rPr>
          <w:fldChar w:fldCharType="end"/>
        </w:r>
      </w:hyperlink>
    </w:p>
    <w:p w14:paraId="6F1D3E28" w14:textId="1478208E" w:rsidR="00741F64" w:rsidRDefault="00741F64">
      <w:pPr>
        <w:pStyle w:val="TOC2"/>
        <w:rPr>
          <w:noProof/>
          <w:sz w:val="24"/>
          <w:szCs w:val="21"/>
          <w:lang w:eastAsia="zh-CN" w:bidi="hi-IN"/>
        </w:rPr>
      </w:pPr>
      <w:hyperlink w:anchor="_Toc219985315" w:history="1">
        <w:r w:rsidRPr="00D56557">
          <w:rPr>
            <w:rStyle w:val="Hyperlink"/>
            <w:noProof/>
          </w:rPr>
          <w:t>Unit description</w:t>
        </w:r>
        <w:r>
          <w:rPr>
            <w:noProof/>
            <w:webHidden/>
          </w:rPr>
          <w:tab/>
        </w:r>
        <w:r>
          <w:rPr>
            <w:noProof/>
            <w:webHidden/>
          </w:rPr>
          <w:fldChar w:fldCharType="begin"/>
        </w:r>
        <w:r>
          <w:rPr>
            <w:noProof/>
            <w:webHidden/>
          </w:rPr>
          <w:instrText xml:space="preserve"> PAGEREF _Toc219985315 \h </w:instrText>
        </w:r>
        <w:r>
          <w:rPr>
            <w:noProof/>
            <w:webHidden/>
          </w:rPr>
        </w:r>
        <w:r>
          <w:rPr>
            <w:noProof/>
            <w:webHidden/>
          </w:rPr>
          <w:fldChar w:fldCharType="separate"/>
        </w:r>
        <w:r>
          <w:rPr>
            <w:noProof/>
            <w:webHidden/>
          </w:rPr>
          <w:t>8</w:t>
        </w:r>
        <w:r>
          <w:rPr>
            <w:noProof/>
            <w:webHidden/>
          </w:rPr>
          <w:fldChar w:fldCharType="end"/>
        </w:r>
      </w:hyperlink>
    </w:p>
    <w:p w14:paraId="4FE67140" w14:textId="258BD01D" w:rsidR="00741F64" w:rsidRDefault="00741F64">
      <w:pPr>
        <w:pStyle w:val="TOC2"/>
        <w:rPr>
          <w:noProof/>
          <w:sz w:val="24"/>
          <w:szCs w:val="21"/>
          <w:lang w:eastAsia="zh-CN" w:bidi="hi-IN"/>
        </w:rPr>
      </w:pPr>
      <w:hyperlink w:anchor="_Toc219985316" w:history="1">
        <w:r w:rsidRPr="00D56557">
          <w:rPr>
            <w:rStyle w:val="Hyperlink"/>
            <w:noProof/>
          </w:rPr>
          <w:t>Unit content</w:t>
        </w:r>
        <w:r>
          <w:rPr>
            <w:noProof/>
            <w:webHidden/>
          </w:rPr>
          <w:tab/>
        </w:r>
        <w:r>
          <w:rPr>
            <w:noProof/>
            <w:webHidden/>
          </w:rPr>
          <w:fldChar w:fldCharType="begin"/>
        </w:r>
        <w:r>
          <w:rPr>
            <w:noProof/>
            <w:webHidden/>
          </w:rPr>
          <w:instrText xml:space="preserve"> PAGEREF _Toc219985316 \h </w:instrText>
        </w:r>
        <w:r>
          <w:rPr>
            <w:noProof/>
            <w:webHidden/>
          </w:rPr>
        </w:r>
        <w:r>
          <w:rPr>
            <w:noProof/>
            <w:webHidden/>
          </w:rPr>
          <w:fldChar w:fldCharType="separate"/>
        </w:r>
        <w:r>
          <w:rPr>
            <w:noProof/>
            <w:webHidden/>
          </w:rPr>
          <w:t>8</w:t>
        </w:r>
        <w:r>
          <w:rPr>
            <w:noProof/>
            <w:webHidden/>
          </w:rPr>
          <w:fldChar w:fldCharType="end"/>
        </w:r>
      </w:hyperlink>
    </w:p>
    <w:p w14:paraId="569393AB" w14:textId="5DAFF5FD" w:rsidR="00741F64" w:rsidRDefault="00741F64">
      <w:pPr>
        <w:pStyle w:val="TOC1"/>
        <w:rPr>
          <w:b w:val="0"/>
          <w:bCs w:val="0"/>
          <w:noProof/>
          <w:sz w:val="24"/>
          <w:szCs w:val="21"/>
          <w:lang w:eastAsia="zh-CN" w:bidi="hi-IN"/>
        </w:rPr>
      </w:pPr>
      <w:hyperlink w:anchor="_Toc219985317" w:history="1">
        <w:r w:rsidRPr="00D56557">
          <w:rPr>
            <w:rStyle w:val="Hyperlink"/>
            <w:noProof/>
          </w:rPr>
          <w:t>School-based assessment</w:t>
        </w:r>
        <w:r>
          <w:rPr>
            <w:noProof/>
            <w:webHidden/>
          </w:rPr>
          <w:tab/>
        </w:r>
        <w:r>
          <w:rPr>
            <w:noProof/>
            <w:webHidden/>
          </w:rPr>
          <w:fldChar w:fldCharType="begin"/>
        </w:r>
        <w:r>
          <w:rPr>
            <w:noProof/>
            <w:webHidden/>
          </w:rPr>
          <w:instrText xml:space="preserve"> PAGEREF _Toc219985317 \h </w:instrText>
        </w:r>
        <w:r>
          <w:rPr>
            <w:noProof/>
            <w:webHidden/>
          </w:rPr>
        </w:r>
        <w:r>
          <w:rPr>
            <w:noProof/>
            <w:webHidden/>
          </w:rPr>
          <w:fldChar w:fldCharType="separate"/>
        </w:r>
        <w:r>
          <w:rPr>
            <w:noProof/>
            <w:webHidden/>
          </w:rPr>
          <w:t>10</w:t>
        </w:r>
        <w:r>
          <w:rPr>
            <w:noProof/>
            <w:webHidden/>
          </w:rPr>
          <w:fldChar w:fldCharType="end"/>
        </w:r>
      </w:hyperlink>
    </w:p>
    <w:p w14:paraId="7694E4C7" w14:textId="4BEA5980" w:rsidR="00741F64" w:rsidRDefault="00741F64">
      <w:pPr>
        <w:pStyle w:val="TOC2"/>
        <w:rPr>
          <w:noProof/>
          <w:sz w:val="24"/>
          <w:szCs w:val="21"/>
          <w:lang w:eastAsia="zh-CN" w:bidi="hi-IN"/>
        </w:rPr>
      </w:pPr>
      <w:hyperlink w:anchor="_Toc219985318" w:history="1">
        <w:r w:rsidRPr="00D56557">
          <w:rPr>
            <w:rStyle w:val="Hyperlink"/>
            <w:noProof/>
          </w:rPr>
          <w:t>Assessment table – Year 11</w:t>
        </w:r>
        <w:r>
          <w:rPr>
            <w:noProof/>
            <w:webHidden/>
          </w:rPr>
          <w:tab/>
        </w:r>
        <w:r>
          <w:rPr>
            <w:noProof/>
            <w:webHidden/>
          </w:rPr>
          <w:fldChar w:fldCharType="begin"/>
        </w:r>
        <w:r>
          <w:rPr>
            <w:noProof/>
            <w:webHidden/>
          </w:rPr>
          <w:instrText xml:space="preserve"> PAGEREF _Toc219985318 \h </w:instrText>
        </w:r>
        <w:r>
          <w:rPr>
            <w:noProof/>
            <w:webHidden/>
          </w:rPr>
        </w:r>
        <w:r>
          <w:rPr>
            <w:noProof/>
            <w:webHidden/>
          </w:rPr>
          <w:fldChar w:fldCharType="separate"/>
        </w:r>
        <w:r>
          <w:rPr>
            <w:noProof/>
            <w:webHidden/>
          </w:rPr>
          <w:t>10</w:t>
        </w:r>
        <w:r>
          <w:rPr>
            <w:noProof/>
            <w:webHidden/>
          </w:rPr>
          <w:fldChar w:fldCharType="end"/>
        </w:r>
      </w:hyperlink>
    </w:p>
    <w:p w14:paraId="4919A871" w14:textId="3FA4019E" w:rsidR="00741F64" w:rsidRDefault="00741F64">
      <w:pPr>
        <w:pStyle w:val="TOC2"/>
        <w:rPr>
          <w:noProof/>
          <w:sz w:val="24"/>
          <w:szCs w:val="21"/>
          <w:lang w:eastAsia="zh-CN" w:bidi="hi-IN"/>
        </w:rPr>
      </w:pPr>
      <w:hyperlink w:anchor="_Toc219985319" w:history="1">
        <w:r w:rsidRPr="00D56557">
          <w:rPr>
            <w:rStyle w:val="Hyperlink"/>
            <w:noProof/>
          </w:rPr>
          <w:t>Grading</w:t>
        </w:r>
        <w:r>
          <w:rPr>
            <w:noProof/>
            <w:webHidden/>
          </w:rPr>
          <w:tab/>
        </w:r>
        <w:r>
          <w:rPr>
            <w:noProof/>
            <w:webHidden/>
          </w:rPr>
          <w:fldChar w:fldCharType="begin"/>
        </w:r>
        <w:r>
          <w:rPr>
            <w:noProof/>
            <w:webHidden/>
          </w:rPr>
          <w:instrText xml:space="preserve"> PAGEREF _Toc219985319 \h </w:instrText>
        </w:r>
        <w:r>
          <w:rPr>
            <w:noProof/>
            <w:webHidden/>
          </w:rPr>
        </w:r>
        <w:r>
          <w:rPr>
            <w:noProof/>
            <w:webHidden/>
          </w:rPr>
          <w:fldChar w:fldCharType="separate"/>
        </w:r>
        <w:r>
          <w:rPr>
            <w:noProof/>
            <w:webHidden/>
          </w:rPr>
          <w:t>11</w:t>
        </w:r>
        <w:r>
          <w:rPr>
            <w:noProof/>
            <w:webHidden/>
          </w:rPr>
          <w:fldChar w:fldCharType="end"/>
        </w:r>
      </w:hyperlink>
    </w:p>
    <w:p w14:paraId="785FE485" w14:textId="3011BC62" w:rsidR="00741F64" w:rsidRDefault="00741F64">
      <w:pPr>
        <w:pStyle w:val="TOC1"/>
        <w:rPr>
          <w:b w:val="0"/>
          <w:bCs w:val="0"/>
          <w:noProof/>
          <w:sz w:val="24"/>
          <w:szCs w:val="21"/>
          <w:lang w:eastAsia="zh-CN" w:bidi="hi-IN"/>
        </w:rPr>
      </w:pPr>
      <w:hyperlink w:anchor="_Toc219985320" w:history="1">
        <w:r w:rsidRPr="00D56557">
          <w:rPr>
            <w:rStyle w:val="Hyperlink"/>
            <w:noProof/>
          </w:rPr>
          <w:t>Appendix 1 – Grade descriptions Year 11</w:t>
        </w:r>
        <w:r>
          <w:rPr>
            <w:noProof/>
            <w:webHidden/>
          </w:rPr>
          <w:tab/>
        </w:r>
        <w:r>
          <w:rPr>
            <w:noProof/>
            <w:webHidden/>
          </w:rPr>
          <w:fldChar w:fldCharType="begin"/>
        </w:r>
        <w:r>
          <w:rPr>
            <w:noProof/>
            <w:webHidden/>
          </w:rPr>
          <w:instrText xml:space="preserve"> PAGEREF _Toc219985320 \h </w:instrText>
        </w:r>
        <w:r>
          <w:rPr>
            <w:noProof/>
            <w:webHidden/>
          </w:rPr>
        </w:r>
        <w:r>
          <w:rPr>
            <w:noProof/>
            <w:webHidden/>
          </w:rPr>
          <w:fldChar w:fldCharType="separate"/>
        </w:r>
        <w:r>
          <w:rPr>
            <w:noProof/>
            <w:webHidden/>
          </w:rPr>
          <w:t>12</w:t>
        </w:r>
        <w:r>
          <w:rPr>
            <w:noProof/>
            <w:webHidden/>
          </w:rPr>
          <w:fldChar w:fldCharType="end"/>
        </w:r>
      </w:hyperlink>
    </w:p>
    <w:p w14:paraId="0DBA2084" w14:textId="11CEAA9F" w:rsidR="00C81A96" w:rsidRPr="00F91574" w:rsidRDefault="00C81A96" w:rsidP="001304CE">
      <w:r>
        <w:fldChar w:fldCharType="end"/>
      </w:r>
    </w:p>
    <w:p w14:paraId="3FC25054" w14:textId="6CDF2DA7" w:rsidR="001304CE" w:rsidRPr="00F91574" w:rsidRDefault="001304CE" w:rsidP="001304CE">
      <w:pPr>
        <w:rPr>
          <w:lang w:eastAsia="ja-JP"/>
        </w:rPr>
        <w:sectPr w:rsidR="001304CE" w:rsidRPr="00F91574" w:rsidSect="00E11A51">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290FF4A8" w14:textId="77777777" w:rsidR="001C62C9" w:rsidRPr="00F91574" w:rsidRDefault="001C62C9" w:rsidP="001C62C9">
      <w:pPr>
        <w:pStyle w:val="SCSAHeading1"/>
      </w:pPr>
      <w:bookmarkStart w:id="0" w:name="_Toc347908199"/>
      <w:bookmarkStart w:id="1" w:name="_Toc110421307"/>
      <w:bookmarkStart w:id="2" w:name="_Toc347908200"/>
      <w:bookmarkStart w:id="3" w:name="_Toc219985303"/>
      <w:r w:rsidRPr="00F91574">
        <w:lastRenderedPageBreak/>
        <w:t>Rationale</w:t>
      </w:r>
      <w:bookmarkEnd w:id="0"/>
      <w:bookmarkEnd w:id="1"/>
      <w:bookmarkEnd w:id="3"/>
    </w:p>
    <w:p w14:paraId="642989AD" w14:textId="77777777" w:rsidR="001C62C9" w:rsidRPr="00F91574" w:rsidRDefault="001C62C9" w:rsidP="001C62C9">
      <w:pPr>
        <w:rPr>
          <w:b/>
          <w:bCs/>
        </w:rPr>
      </w:pPr>
      <w:r w:rsidRPr="00F91574">
        <w:t>The Politics and Law ATAR course provides critical study of governance and the processes of decision</w:t>
      </w:r>
      <w:r w:rsidRPr="00F91574">
        <w:noBreakHyphen/>
        <w:t>making concerning society’s collective future. It examines the structures and processes through which individuals and groups with different interests, beliefs and goals deliberate and negotiate to make choices, respond to changing circumstances and enact laws. The course also examines the system of laws regulating the behaviours of people in a community or society to provide consistency and justice for all.</w:t>
      </w:r>
    </w:p>
    <w:p w14:paraId="289397FA" w14:textId="77777777" w:rsidR="001C62C9" w:rsidRPr="00F91574" w:rsidRDefault="001C62C9" w:rsidP="001C62C9">
      <w:pPr>
        <w:rPr>
          <w:b/>
          <w:bCs/>
        </w:rPr>
      </w:pPr>
      <w:r w:rsidRPr="00F91574">
        <w:t>By studying the course, students develop an understanding of the interrelationship between politics and law in the Australian and alternative political and legal systems. They explore the concepts of democracy, the rule of law, representation and justice. Students examine the roles, powers and relationship between the judicial, executive and legislative arms of government, which together constitute how societies are governed. They learn how history, and changing social and cultural values, influence how people interact with the political and legal system.</w:t>
      </w:r>
    </w:p>
    <w:p w14:paraId="413A1B66" w14:textId="77777777" w:rsidR="001C62C9" w:rsidRPr="00F91574" w:rsidRDefault="001C62C9" w:rsidP="001C62C9">
      <w:pPr>
        <w:rPr>
          <w:b/>
          <w:bCs/>
        </w:rPr>
      </w:pPr>
      <w:r w:rsidRPr="00F91574">
        <w:t>Students develop knowledge and understanding of the principles, structures, institutions, processes and practices of political and legal systems, primarily in Australia and, where appropriate, other countries. The course challenges students to critically examine the effectiveness of political and legal systems using criteria such as openness, responsiveness and accountability. Students gain an understanding of both historical and contemporary political and legal issues in society.</w:t>
      </w:r>
    </w:p>
    <w:p w14:paraId="6D3A0021" w14:textId="77777777" w:rsidR="001C62C9" w:rsidRPr="00F91574" w:rsidRDefault="001C62C9" w:rsidP="001C62C9">
      <w:pPr>
        <w:rPr>
          <w:b/>
          <w:bCs/>
        </w:rPr>
      </w:pPr>
      <w:r w:rsidRPr="00F91574">
        <w:t>The course develops skills and values that enable students to become informed, active and effective participants in the political and legal decisions that affect their everyday lives. It contributes to their understanding of the functioning and issues associated with democratic and non</w:t>
      </w:r>
      <w:r w:rsidRPr="00F91574">
        <w:noBreakHyphen/>
        <w:t>democratic governments, elections and justice.</w:t>
      </w:r>
    </w:p>
    <w:p w14:paraId="6523D74A" w14:textId="77777777" w:rsidR="001C62C9" w:rsidRPr="00F91574" w:rsidRDefault="001C62C9" w:rsidP="001C62C9">
      <w:pPr>
        <w:rPr>
          <w:b/>
          <w:bCs/>
        </w:rPr>
      </w:pPr>
      <w:r w:rsidRPr="00F91574">
        <w:t>The Politics and Law ATAR course is valuable for careers in law, political advocacy, public administration, international relations, foreign affairs, community development, teaching, journalism, human resource management, government and commerce.</w:t>
      </w:r>
    </w:p>
    <w:p w14:paraId="2B0721E7" w14:textId="77777777" w:rsidR="001C62C9" w:rsidRPr="00F91574" w:rsidRDefault="001C62C9" w:rsidP="001C62C9">
      <w:r w:rsidRPr="00F91574">
        <w:br w:type="page"/>
      </w:r>
    </w:p>
    <w:p w14:paraId="4BAC6399" w14:textId="77777777" w:rsidR="001C62C9" w:rsidRPr="00F91574" w:rsidRDefault="001C62C9" w:rsidP="001C62C9">
      <w:pPr>
        <w:pStyle w:val="SCSAHeading1"/>
      </w:pPr>
      <w:bookmarkStart w:id="4" w:name="_Toc110421308"/>
      <w:bookmarkStart w:id="5" w:name="_Toc219985304"/>
      <w:r w:rsidRPr="00F91574">
        <w:lastRenderedPageBreak/>
        <w:t>Aims</w:t>
      </w:r>
      <w:bookmarkEnd w:id="4"/>
      <w:bookmarkEnd w:id="5"/>
    </w:p>
    <w:p w14:paraId="2F75C5C4" w14:textId="77777777" w:rsidR="001C62C9" w:rsidRPr="00E11A51" w:rsidRDefault="001C62C9" w:rsidP="00E11A51">
      <w:pPr>
        <w:pStyle w:val="NoSpacing"/>
      </w:pPr>
      <w:bookmarkStart w:id="6" w:name="_Hlk209443704"/>
      <w:r w:rsidRPr="00E11A51">
        <w:t xml:space="preserve">The Politics and Law ATAR course aims to develop </w:t>
      </w:r>
      <w:proofErr w:type="gramStart"/>
      <w:r w:rsidRPr="00E11A51">
        <w:t>students’</w:t>
      </w:r>
      <w:proofErr w:type="gramEnd"/>
      <w:r w:rsidRPr="00E11A51">
        <w:t>:</w:t>
      </w:r>
    </w:p>
    <w:p w14:paraId="5430BA3B" w14:textId="684A9AB8" w:rsidR="001C62C9" w:rsidRPr="00F91574" w:rsidRDefault="001C62C9" w:rsidP="001C62C9">
      <w:pPr>
        <w:pStyle w:val="ListParagraph"/>
        <w:numPr>
          <w:ilvl w:val="0"/>
          <w:numId w:val="31"/>
        </w:numPr>
      </w:pPr>
      <w:r w:rsidRPr="00F91574">
        <w:t>understanding of liberal democracy, the rule of law and associated concepts</w:t>
      </w:r>
    </w:p>
    <w:p w14:paraId="6C6554F4" w14:textId="77777777" w:rsidR="001C62C9" w:rsidRPr="00F91574" w:rsidRDefault="001C62C9" w:rsidP="001C62C9">
      <w:pPr>
        <w:pStyle w:val="ListParagraph"/>
        <w:numPr>
          <w:ilvl w:val="0"/>
          <w:numId w:val="31"/>
        </w:numPr>
      </w:pPr>
      <w:bookmarkStart w:id="7" w:name="_Hlk209442436"/>
      <w:r w:rsidRPr="00F91574">
        <w:t>understanding of the operation of, and the relationship between, the legislature, executive and judiciary in the Australian political and legal system and the power wielded within the system by various institutions</w:t>
      </w:r>
    </w:p>
    <w:bookmarkEnd w:id="7"/>
    <w:p w14:paraId="06790796" w14:textId="77777777" w:rsidR="001C62C9" w:rsidRPr="00F91574" w:rsidRDefault="001C62C9" w:rsidP="001C62C9">
      <w:pPr>
        <w:pStyle w:val="ListParagraph"/>
        <w:numPr>
          <w:ilvl w:val="0"/>
          <w:numId w:val="31"/>
        </w:numPr>
      </w:pPr>
      <w:r w:rsidRPr="00F91574">
        <w:t>understanding of the issues arising within the Australian political and legal system compared to other countries</w:t>
      </w:r>
    </w:p>
    <w:p w14:paraId="6C24AB2E" w14:textId="77777777" w:rsidR="001C62C9" w:rsidRPr="00F91574" w:rsidRDefault="001C62C9" w:rsidP="001C62C9">
      <w:pPr>
        <w:pStyle w:val="ListParagraph"/>
        <w:numPr>
          <w:ilvl w:val="0"/>
          <w:numId w:val="31"/>
        </w:numPr>
      </w:pPr>
      <w:r w:rsidRPr="00F91574">
        <w:t>understanding of the role of the individual and groups within the political and legal system and the various ways that each can interact within a democracy</w:t>
      </w:r>
    </w:p>
    <w:p w14:paraId="55C7EB90" w14:textId="77777777" w:rsidR="001C62C9" w:rsidRPr="00F91574" w:rsidRDefault="001C62C9" w:rsidP="001C62C9">
      <w:pPr>
        <w:pStyle w:val="ListParagraph"/>
        <w:numPr>
          <w:ilvl w:val="0"/>
          <w:numId w:val="31"/>
        </w:numPr>
      </w:pPr>
      <w:r w:rsidRPr="00F91574">
        <w:t>skills in research, analysis and communication through critical examination of recent and contemporary issues in Australia’s political and legal system</w:t>
      </w:r>
    </w:p>
    <w:p w14:paraId="71A4C3DC" w14:textId="77777777" w:rsidR="001C62C9" w:rsidRPr="00F91574" w:rsidRDefault="001C62C9" w:rsidP="001C62C9">
      <w:pPr>
        <w:pStyle w:val="ListParagraph"/>
        <w:numPr>
          <w:ilvl w:val="0"/>
          <w:numId w:val="31"/>
        </w:numPr>
      </w:pPr>
      <w:r w:rsidRPr="00F91574">
        <w:t>skills in the application of concepts to the functioning of Australia’s political and legal system and alternative systems.</w:t>
      </w:r>
      <w:bookmarkEnd w:id="6"/>
    </w:p>
    <w:p w14:paraId="00C12BC5" w14:textId="77777777" w:rsidR="000A5CBD" w:rsidRPr="00F91574" w:rsidRDefault="000A5CBD" w:rsidP="001C62C9">
      <w:pPr>
        <w:pStyle w:val="SCSAHeading1"/>
      </w:pPr>
      <w:bookmarkStart w:id="8" w:name="_Toc219985305"/>
      <w:r w:rsidRPr="00F91574">
        <w:t>Organisation</w:t>
      </w:r>
      <w:bookmarkEnd w:id="8"/>
    </w:p>
    <w:p w14:paraId="0DB8DE7D" w14:textId="77777777" w:rsidR="001638D0" w:rsidRPr="00F91574" w:rsidRDefault="001638D0" w:rsidP="001C62C9">
      <w:bookmarkStart w:id="9" w:name="_Toc359503787"/>
      <w:bookmarkStart w:id="10" w:name="_Toc347908207"/>
      <w:bookmarkStart w:id="11" w:name="_Toc347908206"/>
      <w:bookmarkEnd w:id="2"/>
      <w:r w:rsidRPr="00F91574">
        <w:t>This course is organised into a Year 11 syllabus and a Year 12 syllabus. The cognitive complexity of the syllabus content increases from Year 11 to Year 12.</w:t>
      </w:r>
    </w:p>
    <w:p w14:paraId="083C248D" w14:textId="77777777" w:rsidR="00A20F67" w:rsidRPr="00F91574" w:rsidRDefault="00A20F67" w:rsidP="001C62C9">
      <w:pPr>
        <w:pStyle w:val="SCSAHeading2"/>
      </w:pPr>
      <w:bookmarkStart w:id="12" w:name="_Toc219985306"/>
      <w:r w:rsidRPr="00F91574">
        <w:t>Structure of the syllabus</w:t>
      </w:r>
      <w:bookmarkEnd w:id="9"/>
      <w:bookmarkEnd w:id="12"/>
    </w:p>
    <w:p w14:paraId="0652EA9D" w14:textId="77777777" w:rsidR="008E5011" w:rsidRPr="00F91574" w:rsidRDefault="00A20F67" w:rsidP="001C62C9">
      <w:r w:rsidRPr="00F91574">
        <w:t>The Year 11 syllabus is divided into two units</w:t>
      </w:r>
      <w:r w:rsidR="00505E96" w:rsidRPr="00F91574">
        <w:t>,</w:t>
      </w:r>
      <w:r w:rsidRPr="00F91574">
        <w:t xml:space="preserve"> each of one semester duration</w:t>
      </w:r>
      <w:r w:rsidR="00505E96" w:rsidRPr="00F91574">
        <w:t>,</w:t>
      </w:r>
      <w:r w:rsidRPr="00F91574">
        <w:t xml:space="preserve"> which are typically delivered as a pair.</w:t>
      </w:r>
      <w:r w:rsidR="008E5011" w:rsidRPr="00F91574">
        <w:t xml:space="preserve"> The notional </w:t>
      </w:r>
      <w:r w:rsidR="00CF5E37" w:rsidRPr="00F91574">
        <w:t>time</w:t>
      </w:r>
      <w:r w:rsidR="008E5011" w:rsidRPr="00F91574">
        <w:t xml:space="preserve"> for each unit </w:t>
      </w:r>
      <w:r w:rsidR="00CF5E37" w:rsidRPr="00F91574">
        <w:t>is</w:t>
      </w:r>
      <w:r w:rsidR="008E5011" w:rsidRPr="00F91574">
        <w:t xml:space="preserve"> 55 class contact hours. </w:t>
      </w:r>
    </w:p>
    <w:p w14:paraId="35FF3967" w14:textId="77777777" w:rsidR="00A20F67" w:rsidRPr="00F91574" w:rsidRDefault="00A20F67" w:rsidP="001C62C9">
      <w:pPr>
        <w:pStyle w:val="SCSAHeading3"/>
      </w:pPr>
      <w:r w:rsidRPr="00F91574">
        <w:t>Unit 1</w:t>
      </w:r>
      <w:r w:rsidR="0093271A" w:rsidRPr="00F91574">
        <w:t xml:space="preserve"> –</w:t>
      </w:r>
      <w:r w:rsidRPr="00F91574">
        <w:t xml:space="preserve"> </w:t>
      </w:r>
      <w:r w:rsidR="00D201BB" w:rsidRPr="00F91574">
        <w:t>Democracy and the rule of law</w:t>
      </w:r>
    </w:p>
    <w:p w14:paraId="1B49F4A2" w14:textId="77777777" w:rsidR="00D201BB" w:rsidRPr="00F91574" w:rsidRDefault="00D201BB" w:rsidP="001C62C9">
      <w:r w:rsidRPr="00F91574">
        <w:t>This unit examines</w:t>
      </w:r>
      <w:r w:rsidRPr="00F91574">
        <w:rPr>
          <w:rFonts w:ascii="Arial" w:hAnsi="Arial"/>
          <w:sz w:val="20"/>
          <w:szCs w:val="20"/>
        </w:rPr>
        <w:t xml:space="preserve"> </w:t>
      </w:r>
      <w:r w:rsidRPr="00F91574">
        <w:t>Australia’s democratic and common law systems; a non-democratic system; and a non-common law system.</w:t>
      </w:r>
    </w:p>
    <w:p w14:paraId="7F3A9C4D" w14:textId="77777777" w:rsidR="00A20F67" w:rsidRPr="00F91574" w:rsidRDefault="00A20F67" w:rsidP="001C62C9">
      <w:pPr>
        <w:pStyle w:val="SCSAHeading3"/>
      </w:pPr>
      <w:r w:rsidRPr="00F91574">
        <w:t>Unit 2</w:t>
      </w:r>
      <w:r w:rsidR="0093271A" w:rsidRPr="00F91574">
        <w:t xml:space="preserve"> –</w:t>
      </w:r>
      <w:r w:rsidRPr="00F91574">
        <w:t xml:space="preserve"> </w:t>
      </w:r>
      <w:r w:rsidR="00D201BB" w:rsidRPr="00F91574">
        <w:t>Representation and justice</w:t>
      </w:r>
    </w:p>
    <w:p w14:paraId="068B31AF" w14:textId="77777777" w:rsidR="005C5628" w:rsidRPr="00F91574" w:rsidRDefault="00D201BB" w:rsidP="001C62C9">
      <w:bookmarkStart w:id="13" w:name="_Toc359503788"/>
      <w:r w:rsidRPr="00F91574">
        <w:t xml:space="preserve">This unit examines representation, electoral and voting systems in </w:t>
      </w:r>
      <w:proofErr w:type="gramStart"/>
      <w:r w:rsidRPr="00F91574">
        <w:t>Australia;</w:t>
      </w:r>
      <w:proofErr w:type="gramEnd"/>
      <w:r w:rsidRPr="00F91574">
        <w:t xml:space="preserve"> justice in the Western Australian adversarial system and a non-common law system.</w:t>
      </w:r>
    </w:p>
    <w:p w14:paraId="24FDB5DB" w14:textId="77777777" w:rsidR="005C5628" w:rsidRPr="00F91574" w:rsidRDefault="005C5628" w:rsidP="00E11A51">
      <w:pPr>
        <w:pStyle w:val="NoSpacing"/>
      </w:pPr>
      <w:r w:rsidRPr="00F91574">
        <w:t>Each unit includes:</w:t>
      </w:r>
    </w:p>
    <w:p w14:paraId="34365DA3" w14:textId="77777777" w:rsidR="005C5628" w:rsidRPr="00F91574" w:rsidRDefault="005C5628" w:rsidP="001304CE">
      <w:pPr>
        <w:pStyle w:val="ListParagraph"/>
        <w:numPr>
          <w:ilvl w:val="0"/>
          <w:numId w:val="31"/>
        </w:numPr>
      </w:pPr>
      <w:r w:rsidRPr="00F91574">
        <w:t xml:space="preserve">a unit description – a short description of the focus </w:t>
      </w:r>
      <w:r w:rsidR="009D711E" w:rsidRPr="00F91574">
        <w:t xml:space="preserve">of </w:t>
      </w:r>
      <w:r w:rsidRPr="00F91574">
        <w:t>the unit</w:t>
      </w:r>
    </w:p>
    <w:p w14:paraId="24B31035" w14:textId="77777777" w:rsidR="005C5628" w:rsidRPr="00F91574" w:rsidRDefault="005C5628" w:rsidP="001304CE">
      <w:pPr>
        <w:pStyle w:val="ListParagraph"/>
        <w:numPr>
          <w:ilvl w:val="0"/>
          <w:numId w:val="31"/>
        </w:numPr>
      </w:pPr>
      <w:r w:rsidRPr="00F91574">
        <w:t>unit content – the content to be taught and learned.</w:t>
      </w:r>
    </w:p>
    <w:p w14:paraId="04817A81" w14:textId="77777777" w:rsidR="00A20F67" w:rsidRPr="00F91574" w:rsidRDefault="00A20F67" w:rsidP="001C62C9">
      <w:pPr>
        <w:pStyle w:val="SCSAHeading2"/>
      </w:pPr>
      <w:bookmarkStart w:id="14" w:name="_Toc219985307"/>
      <w:r w:rsidRPr="00F91574">
        <w:t>Organisation of content</w:t>
      </w:r>
      <w:bookmarkEnd w:id="13"/>
      <w:bookmarkEnd w:id="14"/>
    </w:p>
    <w:p w14:paraId="764551A5" w14:textId="77777777" w:rsidR="00D201BB" w:rsidRPr="00F91574" w:rsidRDefault="00D201BB" w:rsidP="00E11A51">
      <w:pPr>
        <w:pStyle w:val="NoSpacing"/>
      </w:pPr>
      <w:bookmarkStart w:id="15" w:name="_Toc359505487"/>
      <w:bookmarkStart w:id="16" w:name="_Toc359503795"/>
      <w:bookmarkStart w:id="17" w:name="_Toc347908213"/>
      <w:bookmarkEnd w:id="10"/>
      <w:bookmarkEnd w:id="11"/>
      <w:r w:rsidRPr="00F91574">
        <w:t>The Politics and Law course develops student learning through three content areas:</w:t>
      </w:r>
    </w:p>
    <w:p w14:paraId="5C5A1C47" w14:textId="77777777" w:rsidR="00D201BB" w:rsidRPr="00F91574" w:rsidRDefault="00EC185A" w:rsidP="001304CE">
      <w:pPr>
        <w:pStyle w:val="ListParagraph"/>
        <w:numPr>
          <w:ilvl w:val="0"/>
          <w:numId w:val="31"/>
        </w:numPr>
      </w:pPr>
      <w:r w:rsidRPr="00F91574">
        <w:t>P</w:t>
      </w:r>
      <w:r w:rsidR="00D201BB" w:rsidRPr="00F91574">
        <w:t>olitical and legal systems</w:t>
      </w:r>
    </w:p>
    <w:p w14:paraId="07FBBB05" w14:textId="77777777" w:rsidR="00D201BB" w:rsidRPr="00F91574" w:rsidRDefault="00EC185A" w:rsidP="001304CE">
      <w:pPr>
        <w:pStyle w:val="ListParagraph"/>
        <w:numPr>
          <w:ilvl w:val="0"/>
          <w:numId w:val="31"/>
        </w:numPr>
      </w:pPr>
      <w:r w:rsidRPr="00F91574">
        <w:t>P</w:t>
      </w:r>
      <w:r w:rsidR="00D201BB" w:rsidRPr="00F91574">
        <w:t xml:space="preserve">olitical and legal issues </w:t>
      </w:r>
    </w:p>
    <w:p w14:paraId="5F425F85" w14:textId="77777777" w:rsidR="00D201BB" w:rsidRPr="00F91574" w:rsidRDefault="00EC185A" w:rsidP="001304CE">
      <w:pPr>
        <w:pStyle w:val="ListParagraph"/>
        <w:numPr>
          <w:ilvl w:val="0"/>
          <w:numId w:val="31"/>
        </w:numPr>
      </w:pPr>
      <w:r w:rsidRPr="00F91574">
        <w:t>P</w:t>
      </w:r>
      <w:r w:rsidR="00D201BB" w:rsidRPr="00F91574">
        <w:t>olitical and legal research</w:t>
      </w:r>
      <w:r w:rsidR="00BC4221" w:rsidRPr="00F91574">
        <w:t xml:space="preserve"> skills</w:t>
      </w:r>
      <w:r w:rsidR="009D711E" w:rsidRPr="00F91574">
        <w:t>.</w:t>
      </w:r>
    </w:p>
    <w:p w14:paraId="00F9612F" w14:textId="77777777" w:rsidR="001C62C9" w:rsidRPr="00F91574" w:rsidRDefault="001C62C9" w:rsidP="001C62C9">
      <w:pPr>
        <w:pStyle w:val="SCSAHeading2"/>
      </w:pPr>
      <w:bookmarkStart w:id="18" w:name="_Toc110421312"/>
      <w:bookmarkStart w:id="19" w:name="_Toc219985308"/>
      <w:bookmarkEnd w:id="15"/>
      <w:bookmarkEnd w:id="16"/>
      <w:r w:rsidRPr="00F91574">
        <w:lastRenderedPageBreak/>
        <w:t>Progression from the Years 7–10 curriculum</w:t>
      </w:r>
      <w:bookmarkEnd w:id="18"/>
      <w:bookmarkEnd w:id="19"/>
      <w:r w:rsidRPr="00F91574">
        <w:t xml:space="preserve"> </w:t>
      </w:r>
      <w:bookmarkStart w:id="20" w:name="_Toc110421313"/>
    </w:p>
    <w:p w14:paraId="7A11F64D" w14:textId="77777777" w:rsidR="001C62C9" w:rsidRPr="00F91574" w:rsidRDefault="001C62C9" w:rsidP="001C62C9">
      <w:pPr>
        <w:spacing w:line="271" w:lineRule="auto"/>
      </w:pPr>
      <w:r w:rsidRPr="00F91574">
        <w:t>The Politics and Law ATAR course continues to develop student understanding and skills from the Years 7–10 Humanities and Social Sciences learning area Civics and Citizenship curriculum. It focuses on Australia’s political and legal system while also comparing it with alternative political and legal systems. Students examine continuing and contemporary political and legal issues, helping them to understand democracy, the rule of law, representation, justice and participation in political and legal systems. Additionally, the course continues to develop students’ inquiry skills, with a greater focus on problem</w:t>
      </w:r>
      <w:r w:rsidRPr="00F91574">
        <w:noBreakHyphen/>
        <w:t>solving, decision-making and analysis.</w:t>
      </w:r>
    </w:p>
    <w:p w14:paraId="1E22EAF3" w14:textId="31427C03" w:rsidR="001C62C9" w:rsidRPr="00F91574" w:rsidRDefault="001C62C9" w:rsidP="001C62C9">
      <w:pPr>
        <w:pStyle w:val="SCSAHeading2"/>
        <w:spacing w:line="271" w:lineRule="auto"/>
      </w:pPr>
      <w:bookmarkStart w:id="21" w:name="_Toc219985309"/>
      <w:r w:rsidRPr="00F91574">
        <w:t>Representation of the General Capabilities</w:t>
      </w:r>
      <w:bookmarkEnd w:id="20"/>
      <w:bookmarkEnd w:id="21"/>
    </w:p>
    <w:p w14:paraId="3C9C3EC6" w14:textId="1528D0CA" w:rsidR="001C62C9" w:rsidRPr="00F91574" w:rsidRDefault="001C62C9" w:rsidP="001C62C9">
      <w:pPr>
        <w:spacing w:line="271" w:lineRule="auto"/>
      </w:pPr>
      <w:r w:rsidRPr="00F91574">
        <w:t>The General Capabilities encompass the knowledge, skills, behaviours and dispositions that will support students to live and work successfully now and into the future. They are not assessed unless identified within the specified unit content. Teachers should find opportunities to incorporate the following General Capabilities into the teaching and learning program for the Politics and Law ATAR course.</w:t>
      </w:r>
    </w:p>
    <w:p w14:paraId="51210B3E" w14:textId="77777777" w:rsidR="001C62C9" w:rsidRPr="00F91574" w:rsidRDefault="001C62C9" w:rsidP="001C62C9">
      <w:pPr>
        <w:pStyle w:val="SCSAHeading3"/>
        <w:spacing w:line="271" w:lineRule="auto"/>
      </w:pPr>
      <w:r w:rsidRPr="00F91574">
        <w:t>Critical and creative thinking</w:t>
      </w:r>
    </w:p>
    <w:p w14:paraId="7BB93724" w14:textId="77777777" w:rsidR="001C62C9" w:rsidRPr="00F91574" w:rsidRDefault="001C62C9" w:rsidP="001C62C9">
      <w:pPr>
        <w:spacing w:line="271" w:lineRule="auto"/>
      </w:pPr>
      <w:r w:rsidRPr="00F91574">
        <w:t>Students develop capability in critical and creative thinking as they apply problem-solving, inquiry, analytical and decision-making strategies to generate and evaluate knowledge, clarify concepts and ideas, seek possibilities and consider alternatives. Students further develop critical and creative thinking through investigating and evaluating the political and legal systems of Australia and other countries, as well as by examining contemporary political and legal issues.</w:t>
      </w:r>
    </w:p>
    <w:p w14:paraId="0B855652" w14:textId="77777777" w:rsidR="001C62C9" w:rsidRPr="00F91574" w:rsidRDefault="001C62C9" w:rsidP="001C62C9">
      <w:pPr>
        <w:pStyle w:val="SCSAHeading3"/>
        <w:spacing w:line="271" w:lineRule="auto"/>
      </w:pPr>
      <w:r w:rsidRPr="00F91574">
        <w:t>Ethical understanding</w:t>
      </w:r>
    </w:p>
    <w:p w14:paraId="154D2D2E" w14:textId="77777777" w:rsidR="001C62C9" w:rsidRPr="00F91574" w:rsidRDefault="001C62C9" w:rsidP="001C62C9">
      <w:pPr>
        <w:spacing w:line="271" w:lineRule="auto"/>
        <w:rPr>
          <w:b/>
          <w:sz w:val="26"/>
          <w:szCs w:val="26"/>
        </w:rPr>
      </w:pPr>
      <w:r w:rsidRPr="00F91574">
        <w:t>Students develop ethical understanding as they examine values, rights and responsibilities, and ethical norms associated with Australia’s democratic and common law systems, a non-democratic system and a non-common law system (inquisitorial). Increased knowledge of the principles of fair elections, political participation and natural justice enables students to understand the values and ethical norms associated with representation and justice.</w:t>
      </w:r>
    </w:p>
    <w:p w14:paraId="4CCB09B0" w14:textId="77777777" w:rsidR="001C62C9" w:rsidRPr="00F91574" w:rsidRDefault="001C62C9" w:rsidP="001C62C9">
      <w:pPr>
        <w:pStyle w:val="SCSAHeading3"/>
      </w:pPr>
      <w:bookmarkStart w:id="22" w:name="_Hlk204174277"/>
      <w:r w:rsidRPr="00F91574">
        <w:t>Intercultural understanding</w:t>
      </w:r>
    </w:p>
    <w:p w14:paraId="243F85D2" w14:textId="77777777" w:rsidR="001C62C9" w:rsidRPr="00F91574" w:rsidRDefault="001C62C9" w:rsidP="001C62C9">
      <w:r w:rsidRPr="00F91574">
        <w:t>Students develop intercultural understanding as they investigate contemporary political and legal issues centring on the judicial process, representation and justice, and liberal democratic principles, in the context of Australia’s political and legal system.</w:t>
      </w:r>
    </w:p>
    <w:bookmarkEnd w:id="22"/>
    <w:p w14:paraId="33FD9DCF" w14:textId="77777777" w:rsidR="001C62C9" w:rsidRPr="00F91574" w:rsidRDefault="001C62C9" w:rsidP="001C62C9">
      <w:pPr>
        <w:pStyle w:val="SCSAHeading3"/>
        <w:spacing w:line="271" w:lineRule="auto"/>
      </w:pPr>
      <w:r w:rsidRPr="00F91574">
        <w:t>Literacy</w:t>
      </w:r>
    </w:p>
    <w:p w14:paraId="239BE3D8" w14:textId="77777777" w:rsidR="001C62C9" w:rsidRPr="00F91574" w:rsidRDefault="001C62C9" w:rsidP="001C62C9">
      <w:pPr>
        <w:spacing w:line="271" w:lineRule="auto"/>
      </w:pPr>
      <w:r w:rsidRPr="00F91574">
        <w:t>Students develop literacy capability as they research, read and analyse sources of information on aspects of Australia’s political and legal system and contemporary issues. They learn to understand and use political and legal terminology to discuss, analyse and evaluate concepts and ideas related to democracy, the rule of law, representation and justice in Australia and globally. Students communicate information, analysis and conclusions, using reasoned arguments in response to short answer and essay questions, source analysis responses and an investigation.</w:t>
      </w:r>
    </w:p>
    <w:p w14:paraId="2E80A08C" w14:textId="77777777" w:rsidR="001C62C9" w:rsidRPr="00F91574" w:rsidRDefault="001C62C9" w:rsidP="001C62C9">
      <w:pPr>
        <w:pStyle w:val="SCSAHeading3"/>
        <w:spacing w:line="271" w:lineRule="auto"/>
      </w:pPr>
      <w:r w:rsidRPr="00F91574">
        <w:lastRenderedPageBreak/>
        <w:t>Personal and social capability</w:t>
      </w:r>
    </w:p>
    <w:p w14:paraId="179BF4DA" w14:textId="77777777" w:rsidR="001C62C9" w:rsidRPr="00F91574" w:rsidRDefault="001C62C9" w:rsidP="001C62C9">
      <w:pPr>
        <w:spacing w:line="271" w:lineRule="auto"/>
        <w:rPr>
          <w:b/>
          <w:bCs/>
          <w:lang w:eastAsia="en-AU"/>
        </w:rPr>
      </w:pPr>
      <w:r w:rsidRPr="00F91574">
        <w:rPr>
          <w:lang w:eastAsia="en-AU"/>
        </w:rPr>
        <w:t>Students develop personal and social capability as they investigate the legislative and judicial processes, the role of the individual, political parties and pressure groups, as well as political and legal issues associated with representation and justice. This allows them to develop their</w:t>
      </w:r>
      <w:r w:rsidRPr="00F91574">
        <w:t xml:space="preserve"> </w:t>
      </w:r>
      <w:r w:rsidRPr="00F91574">
        <w:rPr>
          <w:lang w:eastAsia="en-AU"/>
        </w:rPr>
        <w:t>communication and decision-making skills while learning to appreciate others’ insights and perspectives.</w:t>
      </w:r>
    </w:p>
    <w:p w14:paraId="550D0871" w14:textId="1A7CF7B6" w:rsidR="001C62C9" w:rsidRPr="00F91574" w:rsidRDefault="001C62C9" w:rsidP="001C62C9">
      <w:pPr>
        <w:pStyle w:val="SCSAHeading3"/>
      </w:pPr>
      <w:r w:rsidRPr="00F91574">
        <w:t>Addressing the other General Capabilities</w:t>
      </w:r>
    </w:p>
    <w:p w14:paraId="7009A832" w14:textId="282EEFC4" w:rsidR="001C62C9" w:rsidRPr="00F91574" w:rsidRDefault="001C62C9" w:rsidP="001C62C9">
      <w:r w:rsidRPr="00F91574">
        <w:t>Although the following General Capabilities have not been identified as a focus in the Politics and Law ATAR syllabus, teachers may find opportunities to incorporate them into the teaching and learning program.</w:t>
      </w:r>
    </w:p>
    <w:p w14:paraId="3D867B81" w14:textId="77777777" w:rsidR="001C62C9" w:rsidRPr="00F91574" w:rsidRDefault="001C62C9" w:rsidP="001C62C9">
      <w:pPr>
        <w:pStyle w:val="ListParagraph"/>
        <w:numPr>
          <w:ilvl w:val="0"/>
          <w:numId w:val="32"/>
        </w:numPr>
      </w:pPr>
      <w:r w:rsidRPr="00F91574">
        <w:t>Digital literacy</w:t>
      </w:r>
    </w:p>
    <w:p w14:paraId="6B3CC8B8" w14:textId="77777777" w:rsidR="001C62C9" w:rsidRPr="00F91574" w:rsidRDefault="001C62C9" w:rsidP="001C62C9">
      <w:pPr>
        <w:pStyle w:val="ListParagraph"/>
        <w:numPr>
          <w:ilvl w:val="0"/>
          <w:numId w:val="32"/>
        </w:numPr>
      </w:pPr>
      <w:r w:rsidRPr="00F91574">
        <w:t>Numeracy</w:t>
      </w:r>
    </w:p>
    <w:p w14:paraId="15ED3847" w14:textId="77777777" w:rsidR="001C62C9" w:rsidRPr="00F91574" w:rsidRDefault="001C62C9" w:rsidP="001C62C9">
      <w:r w:rsidRPr="00F91574">
        <w:t>Such opportunities may occur through the application of different contexts, pedagogical practices and/or assessment strategies that relate to the syllabus as part of the teaching and learning program.</w:t>
      </w:r>
    </w:p>
    <w:p w14:paraId="4894B1F7" w14:textId="3942BA7A" w:rsidR="001C62C9" w:rsidRPr="00F91574" w:rsidRDefault="001C62C9" w:rsidP="001C62C9">
      <w:pPr>
        <w:pStyle w:val="SCSAHeading3"/>
      </w:pPr>
      <w:r w:rsidRPr="00F91574">
        <w:t>Summary representation of the General Capabilities in the Politics and Law ATAR course</w:t>
      </w:r>
    </w:p>
    <w:p w14:paraId="0245990C" w14:textId="77777777" w:rsidR="001C62C9" w:rsidRPr="00F91574" w:rsidRDefault="001C62C9" w:rsidP="007D4F16">
      <w:bookmarkStart w:id="23" w:name="_Hlk215229413"/>
      <w:r w:rsidRPr="00F91574">
        <w:t>The unit content and assessment types for this course provide students with the opportunity to develop the General Capabilities summarised in the table below.</w:t>
      </w:r>
    </w:p>
    <w:tbl>
      <w:tblPr>
        <w:tblStyle w:val="SCSATableclearstyle"/>
        <w:tblW w:w="5000" w:type="pct"/>
        <w:tblLook w:val="04A0" w:firstRow="1" w:lastRow="0" w:firstColumn="1" w:lastColumn="0" w:noHBand="0" w:noVBand="1"/>
      </w:tblPr>
      <w:tblGrid>
        <w:gridCol w:w="982"/>
        <w:gridCol w:w="3003"/>
        <w:gridCol w:w="868"/>
        <w:gridCol w:w="605"/>
        <w:gridCol w:w="601"/>
        <w:gridCol w:w="602"/>
        <w:gridCol w:w="599"/>
        <w:gridCol w:w="598"/>
        <w:gridCol w:w="596"/>
        <w:gridCol w:w="606"/>
      </w:tblGrid>
      <w:tr w:rsidR="001C62C9" w:rsidRPr="00F91574" w14:paraId="6A843B8B" w14:textId="77777777" w:rsidTr="001C62C9">
        <w:trPr>
          <w:cnfStyle w:val="100000000000" w:firstRow="1" w:lastRow="0" w:firstColumn="0" w:lastColumn="0" w:oddVBand="0" w:evenVBand="0" w:oddHBand="0" w:evenHBand="0" w:firstRowFirstColumn="0" w:firstRowLastColumn="0" w:lastRowFirstColumn="0" w:lastRowLastColumn="0"/>
          <w:trHeight w:val="261"/>
        </w:trPr>
        <w:tc>
          <w:tcPr>
            <w:tcW w:w="1006" w:type="dxa"/>
            <w:vMerge w:val="restart"/>
          </w:tcPr>
          <w:p w14:paraId="3759FF1D" w14:textId="77777777" w:rsidR="001C62C9" w:rsidRPr="00F91574" w:rsidRDefault="001C62C9" w:rsidP="009530E6">
            <w:pPr>
              <w:spacing w:after="100" w:afterAutospacing="1"/>
              <w:rPr>
                <w:b w:val="0"/>
                <w:bCs/>
              </w:rPr>
            </w:pPr>
            <w:bookmarkStart w:id="24" w:name="_Hlk197439578"/>
            <w:bookmarkStart w:id="25" w:name="_Hlk207182325"/>
            <w:bookmarkEnd w:id="23"/>
            <w:r w:rsidRPr="00F91574">
              <w:rPr>
                <w:bCs/>
              </w:rPr>
              <w:t>Year</w:t>
            </w:r>
          </w:p>
        </w:tc>
        <w:tc>
          <w:tcPr>
            <w:tcW w:w="3131" w:type="dxa"/>
            <w:vMerge w:val="restart"/>
          </w:tcPr>
          <w:p w14:paraId="129CD740" w14:textId="77777777" w:rsidR="001C62C9" w:rsidRPr="00F91574" w:rsidRDefault="001C62C9" w:rsidP="009530E6">
            <w:pPr>
              <w:spacing w:after="100" w:afterAutospacing="1"/>
              <w:rPr>
                <w:b w:val="0"/>
                <w:bCs/>
              </w:rPr>
            </w:pPr>
            <w:r w:rsidRPr="00F91574">
              <w:rPr>
                <w:bCs/>
              </w:rPr>
              <w:t>Course</w:t>
            </w:r>
          </w:p>
        </w:tc>
        <w:tc>
          <w:tcPr>
            <w:tcW w:w="873" w:type="dxa"/>
            <w:vMerge w:val="restart"/>
          </w:tcPr>
          <w:p w14:paraId="25FA7251" w14:textId="77777777" w:rsidR="001C62C9" w:rsidRPr="00F91574" w:rsidRDefault="001C62C9" w:rsidP="009530E6">
            <w:pPr>
              <w:spacing w:after="100" w:afterAutospacing="1"/>
              <w:rPr>
                <w:b w:val="0"/>
                <w:bCs/>
              </w:rPr>
            </w:pPr>
            <w:r w:rsidRPr="00F91574">
              <w:rPr>
                <w:bCs/>
              </w:rPr>
              <w:t>Course type</w:t>
            </w:r>
          </w:p>
        </w:tc>
        <w:tc>
          <w:tcPr>
            <w:tcW w:w="4276" w:type="dxa"/>
            <w:gridSpan w:val="7"/>
          </w:tcPr>
          <w:p w14:paraId="14004C85" w14:textId="75A03DDF" w:rsidR="001C62C9" w:rsidRPr="00F91574" w:rsidRDefault="001C62C9" w:rsidP="009530E6">
            <w:pPr>
              <w:spacing w:after="100" w:afterAutospacing="1"/>
              <w:jc w:val="center"/>
              <w:rPr>
                <w:b w:val="0"/>
                <w:bCs/>
              </w:rPr>
            </w:pPr>
            <w:r w:rsidRPr="00F91574">
              <w:rPr>
                <w:bCs/>
              </w:rPr>
              <w:t>General Capabilities</w:t>
            </w:r>
          </w:p>
        </w:tc>
      </w:tr>
      <w:tr w:rsidR="001C62C9" w:rsidRPr="00F91574" w14:paraId="042F10EB" w14:textId="77777777" w:rsidTr="001C62C9">
        <w:trPr>
          <w:trHeight w:val="142"/>
        </w:trPr>
        <w:tc>
          <w:tcPr>
            <w:tcW w:w="1006" w:type="dxa"/>
            <w:vMerge/>
          </w:tcPr>
          <w:p w14:paraId="6DED2A4C" w14:textId="77777777" w:rsidR="001C62C9" w:rsidRPr="00F91574" w:rsidRDefault="001C62C9" w:rsidP="009530E6">
            <w:pPr>
              <w:spacing w:after="100" w:afterAutospacing="1"/>
              <w:rPr>
                <w:b/>
                <w:bCs/>
              </w:rPr>
            </w:pPr>
          </w:p>
        </w:tc>
        <w:tc>
          <w:tcPr>
            <w:tcW w:w="3131" w:type="dxa"/>
            <w:vMerge/>
          </w:tcPr>
          <w:p w14:paraId="3E7C878B" w14:textId="77777777" w:rsidR="001C62C9" w:rsidRPr="00F91574" w:rsidRDefault="001C62C9" w:rsidP="009530E6">
            <w:pPr>
              <w:spacing w:after="100" w:afterAutospacing="1"/>
              <w:rPr>
                <w:b/>
                <w:bCs/>
              </w:rPr>
            </w:pPr>
          </w:p>
        </w:tc>
        <w:tc>
          <w:tcPr>
            <w:tcW w:w="873" w:type="dxa"/>
            <w:vMerge/>
          </w:tcPr>
          <w:p w14:paraId="4A68A28E" w14:textId="77777777" w:rsidR="001C62C9" w:rsidRPr="00F91574" w:rsidRDefault="001C62C9" w:rsidP="009530E6">
            <w:pPr>
              <w:spacing w:after="100" w:afterAutospacing="1"/>
              <w:rPr>
                <w:b/>
                <w:bCs/>
              </w:rPr>
            </w:pPr>
          </w:p>
        </w:tc>
        <w:tc>
          <w:tcPr>
            <w:tcW w:w="610" w:type="dxa"/>
          </w:tcPr>
          <w:p w14:paraId="2B31113B" w14:textId="77777777" w:rsidR="001C62C9" w:rsidRPr="00F91574" w:rsidRDefault="001C62C9" w:rsidP="009530E6">
            <w:pPr>
              <w:spacing w:after="100" w:afterAutospacing="1"/>
              <w:jc w:val="center"/>
              <w:rPr>
                <w:b/>
                <w:bCs/>
              </w:rPr>
            </w:pPr>
            <w:r w:rsidRPr="00F91574">
              <w:rPr>
                <w:rFonts w:ascii="Calibri" w:eastAsia="Calibri" w:hAnsi="Calibri" w:cs="Calibri"/>
                <w:b/>
                <w:bCs/>
              </w:rPr>
              <w:t>CCT</w:t>
            </w:r>
          </w:p>
        </w:tc>
        <w:tc>
          <w:tcPr>
            <w:tcW w:w="611" w:type="dxa"/>
          </w:tcPr>
          <w:p w14:paraId="146ED0A3" w14:textId="77777777" w:rsidR="001C62C9" w:rsidRPr="00F91574" w:rsidRDefault="001C62C9" w:rsidP="009530E6">
            <w:pPr>
              <w:spacing w:after="100" w:afterAutospacing="1"/>
              <w:jc w:val="center"/>
              <w:rPr>
                <w:b/>
                <w:bCs/>
              </w:rPr>
            </w:pPr>
            <w:r w:rsidRPr="00F91574">
              <w:rPr>
                <w:rFonts w:ascii="Calibri" w:eastAsia="Calibri" w:hAnsi="Calibri" w:cs="Calibri"/>
                <w:b/>
                <w:bCs/>
              </w:rPr>
              <w:t>DL</w:t>
            </w:r>
          </w:p>
        </w:tc>
        <w:tc>
          <w:tcPr>
            <w:tcW w:w="611" w:type="dxa"/>
          </w:tcPr>
          <w:p w14:paraId="7A46CCA3" w14:textId="77777777" w:rsidR="001C62C9" w:rsidRPr="00F91574" w:rsidRDefault="001C62C9" w:rsidP="009530E6">
            <w:pPr>
              <w:spacing w:after="100" w:afterAutospacing="1"/>
              <w:jc w:val="center"/>
              <w:rPr>
                <w:b/>
                <w:bCs/>
              </w:rPr>
            </w:pPr>
            <w:r w:rsidRPr="00F91574">
              <w:rPr>
                <w:rFonts w:ascii="Calibri" w:eastAsia="Calibri" w:hAnsi="Calibri" w:cs="Calibri"/>
                <w:b/>
                <w:bCs/>
              </w:rPr>
              <w:t>EU</w:t>
            </w:r>
          </w:p>
        </w:tc>
        <w:tc>
          <w:tcPr>
            <w:tcW w:w="611" w:type="dxa"/>
          </w:tcPr>
          <w:p w14:paraId="092577BD" w14:textId="77777777" w:rsidR="001C62C9" w:rsidRPr="00F91574" w:rsidRDefault="001C62C9" w:rsidP="009530E6">
            <w:pPr>
              <w:spacing w:after="100" w:afterAutospacing="1"/>
              <w:jc w:val="center"/>
              <w:rPr>
                <w:b/>
                <w:bCs/>
              </w:rPr>
            </w:pPr>
            <w:r w:rsidRPr="00F91574">
              <w:rPr>
                <w:rFonts w:ascii="Calibri" w:eastAsia="Calibri" w:hAnsi="Calibri" w:cs="Calibri"/>
                <w:b/>
                <w:bCs/>
              </w:rPr>
              <w:t>IU</w:t>
            </w:r>
          </w:p>
        </w:tc>
        <w:tc>
          <w:tcPr>
            <w:tcW w:w="611" w:type="dxa"/>
          </w:tcPr>
          <w:p w14:paraId="7D6F3E23" w14:textId="77777777" w:rsidR="001C62C9" w:rsidRPr="00F91574" w:rsidRDefault="001C62C9" w:rsidP="009530E6">
            <w:pPr>
              <w:spacing w:after="100" w:afterAutospacing="1"/>
              <w:jc w:val="center"/>
              <w:rPr>
                <w:b/>
                <w:bCs/>
              </w:rPr>
            </w:pPr>
            <w:r w:rsidRPr="00F91574">
              <w:rPr>
                <w:rFonts w:ascii="Calibri" w:eastAsia="Calibri" w:hAnsi="Calibri" w:cs="Calibri"/>
                <w:b/>
                <w:bCs/>
              </w:rPr>
              <w:t>L</w:t>
            </w:r>
          </w:p>
        </w:tc>
        <w:tc>
          <w:tcPr>
            <w:tcW w:w="611" w:type="dxa"/>
          </w:tcPr>
          <w:p w14:paraId="2FAFB290" w14:textId="77777777" w:rsidR="001C62C9" w:rsidRPr="00F91574" w:rsidRDefault="001C62C9" w:rsidP="009530E6">
            <w:pPr>
              <w:spacing w:after="100" w:afterAutospacing="1"/>
              <w:jc w:val="center"/>
              <w:rPr>
                <w:b/>
                <w:bCs/>
              </w:rPr>
            </w:pPr>
            <w:r w:rsidRPr="00F91574">
              <w:rPr>
                <w:rFonts w:ascii="Calibri" w:eastAsia="Calibri" w:hAnsi="Calibri" w:cs="Calibri"/>
                <w:b/>
                <w:bCs/>
              </w:rPr>
              <w:t>N</w:t>
            </w:r>
          </w:p>
        </w:tc>
        <w:tc>
          <w:tcPr>
            <w:tcW w:w="611" w:type="dxa"/>
          </w:tcPr>
          <w:p w14:paraId="0261FCE2" w14:textId="77777777" w:rsidR="001C62C9" w:rsidRPr="00F91574" w:rsidRDefault="001C62C9" w:rsidP="009530E6">
            <w:pPr>
              <w:spacing w:after="100" w:afterAutospacing="1"/>
              <w:jc w:val="center"/>
              <w:rPr>
                <w:b/>
                <w:bCs/>
              </w:rPr>
            </w:pPr>
            <w:r w:rsidRPr="00F91574">
              <w:rPr>
                <w:rFonts w:ascii="Calibri" w:eastAsia="Calibri" w:hAnsi="Calibri" w:cs="Calibri"/>
                <w:b/>
                <w:bCs/>
              </w:rPr>
              <w:t>PSC</w:t>
            </w:r>
          </w:p>
        </w:tc>
      </w:tr>
      <w:bookmarkEnd w:id="24"/>
      <w:tr w:rsidR="001C62C9" w:rsidRPr="00F91574" w14:paraId="370F8B50" w14:textId="77777777" w:rsidTr="001C62C9">
        <w:trPr>
          <w:trHeight w:val="261"/>
        </w:trPr>
        <w:tc>
          <w:tcPr>
            <w:tcW w:w="1006" w:type="dxa"/>
          </w:tcPr>
          <w:p w14:paraId="1CA8BE4C" w14:textId="77777777" w:rsidR="001C62C9" w:rsidRPr="00F91574" w:rsidRDefault="001C62C9" w:rsidP="009530E6">
            <w:pPr>
              <w:spacing w:after="100" w:afterAutospacing="1"/>
            </w:pPr>
            <w:r w:rsidRPr="00F91574">
              <w:t>Year 11</w:t>
            </w:r>
          </w:p>
        </w:tc>
        <w:tc>
          <w:tcPr>
            <w:tcW w:w="3131" w:type="dxa"/>
          </w:tcPr>
          <w:p w14:paraId="1099398D" w14:textId="77777777" w:rsidR="001C62C9" w:rsidRPr="00F91574" w:rsidRDefault="001C62C9" w:rsidP="009530E6">
            <w:pPr>
              <w:spacing w:after="100" w:afterAutospacing="1"/>
            </w:pPr>
            <w:r w:rsidRPr="00F91574">
              <w:rPr>
                <w:rFonts w:cs="Calibri"/>
              </w:rPr>
              <w:t xml:space="preserve">Politics and Law (AEPAL) </w:t>
            </w:r>
          </w:p>
        </w:tc>
        <w:tc>
          <w:tcPr>
            <w:tcW w:w="873" w:type="dxa"/>
          </w:tcPr>
          <w:p w14:paraId="6141998B" w14:textId="77777777" w:rsidR="001C62C9" w:rsidRPr="00F91574" w:rsidRDefault="001C62C9" w:rsidP="009530E6">
            <w:pPr>
              <w:spacing w:after="100" w:afterAutospacing="1"/>
            </w:pPr>
            <w:r w:rsidRPr="00F91574">
              <w:t>ATAR</w:t>
            </w:r>
          </w:p>
        </w:tc>
        <w:tc>
          <w:tcPr>
            <w:tcW w:w="610" w:type="dxa"/>
            <w:vAlign w:val="center"/>
          </w:tcPr>
          <w:p w14:paraId="2CAC5E59" w14:textId="77777777" w:rsidR="001C62C9" w:rsidRPr="00F91574" w:rsidRDefault="001C62C9" w:rsidP="009530E6">
            <w:pPr>
              <w:spacing w:after="100" w:afterAutospacing="1"/>
              <w:jc w:val="center"/>
            </w:pPr>
            <w:r w:rsidRPr="00F91574">
              <w:sym w:font="Wingdings" w:char="F0FC"/>
            </w:r>
          </w:p>
        </w:tc>
        <w:tc>
          <w:tcPr>
            <w:tcW w:w="611" w:type="dxa"/>
            <w:shd w:val="clear" w:color="auto" w:fill="DECFE8" w:themeFill="accent5"/>
            <w:vAlign w:val="center"/>
          </w:tcPr>
          <w:p w14:paraId="6BAC4D41" w14:textId="77777777" w:rsidR="001C62C9" w:rsidRPr="00F91574" w:rsidRDefault="001C62C9" w:rsidP="009530E6">
            <w:pPr>
              <w:spacing w:after="100" w:afterAutospacing="1"/>
              <w:jc w:val="center"/>
              <w:rPr>
                <w:highlight w:val="lightGray"/>
              </w:rPr>
            </w:pPr>
          </w:p>
        </w:tc>
        <w:tc>
          <w:tcPr>
            <w:tcW w:w="611" w:type="dxa"/>
            <w:vAlign w:val="center"/>
          </w:tcPr>
          <w:p w14:paraId="4C1C970C" w14:textId="77777777" w:rsidR="001C62C9" w:rsidRPr="00F91574" w:rsidRDefault="001C62C9" w:rsidP="009530E6">
            <w:pPr>
              <w:spacing w:after="100" w:afterAutospacing="1"/>
              <w:jc w:val="center"/>
              <w:rPr>
                <w:highlight w:val="yellow"/>
              </w:rPr>
            </w:pPr>
            <w:r w:rsidRPr="00F91574">
              <w:sym w:font="Wingdings" w:char="F0FC"/>
            </w:r>
          </w:p>
        </w:tc>
        <w:tc>
          <w:tcPr>
            <w:tcW w:w="611" w:type="dxa"/>
            <w:vAlign w:val="center"/>
          </w:tcPr>
          <w:p w14:paraId="7FDB7881" w14:textId="77777777" w:rsidR="001C62C9" w:rsidRPr="00F91574" w:rsidRDefault="001C62C9" w:rsidP="009530E6">
            <w:pPr>
              <w:spacing w:after="100" w:afterAutospacing="1"/>
              <w:jc w:val="center"/>
            </w:pPr>
            <w:r w:rsidRPr="00F91574">
              <w:sym w:font="Wingdings" w:char="F0FC"/>
            </w:r>
          </w:p>
        </w:tc>
        <w:tc>
          <w:tcPr>
            <w:tcW w:w="611" w:type="dxa"/>
            <w:vAlign w:val="center"/>
          </w:tcPr>
          <w:p w14:paraId="21AAE234" w14:textId="77777777" w:rsidR="001C62C9" w:rsidRPr="00F91574" w:rsidRDefault="001C62C9" w:rsidP="009530E6">
            <w:pPr>
              <w:spacing w:after="100" w:afterAutospacing="1"/>
              <w:jc w:val="center"/>
            </w:pPr>
            <w:r w:rsidRPr="00F91574">
              <w:sym w:font="Wingdings" w:char="F0FC"/>
            </w:r>
          </w:p>
        </w:tc>
        <w:tc>
          <w:tcPr>
            <w:tcW w:w="611" w:type="dxa"/>
            <w:shd w:val="clear" w:color="auto" w:fill="DECFE8" w:themeFill="accent5"/>
            <w:vAlign w:val="center"/>
          </w:tcPr>
          <w:p w14:paraId="33B4A9C0" w14:textId="77777777" w:rsidR="001C62C9" w:rsidRPr="00F91574" w:rsidRDefault="001C62C9" w:rsidP="009530E6">
            <w:pPr>
              <w:spacing w:after="100" w:afterAutospacing="1"/>
              <w:jc w:val="center"/>
            </w:pPr>
          </w:p>
        </w:tc>
        <w:tc>
          <w:tcPr>
            <w:tcW w:w="611" w:type="dxa"/>
            <w:vAlign w:val="center"/>
          </w:tcPr>
          <w:p w14:paraId="34E101D1" w14:textId="77777777" w:rsidR="001C62C9" w:rsidRPr="00F91574" w:rsidRDefault="001C62C9" w:rsidP="009530E6">
            <w:pPr>
              <w:spacing w:after="100" w:afterAutospacing="1"/>
              <w:jc w:val="center"/>
            </w:pPr>
            <w:r w:rsidRPr="00F91574">
              <w:sym w:font="Wingdings" w:char="F0FC"/>
            </w:r>
          </w:p>
        </w:tc>
      </w:tr>
      <w:tr w:rsidR="001C62C9" w:rsidRPr="00F91574" w14:paraId="29093078" w14:textId="77777777" w:rsidTr="001C62C9">
        <w:trPr>
          <w:trHeight w:val="261"/>
        </w:trPr>
        <w:tc>
          <w:tcPr>
            <w:tcW w:w="1006" w:type="dxa"/>
          </w:tcPr>
          <w:p w14:paraId="6A60547A" w14:textId="77777777" w:rsidR="001C62C9" w:rsidRPr="00F91574" w:rsidRDefault="001C62C9" w:rsidP="009530E6">
            <w:pPr>
              <w:spacing w:after="100" w:afterAutospacing="1"/>
            </w:pPr>
            <w:r w:rsidRPr="00F91574">
              <w:t>Year 12</w:t>
            </w:r>
          </w:p>
        </w:tc>
        <w:tc>
          <w:tcPr>
            <w:tcW w:w="3131" w:type="dxa"/>
          </w:tcPr>
          <w:p w14:paraId="0C95B30D" w14:textId="77777777" w:rsidR="001C62C9" w:rsidRPr="00F91574" w:rsidRDefault="001C62C9" w:rsidP="009530E6">
            <w:pPr>
              <w:spacing w:after="100" w:afterAutospacing="1"/>
            </w:pPr>
            <w:r w:rsidRPr="00F91574">
              <w:rPr>
                <w:rFonts w:cs="Calibri"/>
              </w:rPr>
              <w:t>Politics and Law (ATPAL)</w:t>
            </w:r>
          </w:p>
        </w:tc>
        <w:tc>
          <w:tcPr>
            <w:tcW w:w="873" w:type="dxa"/>
          </w:tcPr>
          <w:p w14:paraId="6602AE52" w14:textId="77777777" w:rsidR="001C62C9" w:rsidRPr="00F91574" w:rsidRDefault="001C62C9" w:rsidP="009530E6">
            <w:pPr>
              <w:spacing w:after="100" w:afterAutospacing="1"/>
            </w:pPr>
            <w:r w:rsidRPr="00F91574">
              <w:t>ATAR</w:t>
            </w:r>
          </w:p>
        </w:tc>
        <w:tc>
          <w:tcPr>
            <w:tcW w:w="610" w:type="dxa"/>
            <w:vAlign w:val="center"/>
          </w:tcPr>
          <w:p w14:paraId="0FE66D43" w14:textId="77777777" w:rsidR="001C62C9" w:rsidRPr="00F91574" w:rsidRDefault="001C62C9" w:rsidP="009530E6">
            <w:pPr>
              <w:spacing w:after="100" w:afterAutospacing="1"/>
              <w:jc w:val="center"/>
            </w:pPr>
            <w:r w:rsidRPr="00F91574">
              <w:sym w:font="Wingdings" w:char="F0FC"/>
            </w:r>
          </w:p>
        </w:tc>
        <w:tc>
          <w:tcPr>
            <w:tcW w:w="611" w:type="dxa"/>
            <w:shd w:val="clear" w:color="auto" w:fill="DECFE8" w:themeFill="accent5"/>
            <w:vAlign w:val="center"/>
          </w:tcPr>
          <w:p w14:paraId="15FA6548" w14:textId="77777777" w:rsidR="001C62C9" w:rsidRPr="00F91574" w:rsidRDefault="001C62C9" w:rsidP="009530E6">
            <w:pPr>
              <w:spacing w:after="100" w:afterAutospacing="1"/>
              <w:jc w:val="center"/>
            </w:pPr>
          </w:p>
        </w:tc>
        <w:tc>
          <w:tcPr>
            <w:tcW w:w="611" w:type="dxa"/>
            <w:vAlign w:val="center"/>
          </w:tcPr>
          <w:p w14:paraId="420C28A3" w14:textId="77777777" w:rsidR="001C62C9" w:rsidRPr="00F91574" w:rsidRDefault="001C62C9" w:rsidP="009530E6">
            <w:pPr>
              <w:spacing w:after="100" w:afterAutospacing="1"/>
              <w:jc w:val="center"/>
              <w:rPr>
                <w:highlight w:val="yellow"/>
              </w:rPr>
            </w:pPr>
            <w:r w:rsidRPr="00F91574">
              <w:sym w:font="Wingdings" w:char="F0FC"/>
            </w:r>
          </w:p>
        </w:tc>
        <w:tc>
          <w:tcPr>
            <w:tcW w:w="611" w:type="dxa"/>
            <w:shd w:val="clear" w:color="auto" w:fill="DECFE8" w:themeFill="accent5"/>
            <w:vAlign w:val="center"/>
          </w:tcPr>
          <w:p w14:paraId="677FD8DE" w14:textId="77777777" w:rsidR="001C62C9" w:rsidRPr="00F91574" w:rsidRDefault="001C62C9" w:rsidP="009530E6">
            <w:pPr>
              <w:spacing w:after="100" w:afterAutospacing="1"/>
              <w:jc w:val="center"/>
            </w:pPr>
          </w:p>
        </w:tc>
        <w:tc>
          <w:tcPr>
            <w:tcW w:w="611" w:type="dxa"/>
            <w:vAlign w:val="center"/>
          </w:tcPr>
          <w:p w14:paraId="2EAFACD1" w14:textId="77777777" w:rsidR="001C62C9" w:rsidRPr="00F91574" w:rsidRDefault="001C62C9" w:rsidP="009530E6">
            <w:pPr>
              <w:spacing w:after="100" w:afterAutospacing="1"/>
              <w:jc w:val="center"/>
            </w:pPr>
            <w:r w:rsidRPr="00F91574">
              <w:sym w:font="Wingdings" w:char="F0FC"/>
            </w:r>
          </w:p>
        </w:tc>
        <w:tc>
          <w:tcPr>
            <w:tcW w:w="611" w:type="dxa"/>
            <w:shd w:val="clear" w:color="auto" w:fill="DECFE8" w:themeFill="accent5"/>
            <w:vAlign w:val="center"/>
          </w:tcPr>
          <w:p w14:paraId="2485A48B" w14:textId="77777777" w:rsidR="001C62C9" w:rsidRPr="00F91574" w:rsidRDefault="001C62C9" w:rsidP="009530E6">
            <w:pPr>
              <w:spacing w:after="100" w:afterAutospacing="1"/>
              <w:jc w:val="center"/>
            </w:pPr>
          </w:p>
        </w:tc>
        <w:tc>
          <w:tcPr>
            <w:tcW w:w="611" w:type="dxa"/>
            <w:vAlign w:val="center"/>
          </w:tcPr>
          <w:p w14:paraId="36064170" w14:textId="77777777" w:rsidR="001C62C9" w:rsidRPr="00F91574" w:rsidRDefault="001C62C9" w:rsidP="009530E6">
            <w:pPr>
              <w:spacing w:after="100" w:afterAutospacing="1"/>
              <w:jc w:val="center"/>
            </w:pPr>
            <w:r w:rsidRPr="00F91574">
              <w:sym w:font="Wingdings" w:char="F0FC"/>
            </w:r>
          </w:p>
        </w:tc>
      </w:tr>
    </w:tbl>
    <w:p w14:paraId="609529B5" w14:textId="77777777" w:rsidR="001C62C9" w:rsidRPr="00F91574" w:rsidRDefault="001C62C9" w:rsidP="001C62C9">
      <w:pPr>
        <w:spacing w:before="120" w:after="0"/>
        <w:rPr>
          <w:b/>
          <w:bCs/>
        </w:rPr>
      </w:pPr>
      <w:r w:rsidRPr="00F91574">
        <w:rPr>
          <w:b/>
          <w:bCs/>
        </w:rPr>
        <w:t>Key</w:t>
      </w:r>
    </w:p>
    <w:p w14:paraId="556DF4D8" w14:textId="77777777" w:rsidR="001C62C9" w:rsidRPr="00F91574" w:rsidRDefault="001C62C9" w:rsidP="001C62C9">
      <w:pPr>
        <w:rPr>
          <w:rFonts w:ascii="Calibri" w:eastAsia="Calibri" w:hAnsi="Calibri" w:cs="Calibri"/>
        </w:rPr>
      </w:pPr>
      <w:bookmarkStart w:id="26" w:name="_Hlk206510884"/>
      <w:r w:rsidRPr="00F91574">
        <w:rPr>
          <w:rFonts w:ascii="Calibri" w:eastAsia="Calibri" w:hAnsi="Calibri" w:cs="Calibri"/>
        </w:rPr>
        <w:t>CCT: Critical and creative thinking, DL: Digital literacy, EU: Ethical understanding, IU: Intercultural understanding, L: Literacy, N: Numeracy, PSC: Personal and social capability</w:t>
      </w:r>
      <w:bookmarkEnd w:id="25"/>
      <w:bookmarkEnd w:id="26"/>
    </w:p>
    <w:p w14:paraId="19A81D8D" w14:textId="193C40B0" w:rsidR="00CB0B33" w:rsidRPr="00F91574" w:rsidRDefault="00CB0B33" w:rsidP="001C62C9">
      <w:pPr>
        <w:pStyle w:val="SCSAHeading2"/>
      </w:pPr>
      <w:bookmarkStart w:id="27" w:name="_Toc219985310"/>
      <w:r w:rsidRPr="00F91574">
        <w:t xml:space="preserve">Representation of </w:t>
      </w:r>
      <w:r w:rsidR="00BC332B" w:rsidRPr="00F91574">
        <w:t xml:space="preserve">the </w:t>
      </w:r>
      <w:r w:rsidR="001C62C9" w:rsidRPr="00F91574">
        <w:t>Cross-curriculum Priorities</w:t>
      </w:r>
      <w:bookmarkEnd w:id="27"/>
    </w:p>
    <w:p w14:paraId="61825767" w14:textId="384C942A" w:rsidR="005C554A" w:rsidRPr="00F91574" w:rsidRDefault="003A1A71" w:rsidP="00B761EA">
      <w:r w:rsidRPr="00F91574">
        <w:t xml:space="preserve">The </w:t>
      </w:r>
      <w:r w:rsidR="001C62C9" w:rsidRPr="00F91574">
        <w:t>Cross-curriculum Priorities</w:t>
      </w:r>
      <w:r w:rsidR="005C554A" w:rsidRPr="00F91574">
        <w:t xml:space="preserve"> address contemporary issues </w:t>
      </w:r>
      <w:r w:rsidR="00DF7F1D">
        <w:t>that</w:t>
      </w:r>
      <w:r w:rsidR="005C554A" w:rsidRPr="00F91574">
        <w:t xml:space="preserve"> students face in a</w:t>
      </w:r>
      <w:r w:rsidR="00B761EA" w:rsidRPr="00F91574">
        <w:t xml:space="preserve"> globalised world. Teachers may</w:t>
      </w:r>
      <w:r w:rsidR="005C554A" w:rsidRPr="00F91574">
        <w:t xml:space="preserve"> find opportunities to incorporate </w:t>
      </w:r>
      <w:r w:rsidR="001C62C9" w:rsidRPr="00F91574">
        <w:t>them</w:t>
      </w:r>
      <w:r w:rsidR="005C554A" w:rsidRPr="00F91574">
        <w:t xml:space="preserve"> into the teaching and learning program for </w:t>
      </w:r>
      <w:r w:rsidR="004C189F" w:rsidRPr="00F91574">
        <w:t>the Politics and Law ATAR course</w:t>
      </w:r>
      <w:r w:rsidR="00D63750" w:rsidRPr="00F91574">
        <w:t>.</w:t>
      </w:r>
      <w:r w:rsidR="00B761EA" w:rsidRPr="00F91574">
        <w:t xml:space="preserve"> The </w:t>
      </w:r>
      <w:r w:rsidR="001C62C9" w:rsidRPr="00F91574">
        <w:t>Cross-curriculum Priorities</w:t>
      </w:r>
      <w:r w:rsidR="00B761EA" w:rsidRPr="00F91574">
        <w:t xml:space="preserve"> are not assessed unless they are identified within the specified unit content.</w:t>
      </w:r>
    </w:p>
    <w:p w14:paraId="605FF890" w14:textId="77777777" w:rsidR="00426B9A" w:rsidRPr="00F91574" w:rsidRDefault="00426B9A" w:rsidP="001C62C9">
      <w:pPr>
        <w:pStyle w:val="SCSAHeading3"/>
      </w:pPr>
      <w:r w:rsidRPr="00F91574">
        <w:t>Aboriginal and Torres Strait Islander histories and cultures</w:t>
      </w:r>
    </w:p>
    <w:p w14:paraId="5CCF869A" w14:textId="77777777" w:rsidR="00D63750" w:rsidRPr="00F91574" w:rsidRDefault="004C189F" w:rsidP="001C62C9">
      <w:r w:rsidRPr="00F91574">
        <w:t xml:space="preserve">The Politics and Law ATAR course </w:t>
      </w:r>
      <w:r w:rsidR="00D63750" w:rsidRPr="00F91574">
        <w:t xml:space="preserve">provides an opportunity for students to learn about Aboriginal and Torres Strait Islander customs, systems of governance, customary </w:t>
      </w:r>
      <w:r w:rsidR="00CE0A5D" w:rsidRPr="00F91574">
        <w:t>lore</w:t>
      </w:r>
      <w:r w:rsidR="00D63750" w:rsidRPr="00F91574">
        <w:t xml:space="preserve"> and perspectives. They increase their understanding of contemporary Aboriginal and</w:t>
      </w:r>
      <w:r w:rsidR="00DE3C5D" w:rsidRPr="00F91574">
        <w:t xml:space="preserve"> Torres Strait Islander Peoples’</w:t>
      </w:r>
      <w:r w:rsidR="00D63750" w:rsidRPr="00F91574">
        <w:t xml:space="preserve"> experiences of Australia’s political and legal system.</w:t>
      </w:r>
    </w:p>
    <w:p w14:paraId="206B9711" w14:textId="77777777" w:rsidR="00426B9A" w:rsidRPr="00F91574" w:rsidRDefault="00426B9A" w:rsidP="001C62C9">
      <w:pPr>
        <w:pStyle w:val="SCSAHeading3"/>
      </w:pPr>
      <w:r w:rsidRPr="00F91574">
        <w:lastRenderedPageBreak/>
        <w:t>Asia and Australia's engagement with Asia</w:t>
      </w:r>
    </w:p>
    <w:p w14:paraId="5A8F27D6" w14:textId="77777777" w:rsidR="00D63750" w:rsidRPr="00F91574" w:rsidRDefault="004C189F" w:rsidP="001C62C9">
      <w:r w:rsidRPr="00F91574">
        <w:t xml:space="preserve">The Politics and Law ATAR course </w:t>
      </w:r>
      <w:r w:rsidR="00D63750" w:rsidRPr="00F91574">
        <w:t xml:space="preserve">provides an opportunity for students to learn about alternative political and legal systems through Australia’s engagement with </w:t>
      </w:r>
      <w:proofErr w:type="gramStart"/>
      <w:r w:rsidR="00D63750" w:rsidRPr="00F91574">
        <w:t>Asia</w:t>
      </w:r>
      <w:r w:rsidR="008C5C58" w:rsidRPr="00F91574">
        <w:t>,</w:t>
      </w:r>
      <w:r w:rsidR="00D63750" w:rsidRPr="00F91574">
        <w:t xml:space="preserve"> and</w:t>
      </w:r>
      <w:proofErr w:type="gramEnd"/>
      <w:r w:rsidR="00D63750" w:rsidRPr="00F91574">
        <w:t xml:space="preserve"> build understanding of the connections between the peoples of Asia and Australia. Students </w:t>
      </w:r>
      <w:proofErr w:type="gramStart"/>
      <w:r w:rsidR="00D63750" w:rsidRPr="00F91574">
        <w:t>have the opportunity to</w:t>
      </w:r>
      <w:proofErr w:type="gramEnd"/>
      <w:r w:rsidR="00D63750" w:rsidRPr="00F91574">
        <w:t xml:space="preserve"> explore the experiences of people with Asian heritage in Australia’s political and legal system.</w:t>
      </w:r>
    </w:p>
    <w:p w14:paraId="40F83394" w14:textId="77777777" w:rsidR="00426B9A" w:rsidRPr="00F91574" w:rsidRDefault="00426B9A" w:rsidP="001C62C9">
      <w:pPr>
        <w:pStyle w:val="SCSAHeading3"/>
      </w:pPr>
      <w:r w:rsidRPr="00F91574">
        <w:t>Sustainability</w:t>
      </w:r>
    </w:p>
    <w:p w14:paraId="0CDF91C1" w14:textId="77777777" w:rsidR="00CD5AE7" w:rsidRPr="00F91574" w:rsidRDefault="004C189F" w:rsidP="001C62C9">
      <w:r w:rsidRPr="00F91574">
        <w:t xml:space="preserve">The Politics and Law ATAR course </w:t>
      </w:r>
      <w:r w:rsidR="00D63750" w:rsidRPr="00F91574">
        <w:t>provides an opportunity for students to learn how environmental and social wellbeing can be impacted by political and legal systems and how individuals and/or groups can work together to develop strategies to promote sustainability.</w:t>
      </w:r>
      <w:r w:rsidR="00CD5AE7" w:rsidRPr="00F91574">
        <w:br w:type="page"/>
      </w:r>
    </w:p>
    <w:p w14:paraId="77E75C8C" w14:textId="77777777" w:rsidR="00416C3D" w:rsidRPr="00F91574" w:rsidRDefault="00416C3D" w:rsidP="001C62C9">
      <w:pPr>
        <w:pStyle w:val="SCSAHeading1"/>
      </w:pPr>
      <w:bookmarkStart w:id="28" w:name="_Toc219985311"/>
      <w:r w:rsidRPr="00F91574">
        <w:lastRenderedPageBreak/>
        <w:t>Unit 1</w:t>
      </w:r>
      <w:bookmarkEnd w:id="17"/>
      <w:r w:rsidR="005D1506" w:rsidRPr="00F91574">
        <w:t xml:space="preserve"> </w:t>
      </w:r>
      <w:r w:rsidR="007E70A2" w:rsidRPr="00F91574">
        <w:t>–</w:t>
      </w:r>
      <w:r w:rsidR="0057595B" w:rsidRPr="00F91574">
        <w:t xml:space="preserve"> </w:t>
      </w:r>
      <w:r w:rsidR="00D63750" w:rsidRPr="00F91574">
        <w:t>Democracy and the rule of law</w:t>
      </w:r>
      <w:bookmarkEnd w:id="28"/>
    </w:p>
    <w:p w14:paraId="01D652FC" w14:textId="77777777" w:rsidR="00A20F67" w:rsidRPr="00F91574" w:rsidRDefault="00A20F67" w:rsidP="001C62C9">
      <w:pPr>
        <w:pStyle w:val="SCSAHeading2"/>
      </w:pPr>
      <w:bookmarkStart w:id="29" w:name="_Toc359503799"/>
      <w:bookmarkStart w:id="30" w:name="_Toc219985312"/>
      <w:r w:rsidRPr="00F91574">
        <w:t>Unit description</w:t>
      </w:r>
      <w:bookmarkEnd w:id="29"/>
      <w:bookmarkEnd w:id="30"/>
    </w:p>
    <w:p w14:paraId="163A4539" w14:textId="77777777" w:rsidR="00D63750" w:rsidRPr="00F91574" w:rsidRDefault="008C5C58" w:rsidP="001C62C9">
      <w:bookmarkStart w:id="31" w:name="_Toc359503800"/>
      <w:bookmarkStart w:id="32" w:name="_Toc347908214"/>
      <w:r w:rsidRPr="00F91574">
        <w:t>This</w:t>
      </w:r>
      <w:r w:rsidR="00D63750" w:rsidRPr="00F91574">
        <w:t xml:space="preserve"> unit examines the principles of a liberal democracy; the legislative, executive and judicial structures and processes of Australia’s political and legal system; the functioning of a non-democratic system; and the processes of a non-common law system. </w:t>
      </w:r>
    </w:p>
    <w:p w14:paraId="547E4D9C" w14:textId="77777777" w:rsidR="00D63750" w:rsidRPr="00F91574" w:rsidRDefault="00D63750" w:rsidP="001C62C9">
      <w:r w:rsidRPr="00F91574">
        <w:t>Political and legal developments and contemporary issues (the last three years) are used to provide a framework for the unit.</w:t>
      </w:r>
    </w:p>
    <w:p w14:paraId="0C744978" w14:textId="77777777" w:rsidR="00A20F67" w:rsidRPr="00F91574" w:rsidRDefault="00A20F67" w:rsidP="001C62C9">
      <w:pPr>
        <w:pStyle w:val="SCSAHeading2"/>
      </w:pPr>
      <w:bookmarkStart w:id="33" w:name="_Toc358372276"/>
      <w:bookmarkStart w:id="34" w:name="_Toc359503802"/>
      <w:bookmarkStart w:id="35" w:name="_Toc219985313"/>
      <w:bookmarkEnd w:id="31"/>
      <w:bookmarkEnd w:id="32"/>
      <w:r w:rsidRPr="00F91574">
        <w:t>Unit content</w:t>
      </w:r>
      <w:bookmarkEnd w:id="33"/>
      <w:bookmarkEnd w:id="34"/>
      <w:bookmarkEnd w:id="35"/>
    </w:p>
    <w:p w14:paraId="6433345E" w14:textId="77777777" w:rsidR="00A20F67" w:rsidRPr="00F91574" w:rsidRDefault="00A20F67" w:rsidP="001C62C9">
      <w:r w:rsidRPr="00F91574">
        <w:t>This unit includes the knowledge, understandings and skills described below.</w:t>
      </w:r>
    </w:p>
    <w:p w14:paraId="1B6CE7B2" w14:textId="77777777" w:rsidR="00D63750" w:rsidRPr="00F91574" w:rsidRDefault="00D63750" w:rsidP="001C62C9">
      <w:pPr>
        <w:pStyle w:val="SCSAHeading3"/>
      </w:pPr>
      <w:r w:rsidRPr="00F91574">
        <w:t>Political and legal systems</w:t>
      </w:r>
    </w:p>
    <w:p w14:paraId="3C016092" w14:textId="77777777" w:rsidR="00E461B1" w:rsidRPr="00F91574" w:rsidRDefault="00E461B1" w:rsidP="001304CE">
      <w:pPr>
        <w:pStyle w:val="ListParagraph"/>
        <w:numPr>
          <w:ilvl w:val="0"/>
          <w:numId w:val="31"/>
        </w:numPr>
      </w:pPr>
      <w:r w:rsidRPr="00F91574">
        <w:t>Essential to the understanding of democracy and the rule of law is knowledge of:</w:t>
      </w:r>
    </w:p>
    <w:p w14:paraId="1BE290C4" w14:textId="77777777" w:rsidR="00E461B1" w:rsidRPr="00F91574" w:rsidRDefault="00E461B1" w:rsidP="001304CE">
      <w:pPr>
        <w:pStyle w:val="ListParagraph"/>
        <w:numPr>
          <w:ilvl w:val="1"/>
          <w:numId w:val="31"/>
        </w:numPr>
      </w:pPr>
      <w:r w:rsidRPr="00F91574">
        <w:t>the separation of powers doctrine</w:t>
      </w:r>
    </w:p>
    <w:p w14:paraId="5DD86CDE" w14:textId="77777777" w:rsidR="00E461B1" w:rsidRPr="00F91574" w:rsidRDefault="00E461B1" w:rsidP="001304CE">
      <w:pPr>
        <w:pStyle w:val="ListParagraph"/>
        <w:numPr>
          <w:ilvl w:val="1"/>
          <w:numId w:val="31"/>
        </w:numPr>
      </w:pPr>
      <w:r w:rsidRPr="00F91574">
        <w:t>sovereignty of parliament</w:t>
      </w:r>
    </w:p>
    <w:p w14:paraId="52D56D4B" w14:textId="77777777" w:rsidR="00E461B1" w:rsidRPr="00F91574" w:rsidRDefault="00E461B1" w:rsidP="001304CE">
      <w:pPr>
        <w:pStyle w:val="ListParagraph"/>
        <w:numPr>
          <w:ilvl w:val="1"/>
          <w:numId w:val="31"/>
        </w:numPr>
      </w:pPr>
      <w:r w:rsidRPr="00F91574">
        <w:t>division of powers</w:t>
      </w:r>
    </w:p>
    <w:p w14:paraId="60CEBE9F" w14:textId="77777777" w:rsidR="00E461B1" w:rsidRPr="00F91574" w:rsidRDefault="00E461B1" w:rsidP="001304CE">
      <w:pPr>
        <w:pStyle w:val="ListParagraph"/>
        <w:numPr>
          <w:ilvl w:val="1"/>
          <w:numId w:val="31"/>
        </w:numPr>
      </w:pPr>
      <w:r w:rsidRPr="00F91574">
        <w:t>representative government</w:t>
      </w:r>
    </w:p>
    <w:p w14:paraId="7673B492" w14:textId="77777777" w:rsidR="00E461B1" w:rsidRPr="00F91574" w:rsidRDefault="00E461B1" w:rsidP="001304CE">
      <w:pPr>
        <w:pStyle w:val="ListParagraph"/>
        <w:numPr>
          <w:ilvl w:val="1"/>
          <w:numId w:val="31"/>
        </w:numPr>
      </w:pPr>
      <w:r w:rsidRPr="00F91574">
        <w:t xml:space="preserve">Westminster conventions of responsible </w:t>
      </w:r>
      <w:r w:rsidR="004B0079" w:rsidRPr="00F91574">
        <w:t xml:space="preserve">parliamentary </w:t>
      </w:r>
      <w:r w:rsidRPr="00F91574">
        <w:t>government</w:t>
      </w:r>
    </w:p>
    <w:p w14:paraId="4FE34AEF" w14:textId="77777777" w:rsidR="00E461B1" w:rsidRPr="00F91574" w:rsidRDefault="00E461B1" w:rsidP="001304CE">
      <w:pPr>
        <w:pStyle w:val="ListParagraph"/>
        <w:numPr>
          <w:ilvl w:val="1"/>
          <w:numId w:val="31"/>
        </w:numPr>
      </w:pPr>
      <w:r w:rsidRPr="00F91574">
        <w:t>constitutionalism</w:t>
      </w:r>
    </w:p>
    <w:p w14:paraId="5DBEA371" w14:textId="77777777" w:rsidR="00E461B1" w:rsidRPr="00F91574" w:rsidRDefault="00E461B1" w:rsidP="001304CE">
      <w:pPr>
        <w:pStyle w:val="ListParagraph"/>
        <w:numPr>
          <w:ilvl w:val="1"/>
          <w:numId w:val="31"/>
        </w:numPr>
      </w:pPr>
      <w:r w:rsidRPr="00F91574">
        <w:t>federalism</w:t>
      </w:r>
    </w:p>
    <w:p w14:paraId="7591001D" w14:textId="77777777" w:rsidR="00D63750" w:rsidRPr="00F91574" w:rsidRDefault="00E461B1" w:rsidP="001304CE">
      <w:pPr>
        <w:pStyle w:val="ListParagraph"/>
        <w:numPr>
          <w:ilvl w:val="1"/>
          <w:numId w:val="31"/>
        </w:numPr>
      </w:pPr>
      <w:r w:rsidRPr="00F91574">
        <w:t>judicial independence.</w:t>
      </w:r>
    </w:p>
    <w:p w14:paraId="56BE3F1C" w14:textId="77777777" w:rsidR="0082140B" w:rsidRPr="00F91574" w:rsidRDefault="00D63750" w:rsidP="001304CE">
      <w:pPr>
        <w:pStyle w:val="ListParagraph"/>
        <w:numPr>
          <w:ilvl w:val="0"/>
          <w:numId w:val="31"/>
        </w:numPr>
      </w:pPr>
      <w:r w:rsidRPr="00F91574">
        <w:t>operating principles of a liberal democracy</w:t>
      </w:r>
    </w:p>
    <w:p w14:paraId="5B8808A3" w14:textId="77777777" w:rsidR="0082140B" w:rsidRPr="00F91574" w:rsidRDefault="0082140B" w:rsidP="001304CE">
      <w:pPr>
        <w:pStyle w:val="ListParagraph"/>
        <w:numPr>
          <w:ilvl w:val="1"/>
          <w:numId w:val="31"/>
        </w:numPr>
      </w:pPr>
      <w:r w:rsidRPr="00F91574">
        <w:t>equality of political rights</w:t>
      </w:r>
    </w:p>
    <w:p w14:paraId="0CC02B89" w14:textId="77777777" w:rsidR="0082140B" w:rsidRPr="00F91574" w:rsidRDefault="0082140B" w:rsidP="001304CE">
      <w:pPr>
        <w:pStyle w:val="ListParagraph"/>
        <w:numPr>
          <w:ilvl w:val="1"/>
          <w:numId w:val="31"/>
        </w:numPr>
      </w:pPr>
      <w:r w:rsidRPr="00F91574">
        <w:t>majority rule</w:t>
      </w:r>
    </w:p>
    <w:p w14:paraId="4352E3D6" w14:textId="77777777" w:rsidR="0082140B" w:rsidRPr="00F91574" w:rsidRDefault="0082140B" w:rsidP="001304CE">
      <w:pPr>
        <w:pStyle w:val="ListParagraph"/>
        <w:numPr>
          <w:ilvl w:val="1"/>
          <w:numId w:val="31"/>
        </w:numPr>
      </w:pPr>
      <w:r w:rsidRPr="00F91574">
        <w:t>political participation</w:t>
      </w:r>
    </w:p>
    <w:p w14:paraId="5DFB6401" w14:textId="77777777" w:rsidR="0082140B" w:rsidRPr="00F91574" w:rsidRDefault="0082140B" w:rsidP="001304CE">
      <w:pPr>
        <w:pStyle w:val="ListParagraph"/>
        <w:numPr>
          <w:ilvl w:val="1"/>
          <w:numId w:val="31"/>
        </w:numPr>
      </w:pPr>
      <w:r w:rsidRPr="00F91574">
        <w:t>political freedom</w:t>
      </w:r>
    </w:p>
    <w:p w14:paraId="10385D59" w14:textId="77777777" w:rsidR="00D63750" w:rsidRPr="00F91574" w:rsidRDefault="00D63750" w:rsidP="001304CE">
      <w:pPr>
        <w:pStyle w:val="ListParagraph"/>
        <w:numPr>
          <w:ilvl w:val="0"/>
          <w:numId w:val="31"/>
        </w:numPr>
      </w:pPr>
      <w:r w:rsidRPr="00F91574">
        <w:t xml:space="preserve">structure of </w:t>
      </w:r>
      <w:r w:rsidR="00AD0AC6" w:rsidRPr="00F91574">
        <w:t xml:space="preserve">the </w:t>
      </w:r>
      <w:r w:rsidR="004B0079" w:rsidRPr="00F91574">
        <w:t xml:space="preserve">Australian </w:t>
      </w:r>
      <w:r w:rsidRPr="00F91574">
        <w:t xml:space="preserve">political </w:t>
      </w:r>
      <w:r w:rsidR="004B0079" w:rsidRPr="00F91574">
        <w:t xml:space="preserve">system </w:t>
      </w:r>
      <w:r w:rsidRPr="00F91574">
        <w:t xml:space="preserve">and </w:t>
      </w:r>
      <w:r w:rsidR="004B0079" w:rsidRPr="00F91574">
        <w:t xml:space="preserve">the Australian </w:t>
      </w:r>
      <w:r w:rsidRPr="00F91574">
        <w:t>legal system</w:t>
      </w:r>
      <w:r w:rsidR="004B0079" w:rsidRPr="00F91574">
        <w:t>, including:</w:t>
      </w:r>
    </w:p>
    <w:p w14:paraId="5D61D0C9" w14:textId="77777777" w:rsidR="004B0079" w:rsidRPr="00F91574" w:rsidRDefault="004B0079" w:rsidP="001304CE">
      <w:pPr>
        <w:pStyle w:val="ListParagraph"/>
        <w:numPr>
          <w:ilvl w:val="1"/>
          <w:numId w:val="31"/>
        </w:numPr>
      </w:pPr>
      <w:r w:rsidRPr="00F91574">
        <w:t>separation of powers</w:t>
      </w:r>
    </w:p>
    <w:p w14:paraId="0C93845E" w14:textId="77777777" w:rsidR="004B0079" w:rsidRPr="00F91574" w:rsidRDefault="004B0079" w:rsidP="001304CE">
      <w:pPr>
        <w:pStyle w:val="ListParagraph"/>
        <w:numPr>
          <w:ilvl w:val="1"/>
          <w:numId w:val="31"/>
        </w:numPr>
      </w:pPr>
      <w:r w:rsidRPr="00F91574">
        <w:t>federalism</w:t>
      </w:r>
    </w:p>
    <w:p w14:paraId="1249B95B" w14:textId="77777777" w:rsidR="004B0079" w:rsidRPr="00F91574" w:rsidRDefault="004B0079" w:rsidP="001304CE">
      <w:pPr>
        <w:pStyle w:val="ListParagraph"/>
        <w:numPr>
          <w:ilvl w:val="1"/>
          <w:numId w:val="31"/>
        </w:numPr>
      </w:pPr>
      <w:r w:rsidRPr="00F91574">
        <w:t>representative government</w:t>
      </w:r>
    </w:p>
    <w:p w14:paraId="31589C2B" w14:textId="77777777" w:rsidR="004B0079" w:rsidRPr="00F91574" w:rsidRDefault="004B0079" w:rsidP="001304CE">
      <w:pPr>
        <w:pStyle w:val="ListParagraph"/>
        <w:numPr>
          <w:ilvl w:val="1"/>
          <w:numId w:val="31"/>
        </w:numPr>
      </w:pPr>
      <w:r w:rsidRPr="00F91574">
        <w:t>Westminster conventions of responsible parliamentary government</w:t>
      </w:r>
    </w:p>
    <w:p w14:paraId="2F6BFBBB" w14:textId="77777777" w:rsidR="004B0079" w:rsidRPr="00F91574" w:rsidRDefault="004B0079" w:rsidP="001304CE">
      <w:pPr>
        <w:pStyle w:val="ListParagraph"/>
        <w:numPr>
          <w:ilvl w:val="1"/>
          <w:numId w:val="31"/>
        </w:numPr>
      </w:pPr>
      <w:r w:rsidRPr="00F91574">
        <w:t>constitutional monarchy</w:t>
      </w:r>
    </w:p>
    <w:p w14:paraId="5CA5142B" w14:textId="77777777" w:rsidR="004B0079" w:rsidRPr="00F91574" w:rsidRDefault="004B0079" w:rsidP="001304CE">
      <w:pPr>
        <w:pStyle w:val="ListParagraph"/>
        <w:numPr>
          <w:ilvl w:val="1"/>
          <w:numId w:val="31"/>
        </w:numPr>
      </w:pPr>
      <w:r w:rsidRPr="00F91574">
        <w:t>common law system</w:t>
      </w:r>
    </w:p>
    <w:p w14:paraId="44038A4A" w14:textId="77777777" w:rsidR="00D63750" w:rsidRPr="00F91574" w:rsidRDefault="00D63750" w:rsidP="001304CE">
      <w:pPr>
        <w:pStyle w:val="ListParagraph"/>
        <w:numPr>
          <w:ilvl w:val="0"/>
          <w:numId w:val="31"/>
        </w:numPr>
      </w:pPr>
      <w:r w:rsidRPr="00F91574">
        <w:t>roles of the legislative, executive and judicial branches of government</w:t>
      </w:r>
    </w:p>
    <w:p w14:paraId="56DD1C76" w14:textId="77777777" w:rsidR="009510A5" w:rsidRPr="00F91574" w:rsidRDefault="00D63750" w:rsidP="001304CE">
      <w:pPr>
        <w:pStyle w:val="ListParagraph"/>
        <w:numPr>
          <w:ilvl w:val="0"/>
          <w:numId w:val="31"/>
        </w:numPr>
      </w:pPr>
      <w:r w:rsidRPr="00F91574">
        <w:t>key influences on the structure of</w:t>
      </w:r>
      <w:r w:rsidR="00AD0AC6" w:rsidRPr="00F91574">
        <w:t xml:space="preserve"> the</w:t>
      </w:r>
      <w:r w:rsidRPr="00F91574">
        <w:t xml:space="preserve"> political and legal system</w:t>
      </w:r>
      <w:r w:rsidR="00AD0AC6" w:rsidRPr="00F91574">
        <w:t xml:space="preserve"> in Australia</w:t>
      </w:r>
    </w:p>
    <w:p w14:paraId="7B99C410" w14:textId="77777777" w:rsidR="009510A5" w:rsidRPr="00F91574" w:rsidRDefault="009510A5" w:rsidP="001304CE">
      <w:pPr>
        <w:pStyle w:val="ListParagraph"/>
        <w:numPr>
          <w:ilvl w:val="1"/>
          <w:numId w:val="31"/>
        </w:numPr>
      </w:pPr>
      <w:r w:rsidRPr="00F91574">
        <w:t>the Westminster system of government</w:t>
      </w:r>
    </w:p>
    <w:p w14:paraId="55039AEA" w14:textId="77777777" w:rsidR="009510A5" w:rsidRPr="00F91574" w:rsidRDefault="009510A5" w:rsidP="001304CE">
      <w:pPr>
        <w:pStyle w:val="ListParagraph"/>
        <w:numPr>
          <w:ilvl w:val="1"/>
          <w:numId w:val="31"/>
        </w:numPr>
      </w:pPr>
      <w:r w:rsidRPr="00F91574">
        <w:t>English common law</w:t>
      </w:r>
    </w:p>
    <w:p w14:paraId="065ADBA7" w14:textId="77777777" w:rsidR="007F4E11" w:rsidRPr="00F91574" w:rsidRDefault="00F523B4" w:rsidP="001304CE">
      <w:pPr>
        <w:pStyle w:val="ListParagraph"/>
        <w:numPr>
          <w:ilvl w:val="1"/>
          <w:numId w:val="31"/>
        </w:numPr>
      </w:pPr>
      <w:r w:rsidRPr="00F91574">
        <w:t>the American federal system</w:t>
      </w:r>
    </w:p>
    <w:p w14:paraId="66A94492" w14:textId="77777777" w:rsidR="009510A5" w:rsidRPr="00F91574" w:rsidRDefault="00F523B4" w:rsidP="001304CE">
      <w:pPr>
        <w:pStyle w:val="ListParagraph"/>
        <w:numPr>
          <w:ilvl w:val="1"/>
          <w:numId w:val="31"/>
        </w:numPr>
      </w:pPr>
      <w:r w:rsidRPr="00F91574">
        <w:t xml:space="preserve">the </w:t>
      </w:r>
      <w:r w:rsidR="009510A5" w:rsidRPr="00F91574">
        <w:t xml:space="preserve">Canadian federal </w:t>
      </w:r>
      <w:r w:rsidRPr="00F91574">
        <w:t>system</w:t>
      </w:r>
    </w:p>
    <w:p w14:paraId="06B88A02" w14:textId="77777777" w:rsidR="00F523B4" w:rsidRPr="00F91574" w:rsidRDefault="007F4E11" w:rsidP="001304CE">
      <w:pPr>
        <w:pStyle w:val="ListParagraph"/>
        <w:numPr>
          <w:ilvl w:val="1"/>
          <w:numId w:val="31"/>
        </w:numPr>
      </w:pPr>
      <w:r w:rsidRPr="00F91574">
        <w:t xml:space="preserve">the </w:t>
      </w:r>
      <w:r w:rsidR="00F523B4" w:rsidRPr="00F91574">
        <w:t xml:space="preserve">Swiss </w:t>
      </w:r>
      <w:r w:rsidRPr="00F91574">
        <w:t>referendum process</w:t>
      </w:r>
    </w:p>
    <w:p w14:paraId="1CD3A6A9" w14:textId="77777777" w:rsidR="001304CE" w:rsidRPr="00F91574" w:rsidRDefault="001304CE">
      <w:pPr>
        <w:rPr>
          <w:kern w:val="2"/>
          <w:lang w:eastAsia="ja-JP"/>
          <w14:ligatures w14:val="standardContextual"/>
        </w:rPr>
      </w:pPr>
      <w:r w:rsidRPr="00F91574">
        <w:br w:type="page"/>
      </w:r>
    </w:p>
    <w:p w14:paraId="70931097" w14:textId="346B8B81" w:rsidR="00AD0AC6" w:rsidRPr="00F91574" w:rsidRDefault="00D63750" w:rsidP="001304CE">
      <w:pPr>
        <w:pStyle w:val="ListParagraph"/>
        <w:numPr>
          <w:ilvl w:val="0"/>
          <w:numId w:val="31"/>
        </w:numPr>
      </w:pPr>
      <w:r w:rsidRPr="00F91574">
        <w:lastRenderedPageBreak/>
        <w:t>structures and processes of</w:t>
      </w:r>
    </w:p>
    <w:p w14:paraId="54F074F4" w14:textId="77777777" w:rsidR="00AD0AC6" w:rsidRPr="00F91574" w:rsidRDefault="00D63750" w:rsidP="001304CE">
      <w:pPr>
        <w:pStyle w:val="ListParagraph"/>
        <w:numPr>
          <w:ilvl w:val="1"/>
          <w:numId w:val="31"/>
        </w:numPr>
      </w:pPr>
      <w:r w:rsidRPr="00F91574">
        <w:t xml:space="preserve">one democratic </w:t>
      </w:r>
      <w:r w:rsidR="00AD0AC6" w:rsidRPr="00F91574">
        <w:t xml:space="preserve">political and legal system </w:t>
      </w:r>
    </w:p>
    <w:p w14:paraId="27C39779" w14:textId="77777777" w:rsidR="00D63750" w:rsidRPr="00F91574" w:rsidRDefault="00D63750" w:rsidP="001304CE">
      <w:pPr>
        <w:pStyle w:val="ListParagraph"/>
        <w:numPr>
          <w:ilvl w:val="1"/>
          <w:numId w:val="31"/>
        </w:numPr>
      </w:pPr>
      <w:r w:rsidRPr="00F91574">
        <w:t>one</w:t>
      </w:r>
      <w:r w:rsidR="00AD0AC6" w:rsidRPr="00F91574">
        <w:t xml:space="preserve"> </w:t>
      </w:r>
      <w:r w:rsidRPr="00F91574">
        <w:t xml:space="preserve">non-democratic </w:t>
      </w:r>
      <w:r w:rsidR="00AD0AC6" w:rsidRPr="00F91574">
        <w:t>political and legal system</w:t>
      </w:r>
    </w:p>
    <w:p w14:paraId="1596C6D7" w14:textId="77777777" w:rsidR="004B0079" w:rsidRPr="00F91574" w:rsidRDefault="004B0079" w:rsidP="001C62C9">
      <w:pPr>
        <w:pStyle w:val="ListParagraph"/>
        <w:numPr>
          <w:ilvl w:val="1"/>
          <w:numId w:val="34"/>
        </w:numPr>
      </w:pPr>
      <w:r w:rsidRPr="00F91574">
        <w:t>with reference to the operating principles of a liberal democracy</w:t>
      </w:r>
    </w:p>
    <w:p w14:paraId="5456DD54" w14:textId="77777777" w:rsidR="00D63750" w:rsidRPr="00F91574" w:rsidRDefault="00D63750" w:rsidP="001304CE">
      <w:pPr>
        <w:pStyle w:val="ListParagraph"/>
        <w:numPr>
          <w:ilvl w:val="0"/>
          <w:numId w:val="34"/>
        </w:numPr>
      </w:pPr>
      <w:r w:rsidRPr="00F91574">
        <w:t>types of laws made by parliaments</w:t>
      </w:r>
      <w:r w:rsidR="004B0079" w:rsidRPr="00F91574">
        <w:t xml:space="preserve"> (statute law)</w:t>
      </w:r>
      <w:r w:rsidRPr="00F91574">
        <w:t xml:space="preserve">, courts </w:t>
      </w:r>
      <w:r w:rsidR="004B0079" w:rsidRPr="00F91574">
        <w:t xml:space="preserve">(common law) </w:t>
      </w:r>
      <w:r w:rsidRPr="00F91574">
        <w:t>and subordinate authorities</w:t>
      </w:r>
      <w:r w:rsidR="006351B6" w:rsidRPr="00F91574">
        <w:t xml:space="preserve"> </w:t>
      </w:r>
      <w:r w:rsidR="004B0079" w:rsidRPr="00F91574">
        <w:t>(delegated legislation)</w:t>
      </w:r>
    </w:p>
    <w:p w14:paraId="2375B456" w14:textId="77777777" w:rsidR="00D63750" w:rsidRPr="00F91574" w:rsidRDefault="00D63750" w:rsidP="001304CE">
      <w:pPr>
        <w:pStyle w:val="ListParagraph"/>
        <w:numPr>
          <w:ilvl w:val="0"/>
          <w:numId w:val="34"/>
        </w:numPr>
      </w:pPr>
      <w:r w:rsidRPr="00F91574">
        <w:t xml:space="preserve">legislative processes at </w:t>
      </w:r>
      <w:r w:rsidR="00BF3B69" w:rsidRPr="00F91574">
        <w:t xml:space="preserve">the </w:t>
      </w:r>
      <w:r w:rsidR="00472578" w:rsidRPr="00F91574">
        <w:t>S</w:t>
      </w:r>
      <w:r w:rsidRPr="00F91574">
        <w:t xml:space="preserve">tate </w:t>
      </w:r>
      <w:r w:rsidR="00BF3B69" w:rsidRPr="00F91574">
        <w:t>or Commonwealth</w:t>
      </w:r>
      <w:r w:rsidRPr="00F91574">
        <w:t xml:space="preserve"> levels</w:t>
      </w:r>
    </w:p>
    <w:p w14:paraId="75941264" w14:textId="77777777" w:rsidR="00D63750" w:rsidRPr="00F91574" w:rsidRDefault="00D63750" w:rsidP="001304CE">
      <w:pPr>
        <w:pStyle w:val="ListParagraph"/>
        <w:numPr>
          <w:ilvl w:val="0"/>
          <w:numId w:val="34"/>
        </w:numPr>
      </w:pPr>
      <w:r w:rsidRPr="00F91574">
        <w:t>the court hierarchy, methods of statutory interpretation and the doctrine of precedent</w:t>
      </w:r>
    </w:p>
    <w:p w14:paraId="4C928DA6" w14:textId="77777777" w:rsidR="00D63750" w:rsidRPr="00F91574" w:rsidRDefault="00D63750" w:rsidP="001304CE">
      <w:pPr>
        <w:pStyle w:val="ListParagraph"/>
        <w:numPr>
          <w:ilvl w:val="0"/>
          <w:numId w:val="34"/>
        </w:numPr>
      </w:pPr>
      <w:r w:rsidRPr="00F91574">
        <w:t xml:space="preserve">key processes </w:t>
      </w:r>
      <w:r w:rsidR="004B0079" w:rsidRPr="00F91574">
        <w:t>(pre-trial, trial and post</w:t>
      </w:r>
      <w:r w:rsidR="003E492B" w:rsidRPr="00F91574">
        <w:t>-</w:t>
      </w:r>
      <w:r w:rsidR="004B0079" w:rsidRPr="00F91574">
        <w:t xml:space="preserve">trial) </w:t>
      </w:r>
      <w:r w:rsidRPr="00F91574">
        <w:t>of civil and criminal trials in Western Australia</w:t>
      </w:r>
    </w:p>
    <w:p w14:paraId="2D50F4F2" w14:textId="77777777" w:rsidR="00D63750" w:rsidRPr="00F91574" w:rsidRDefault="00D63750" w:rsidP="001304CE">
      <w:pPr>
        <w:pStyle w:val="ListParagraph"/>
        <w:numPr>
          <w:ilvl w:val="0"/>
          <w:numId w:val="34"/>
        </w:numPr>
      </w:pPr>
      <w:r w:rsidRPr="00F91574">
        <w:t xml:space="preserve">key processes of at </w:t>
      </w:r>
      <w:r w:rsidR="005D5B4F" w:rsidRPr="00F91574">
        <w:t>least one non-common law</w:t>
      </w:r>
      <w:r w:rsidR="004B0079" w:rsidRPr="00F91574">
        <w:t xml:space="preserve"> (inquisitorial)</w:t>
      </w:r>
      <w:r w:rsidR="005D5B4F" w:rsidRPr="00F91574">
        <w:t xml:space="preserve"> system</w:t>
      </w:r>
    </w:p>
    <w:p w14:paraId="15D1A103" w14:textId="77777777" w:rsidR="00D63750" w:rsidRPr="00F91574" w:rsidRDefault="00D63750" w:rsidP="001C62C9">
      <w:pPr>
        <w:pStyle w:val="SCSAHeading3"/>
      </w:pPr>
      <w:r w:rsidRPr="00F91574">
        <w:t>Political and legal issues</w:t>
      </w:r>
    </w:p>
    <w:p w14:paraId="261AB34D" w14:textId="77777777" w:rsidR="00D63750" w:rsidRPr="00F91574" w:rsidRDefault="00D63750" w:rsidP="001C62C9">
      <w:pPr>
        <w:widowControl w:val="0"/>
        <w:spacing w:after="0"/>
      </w:pPr>
      <w:r w:rsidRPr="00F91574">
        <w:t xml:space="preserve">The political and legal issues are best addressed in combination with the relevant content of the Australian political and legal system. This requires </w:t>
      </w:r>
      <w:r w:rsidR="00AD0AC6" w:rsidRPr="00F91574">
        <w:t>an</w:t>
      </w:r>
      <w:r w:rsidRPr="00F91574">
        <w:t xml:space="preserve"> examination of:</w:t>
      </w:r>
    </w:p>
    <w:p w14:paraId="695D6830" w14:textId="77777777" w:rsidR="00D63750" w:rsidRPr="00F91574" w:rsidRDefault="00D63750" w:rsidP="001C62C9">
      <w:pPr>
        <w:pStyle w:val="ListParagraph"/>
        <w:numPr>
          <w:ilvl w:val="0"/>
          <w:numId w:val="35"/>
        </w:numPr>
      </w:pPr>
      <w:r w:rsidRPr="00F91574">
        <w:t xml:space="preserve">at least one contemporary issue (the last three years) involving the legislative process </w:t>
      </w:r>
    </w:p>
    <w:p w14:paraId="3F72E3C3" w14:textId="77777777" w:rsidR="00AD0AC6" w:rsidRPr="00F91574" w:rsidRDefault="00AD0AC6" w:rsidP="001C62C9">
      <w:pPr>
        <w:pStyle w:val="ListParagraph"/>
        <w:ind w:left="360"/>
        <w:rPr>
          <w:b/>
        </w:rPr>
      </w:pPr>
      <w:r w:rsidRPr="00F91574">
        <w:rPr>
          <w:b/>
        </w:rPr>
        <w:t>and</w:t>
      </w:r>
    </w:p>
    <w:p w14:paraId="35988004" w14:textId="77777777" w:rsidR="00D63750" w:rsidRPr="00F91574" w:rsidRDefault="00D63750" w:rsidP="001C62C9">
      <w:pPr>
        <w:pStyle w:val="ListParagraph"/>
        <w:numPr>
          <w:ilvl w:val="0"/>
          <w:numId w:val="35"/>
        </w:numPr>
      </w:pPr>
      <w:r w:rsidRPr="00F91574">
        <w:t>at least one contemporary issue (the last three years) involving the judicial process.</w:t>
      </w:r>
    </w:p>
    <w:p w14:paraId="3673DA91" w14:textId="77777777" w:rsidR="00D63750" w:rsidRPr="00F91574" w:rsidRDefault="00D63750" w:rsidP="001C62C9">
      <w:pPr>
        <w:pStyle w:val="SCSAHeading3"/>
      </w:pPr>
      <w:r w:rsidRPr="00F91574">
        <w:t>Political and legal research</w:t>
      </w:r>
      <w:r w:rsidR="00412A10" w:rsidRPr="00F91574">
        <w:t xml:space="preserve"> skills</w:t>
      </w:r>
    </w:p>
    <w:p w14:paraId="1594C099" w14:textId="77777777" w:rsidR="00D63750" w:rsidRPr="00F91574" w:rsidRDefault="00D63750" w:rsidP="001C62C9">
      <w:r w:rsidRPr="00F91574">
        <w:t>Research provides the opportunity to examine aspects of political and legal system</w:t>
      </w:r>
      <w:r w:rsidR="00AD0AC6" w:rsidRPr="00F91574">
        <w:t>s.</w:t>
      </w:r>
      <w:r w:rsidRPr="00F91574">
        <w:t xml:space="preserve"> </w:t>
      </w:r>
      <w:r w:rsidR="00412A10" w:rsidRPr="00F91574">
        <w:t>The following skills will be developed in this unit.</w:t>
      </w:r>
    </w:p>
    <w:p w14:paraId="06AD71D8" w14:textId="77777777" w:rsidR="00D63750" w:rsidRPr="00F91574" w:rsidRDefault="00D63750" w:rsidP="001C62C9">
      <w:pPr>
        <w:pStyle w:val="SCSAHeading4"/>
      </w:pPr>
      <w:r w:rsidRPr="00F91574">
        <w:t xml:space="preserve">Research </w:t>
      </w:r>
      <w:r w:rsidR="00412A10" w:rsidRPr="00F91574">
        <w:t xml:space="preserve">and </w:t>
      </w:r>
      <w:r w:rsidR="00ED7A82" w:rsidRPr="00F91574">
        <w:t>analysis</w:t>
      </w:r>
    </w:p>
    <w:p w14:paraId="46F53127" w14:textId="77777777" w:rsidR="00D63750" w:rsidRPr="00F91574" w:rsidRDefault="00412A10" w:rsidP="001304CE">
      <w:pPr>
        <w:pStyle w:val="ListParagraph"/>
        <w:numPr>
          <w:ilvl w:val="0"/>
          <w:numId w:val="35"/>
        </w:numPr>
      </w:pPr>
      <w:r w:rsidRPr="00F91574">
        <w:t>identify, define, distinguish, analyse and evaluate</w:t>
      </w:r>
      <w:r w:rsidR="00D63750" w:rsidRPr="00F91574">
        <w:t xml:space="preserve"> principles and terms</w:t>
      </w:r>
    </w:p>
    <w:p w14:paraId="476B7C29" w14:textId="77777777" w:rsidR="00D63750" w:rsidRPr="00F91574" w:rsidRDefault="00412A10" w:rsidP="001304CE">
      <w:pPr>
        <w:pStyle w:val="ListParagraph"/>
        <w:numPr>
          <w:ilvl w:val="0"/>
          <w:numId w:val="35"/>
        </w:numPr>
      </w:pPr>
      <w:r w:rsidRPr="00F91574">
        <w:t>describe, discuss, analyse and evaluate</w:t>
      </w:r>
      <w:r w:rsidR="00D63750" w:rsidRPr="00F91574">
        <w:t xml:space="preserve"> the operation and key features of </w:t>
      </w:r>
      <w:r w:rsidR="00AD0AC6" w:rsidRPr="00F91574">
        <w:t>a political and legal system</w:t>
      </w:r>
    </w:p>
    <w:p w14:paraId="01870651" w14:textId="77777777" w:rsidR="00D63750" w:rsidRPr="00F91574" w:rsidRDefault="00412A10" w:rsidP="001304CE">
      <w:pPr>
        <w:pStyle w:val="ListParagraph"/>
        <w:numPr>
          <w:ilvl w:val="0"/>
          <w:numId w:val="35"/>
        </w:numPr>
      </w:pPr>
      <w:r w:rsidRPr="00F91574">
        <w:t>analyse</w:t>
      </w:r>
      <w:r w:rsidR="00D63750" w:rsidRPr="00F91574">
        <w:t xml:space="preserve"> statute law, common law, political decisions and legal decisions</w:t>
      </w:r>
    </w:p>
    <w:p w14:paraId="340A079A" w14:textId="77777777" w:rsidR="00D63750" w:rsidRPr="00F91574" w:rsidRDefault="00412A10" w:rsidP="001304CE">
      <w:pPr>
        <w:pStyle w:val="ListParagraph"/>
        <w:numPr>
          <w:ilvl w:val="0"/>
          <w:numId w:val="35"/>
        </w:numPr>
      </w:pPr>
      <w:r w:rsidRPr="00F91574">
        <w:t>distinguish</w:t>
      </w:r>
      <w:r w:rsidR="00D63750" w:rsidRPr="00F91574">
        <w:t xml:space="preserve"> between fact and opinion, theory and practice and formal and informal processes</w:t>
      </w:r>
    </w:p>
    <w:p w14:paraId="7FD25EEF" w14:textId="77777777" w:rsidR="00D63750" w:rsidRPr="00F91574" w:rsidRDefault="00412A10" w:rsidP="001304CE">
      <w:pPr>
        <w:pStyle w:val="ListParagraph"/>
        <w:numPr>
          <w:ilvl w:val="0"/>
          <w:numId w:val="35"/>
        </w:numPr>
      </w:pPr>
      <w:r w:rsidRPr="00F91574">
        <w:t>identify</w:t>
      </w:r>
      <w:r w:rsidR="00D63750" w:rsidRPr="00F91574">
        <w:t xml:space="preserve"> and </w:t>
      </w:r>
      <w:r w:rsidRPr="00F91574">
        <w:t>evaluate</w:t>
      </w:r>
      <w:r w:rsidR="00D63750" w:rsidRPr="00F91574" w:rsidDel="00385733">
        <w:t xml:space="preserve"> </w:t>
      </w:r>
      <w:r w:rsidR="00D63750" w:rsidRPr="00F91574">
        <w:t>alternative conclusions</w:t>
      </w:r>
    </w:p>
    <w:p w14:paraId="4490E0CF" w14:textId="77777777" w:rsidR="00D63750" w:rsidRPr="00F91574" w:rsidRDefault="00412A10" w:rsidP="001304CE">
      <w:pPr>
        <w:pStyle w:val="ListParagraph"/>
        <w:numPr>
          <w:ilvl w:val="0"/>
          <w:numId w:val="35"/>
        </w:numPr>
      </w:pPr>
      <w:r w:rsidRPr="00F91574">
        <w:t>identify or propose</w:t>
      </w:r>
      <w:r w:rsidR="00D63750" w:rsidRPr="00F91574">
        <w:t xml:space="preserve"> solutions</w:t>
      </w:r>
    </w:p>
    <w:p w14:paraId="050D4FAD" w14:textId="77777777" w:rsidR="00D63750" w:rsidRPr="00F91574" w:rsidDel="00BE5862" w:rsidRDefault="00412A10" w:rsidP="001304CE">
      <w:pPr>
        <w:pStyle w:val="ListParagraph"/>
        <w:numPr>
          <w:ilvl w:val="0"/>
          <w:numId w:val="35"/>
        </w:numPr>
      </w:pPr>
      <w:r w:rsidRPr="00F91574">
        <w:t>predict</w:t>
      </w:r>
      <w:r w:rsidR="00D63750" w:rsidRPr="00F91574">
        <w:t xml:space="preserve"> intended or unintended consequences</w:t>
      </w:r>
    </w:p>
    <w:p w14:paraId="6AB65798" w14:textId="77777777" w:rsidR="00D63750" w:rsidRPr="00F91574" w:rsidRDefault="00D63750" w:rsidP="001C62C9">
      <w:pPr>
        <w:pStyle w:val="SCSAHeading4"/>
      </w:pPr>
      <w:r w:rsidRPr="00F91574">
        <w:t>Communication</w:t>
      </w:r>
    </w:p>
    <w:p w14:paraId="704B4173" w14:textId="77777777" w:rsidR="00D63750" w:rsidRPr="00F91574" w:rsidRDefault="00ED7A82" w:rsidP="001304CE">
      <w:pPr>
        <w:pStyle w:val="ListParagraph"/>
        <w:numPr>
          <w:ilvl w:val="0"/>
          <w:numId w:val="35"/>
        </w:numPr>
      </w:pPr>
      <w:r w:rsidRPr="00F91574">
        <w:t>use</w:t>
      </w:r>
      <w:r w:rsidR="00D63750" w:rsidRPr="00F91574">
        <w:t xml:space="preserve"> political and legal formats, terminology and techniques to suit an audience</w:t>
      </w:r>
    </w:p>
    <w:p w14:paraId="121AD3D0" w14:textId="77777777" w:rsidR="00D63750" w:rsidRPr="00F91574" w:rsidRDefault="00ED7A82" w:rsidP="001304CE">
      <w:pPr>
        <w:pStyle w:val="ListParagraph"/>
        <w:numPr>
          <w:ilvl w:val="0"/>
          <w:numId w:val="35"/>
        </w:numPr>
      </w:pPr>
      <w:r w:rsidRPr="00F91574">
        <w:t>utilise</w:t>
      </w:r>
      <w:r w:rsidR="00D63750" w:rsidRPr="00F91574">
        <w:t xml:space="preserve"> techniques to explore ideas and construct reasoned arguments</w:t>
      </w:r>
    </w:p>
    <w:p w14:paraId="2A3C8FEE" w14:textId="77777777" w:rsidR="00D63750" w:rsidRPr="00F91574" w:rsidRDefault="00ED7A82" w:rsidP="001304CE">
      <w:pPr>
        <w:pStyle w:val="ListParagraph"/>
        <w:numPr>
          <w:ilvl w:val="0"/>
          <w:numId w:val="35"/>
        </w:numPr>
      </w:pPr>
      <w:r w:rsidRPr="00F91574">
        <w:t>use</w:t>
      </w:r>
      <w:r w:rsidR="00D63750" w:rsidRPr="00F91574">
        <w:t xml:space="preserve"> an appropriate method of referencing</w:t>
      </w:r>
    </w:p>
    <w:p w14:paraId="706A6E3B" w14:textId="320B8DBC" w:rsidR="00E11A51" w:rsidRDefault="00E11A51">
      <w:r>
        <w:br w:type="page"/>
      </w:r>
    </w:p>
    <w:p w14:paraId="17AB04A3" w14:textId="77777777" w:rsidR="00540775" w:rsidRPr="00F91574" w:rsidRDefault="00540775" w:rsidP="001C62C9">
      <w:pPr>
        <w:pStyle w:val="SCSAHeading1"/>
      </w:pPr>
      <w:bookmarkStart w:id="36" w:name="_Toc347908227"/>
      <w:bookmarkStart w:id="37" w:name="_Toc219985314"/>
      <w:r w:rsidRPr="00F91574">
        <w:lastRenderedPageBreak/>
        <w:t>Unit 2</w:t>
      </w:r>
      <w:r w:rsidR="005D1506" w:rsidRPr="00F91574">
        <w:t xml:space="preserve"> </w:t>
      </w:r>
      <w:r w:rsidR="007E70A2" w:rsidRPr="00F91574">
        <w:t>–</w:t>
      </w:r>
      <w:r w:rsidR="005D1506" w:rsidRPr="00F91574">
        <w:t xml:space="preserve"> </w:t>
      </w:r>
      <w:r w:rsidR="00D63750" w:rsidRPr="00F91574">
        <w:t>Representation and justice</w:t>
      </w:r>
      <w:bookmarkEnd w:id="37"/>
    </w:p>
    <w:p w14:paraId="16DDAF71" w14:textId="77777777" w:rsidR="00F10E0F" w:rsidRPr="00F91574" w:rsidRDefault="00F10E0F" w:rsidP="001C62C9">
      <w:pPr>
        <w:pStyle w:val="SCSAHeading2"/>
      </w:pPr>
      <w:bookmarkStart w:id="38" w:name="_Toc359503807"/>
      <w:bookmarkStart w:id="39" w:name="_Toc219985315"/>
      <w:r w:rsidRPr="00F91574">
        <w:t>Unit description</w:t>
      </w:r>
      <w:bookmarkEnd w:id="39"/>
    </w:p>
    <w:p w14:paraId="51A04DCD" w14:textId="77777777" w:rsidR="00D63750" w:rsidRPr="00F91574" w:rsidRDefault="00D63750" w:rsidP="001C62C9">
      <w:r w:rsidRPr="00F91574">
        <w:t xml:space="preserve">This unit examines the principles of fair elections; the electoral and voting systems in Australia since Federation, </w:t>
      </w:r>
      <w:proofErr w:type="gramStart"/>
      <w:r w:rsidRPr="00F91574">
        <w:t>making reference</w:t>
      </w:r>
      <w:proofErr w:type="gramEnd"/>
      <w:r w:rsidRPr="00F91574">
        <w:t xml:space="preserve"> to a recent (the last ten years) election in Australia; the electoral system of another country; an analysis of the civil and criminal law processes in Western Australia; and an analysis of a non-common law system.</w:t>
      </w:r>
    </w:p>
    <w:p w14:paraId="0DD5A3D1" w14:textId="77777777" w:rsidR="00D63750" w:rsidRPr="00F91574" w:rsidRDefault="00D63750" w:rsidP="001C62C9">
      <w:r w:rsidRPr="00F91574">
        <w:t>Political and legal developments and contemporary issues (the last three years) are used to provide a framework for the unit.</w:t>
      </w:r>
    </w:p>
    <w:p w14:paraId="57FA4372" w14:textId="77777777" w:rsidR="00F10E0F" w:rsidRPr="00F91574" w:rsidRDefault="00F10E0F" w:rsidP="001C62C9">
      <w:pPr>
        <w:pStyle w:val="SCSAHeading2"/>
      </w:pPr>
      <w:bookmarkStart w:id="40" w:name="_Toc219985316"/>
      <w:r w:rsidRPr="00F91574">
        <w:t>Unit content</w:t>
      </w:r>
      <w:bookmarkEnd w:id="40"/>
    </w:p>
    <w:p w14:paraId="36FA40EF" w14:textId="77777777" w:rsidR="00F10E0F" w:rsidRPr="00F91574" w:rsidRDefault="00F10E0F" w:rsidP="001C62C9">
      <w:r w:rsidRPr="00F91574">
        <w:t>This unit includes the knowledge, understandings and skills described below.</w:t>
      </w:r>
    </w:p>
    <w:p w14:paraId="3999E678" w14:textId="77777777" w:rsidR="00D63750" w:rsidRPr="00F91574" w:rsidRDefault="00D63750" w:rsidP="001C62C9">
      <w:pPr>
        <w:pStyle w:val="SCSAHeading3"/>
      </w:pPr>
      <w:r w:rsidRPr="00F91574">
        <w:t>Political and legal systems</w:t>
      </w:r>
    </w:p>
    <w:p w14:paraId="602B54AC" w14:textId="77777777" w:rsidR="00F70F47" w:rsidRPr="00F91574" w:rsidRDefault="00D63750" w:rsidP="001304CE">
      <w:pPr>
        <w:pStyle w:val="ListParagraph"/>
        <w:numPr>
          <w:ilvl w:val="0"/>
          <w:numId w:val="35"/>
        </w:numPr>
      </w:pPr>
      <w:r w:rsidRPr="00F91574">
        <w:t xml:space="preserve">Essential to the understanding of representation and justice </w:t>
      </w:r>
      <w:r w:rsidR="004B0079" w:rsidRPr="00F91574">
        <w:t>is knowledge of</w:t>
      </w:r>
      <w:r w:rsidR="004845B9" w:rsidRPr="00F91574">
        <w:t>:</w:t>
      </w:r>
    </w:p>
    <w:p w14:paraId="795C2478" w14:textId="77777777" w:rsidR="004B0079" w:rsidRPr="00F91574" w:rsidRDefault="004B0079" w:rsidP="001304CE">
      <w:pPr>
        <w:pStyle w:val="ListParagraph"/>
        <w:numPr>
          <w:ilvl w:val="1"/>
          <w:numId w:val="35"/>
        </w:numPr>
      </w:pPr>
      <w:r w:rsidRPr="00F91574">
        <w:t>the principles of fair elections</w:t>
      </w:r>
    </w:p>
    <w:p w14:paraId="5EF01590" w14:textId="77777777" w:rsidR="004B0079" w:rsidRPr="00F91574" w:rsidRDefault="004B0079" w:rsidP="001304CE">
      <w:pPr>
        <w:pStyle w:val="ListParagraph"/>
        <w:numPr>
          <w:ilvl w:val="1"/>
          <w:numId w:val="35"/>
        </w:numPr>
      </w:pPr>
      <w:r w:rsidRPr="00F91574">
        <w:t>political participation</w:t>
      </w:r>
    </w:p>
    <w:p w14:paraId="3B782CD3" w14:textId="77777777" w:rsidR="004B0079" w:rsidRPr="00F91574" w:rsidRDefault="004B0079" w:rsidP="001304CE">
      <w:pPr>
        <w:pStyle w:val="ListParagraph"/>
        <w:numPr>
          <w:ilvl w:val="1"/>
          <w:numId w:val="35"/>
        </w:numPr>
      </w:pPr>
      <w:r w:rsidRPr="00F91574">
        <w:t>natural justice.</w:t>
      </w:r>
    </w:p>
    <w:p w14:paraId="0C5C69A1" w14:textId="77777777" w:rsidR="00D63750" w:rsidRPr="00F91574" w:rsidRDefault="00D63750" w:rsidP="001304CE">
      <w:pPr>
        <w:pStyle w:val="ListParagraph"/>
        <w:numPr>
          <w:ilvl w:val="0"/>
          <w:numId w:val="35"/>
        </w:numPr>
      </w:pPr>
      <w:r w:rsidRPr="00F91574">
        <w:t xml:space="preserve">political representation with reference to the role of </w:t>
      </w:r>
      <w:r w:rsidR="004B0079" w:rsidRPr="00F91574">
        <w:t xml:space="preserve">individuals, </w:t>
      </w:r>
      <w:r w:rsidRPr="00F91574">
        <w:t>political parties and pressure groups</w:t>
      </w:r>
    </w:p>
    <w:p w14:paraId="504D0A32" w14:textId="77777777" w:rsidR="00D63750" w:rsidRPr="00F91574" w:rsidRDefault="00D63750" w:rsidP="001304CE">
      <w:pPr>
        <w:pStyle w:val="ListParagraph"/>
        <w:numPr>
          <w:ilvl w:val="0"/>
          <w:numId w:val="35"/>
        </w:numPr>
      </w:pPr>
      <w:r w:rsidRPr="00F91574">
        <w:t>the Western Australian and Commonwealth electoral systems since Federation</w:t>
      </w:r>
      <w:r w:rsidR="004B0079" w:rsidRPr="00F91574">
        <w:t>, including:</w:t>
      </w:r>
    </w:p>
    <w:p w14:paraId="368D0FA9" w14:textId="77777777" w:rsidR="00774F5E" w:rsidRPr="00F91574" w:rsidRDefault="00774F5E" w:rsidP="001304CE">
      <w:pPr>
        <w:pStyle w:val="ListParagraph"/>
        <w:numPr>
          <w:ilvl w:val="1"/>
          <w:numId w:val="35"/>
        </w:numPr>
      </w:pPr>
      <w:r w:rsidRPr="00F91574">
        <w:t>compulsory voting</w:t>
      </w:r>
    </w:p>
    <w:p w14:paraId="5C9E84A9" w14:textId="77777777" w:rsidR="00774F5E" w:rsidRPr="00F91574" w:rsidRDefault="00774F5E" w:rsidP="001304CE">
      <w:pPr>
        <w:pStyle w:val="ListParagraph"/>
        <w:numPr>
          <w:ilvl w:val="1"/>
          <w:numId w:val="35"/>
        </w:numPr>
      </w:pPr>
      <w:r w:rsidRPr="00F91574">
        <w:t>preferential voting</w:t>
      </w:r>
    </w:p>
    <w:p w14:paraId="48541F0F" w14:textId="77777777" w:rsidR="00774F5E" w:rsidRPr="00F91574" w:rsidRDefault="00774F5E" w:rsidP="001304CE">
      <w:pPr>
        <w:pStyle w:val="ListParagraph"/>
        <w:numPr>
          <w:ilvl w:val="1"/>
          <w:numId w:val="35"/>
        </w:numPr>
      </w:pPr>
      <w:r w:rsidRPr="00F91574">
        <w:t>proportional voting</w:t>
      </w:r>
    </w:p>
    <w:p w14:paraId="5E387038" w14:textId="77777777" w:rsidR="00774F5E" w:rsidRPr="00F91574" w:rsidRDefault="00774F5E" w:rsidP="001304CE">
      <w:pPr>
        <w:pStyle w:val="ListParagraph"/>
        <w:numPr>
          <w:ilvl w:val="1"/>
          <w:numId w:val="35"/>
        </w:numPr>
      </w:pPr>
      <w:r w:rsidRPr="00F91574">
        <w:t>the franchise</w:t>
      </w:r>
    </w:p>
    <w:p w14:paraId="3635F228" w14:textId="77777777" w:rsidR="00D63750" w:rsidRPr="00F91574" w:rsidRDefault="00D63750" w:rsidP="001304CE">
      <w:pPr>
        <w:pStyle w:val="ListParagraph"/>
        <w:numPr>
          <w:ilvl w:val="0"/>
          <w:numId w:val="35"/>
        </w:numPr>
      </w:pPr>
      <w:r w:rsidRPr="00F91574">
        <w:t xml:space="preserve">advantages and disadvantages of </w:t>
      </w:r>
      <w:r w:rsidR="00AD0AC6" w:rsidRPr="00F91574">
        <w:t>the</w:t>
      </w:r>
      <w:r w:rsidRPr="00F91574">
        <w:t xml:space="preserve"> electoral systems </w:t>
      </w:r>
      <w:r w:rsidR="00AD0AC6" w:rsidRPr="00F91574">
        <w:t xml:space="preserve">in Australia </w:t>
      </w:r>
      <w:r w:rsidRPr="00F91574">
        <w:t xml:space="preserve">with reference to at least one recent (the last ten years) election </w:t>
      </w:r>
    </w:p>
    <w:p w14:paraId="4E97ABE4" w14:textId="77777777" w:rsidR="00D63750" w:rsidRPr="00F91574" w:rsidRDefault="00D63750" w:rsidP="001304CE">
      <w:pPr>
        <w:pStyle w:val="ListParagraph"/>
        <w:numPr>
          <w:ilvl w:val="0"/>
          <w:numId w:val="35"/>
        </w:numPr>
      </w:pPr>
      <w:r w:rsidRPr="00F91574">
        <w:t xml:space="preserve">a recently implemented or proposed reform (the last ten years) to </w:t>
      </w:r>
      <w:r w:rsidR="00AD0AC6" w:rsidRPr="00F91574">
        <w:t xml:space="preserve">the </w:t>
      </w:r>
      <w:r w:rsidRPr="00F91574">
        <w:t xml:space="preserve">electoral systems </w:t>
      </w:r>
      <w:r w:rsidR="00AD0AC6" w:rsidRPr="00F91574">
        <w:t>in Australia</w:t>
      </w:r>
    </w:p>
    <w:p w14:paraId="2BAA2EFC" w14:textId="77777777" w:rsidR="00D63750" w:rsidRPr="00F91574" w:rsidRDefault="00D63750" w:rsidP="001304CE">
      <w:pPr>
        <w:pStyle w:val="ListParagraph"/>
        <w:numPr>
          <w:ilvl w:val="0"/>
          <w:numId w:val="35"/>
        </w:numPr>
      </w:pPr>
      <w:r w:rsidRPr="00F91574">
        <w:t>the electoral system</w:t>
      </w:r>
      <w:r w:rsidR="00AD0AC6" w:rsidRPr="00F91574">
        <w:t>s</w:t>
      </w:r>
      <w:r w:rsidRPr="00F91574">
        <w:t xml:space="preserve"> of another country</w:t>
      </w:r>
    </w:p>
    <w:p w14:paraId="3AD93544" w14:textId="77777777" w:rsidR="00D63750" w:rsidRPr="00F91574" w:rsidRDefault="00D63750" w:rsidP="001304CE">
      <w:pPr>
        <w:pStyle w:val="ListParagraph"/>
        <w:numPr>
          <w:ilvl w:val="0"/>
          <w:numId w:val="35"/>
        </w:numPr>
      </w:pPr>
      <w:r w:rsidRPr="00F91574">
        <w:t xml:space="preserve">ways individuals, political parties and pressure groups can participate in </w:t>
      </w:r>
      <w:r w:rsidR="00AD0AC6" w:rsidRPr="00F91574">
        <w:t xml:space="preserve">the </w:t>
      </w:r>
      <w:r w:rsidRPr="00F91574">
        <w:t>electoral processes</w:t>
      </w:r>
      <w:r w:rsidR="00AD0AC6" w:rsidRPr="00F91574">
        <w:t xml:space="preserve"> in Australia</w:t>
      </w:r>
    </w:p>
    <w:p w14:paraId="39DD42A0" w14:textId="77777777" w:rsidR="00D63750" w:rsidRPr="00F91574" w:rsidRDefault="00D63750" w:rsidP="001304CE">
      <w:pPr>
        <w:pStyle w:val="ListParagraph"/>
        <w:numPr>
          <w:ilvl w:val="0"/>
          <w:numId w:val="35"/>
        </w:numPr>
      </w:pPr>
      <w:r w:rsidRPr="00F91574">
        <w:t>strengths and weaknesses of Western Australia’s adversarial civil and criminal law processes</w:t>
      </w:r>
    </w:p>
    <w:p w14:paraId="7851D48E" w14:textId="77777777" w:rsidR="00D63750" w:rsidRPr="00F91574" w:rsidRDefault="00D63750" w:rsidP="001304CE">
      <w:pPr>
        <w:pStyle w:val="ListParagraph"/>
        <w:numPr>
          <w:ilvl w:val="0"/>
          <w:numId w:val="35"/>
        </w:numPr>
      </w:pPr>
      <w:r w:rsidRPr="00F91574">
        <w:t xml:space="preserve">a recently implemented or proposed reform (the last ten years) to </w:t>
      </w:r>
      <w:r w:rsidR="00AD0AC6" w:rsidRPr="00F91574">
        <w:t xml:space="preserve">the </w:t>
      </w:r>
      <w:r w:rsidRPr="00F91574">
        <w:t xml:space="preserve">civil </w:t>
      </w:r>
      <w:r w:rsidR="00AD0AC6" w:rsidRPr="00F91574">
        <w:t xml:space="preserve">or </w:t>
      </w:r>
      <w:r w:rsidRPr="00F91574">
        <w:t>criminal law process</w:t>
      </w:r>
      <w:r w:rsidR="00AD0AC6" w:rsidRPr="00F91574">
        <w:t xml:space="preserve"> in Western Australia</w:t>
      </w:r>
    </w:p>
    <w:p w14:paraId="76544305" w14:textId="77777777" w:rsidR="004845B9" w:rsidRPr="00F91574" w:rsidRDefault="00D63750" w:rsidP="001304CE">
      <w:pPr>
        <w:pStyle w:val="ListParagraph"/>
        <w:numPr>
          <w:ilvl w:val="0"/>
          <w:numId w:val="35"/>
        </w:numPr>
      </w:pPr>
      <w:r w:rsidRPr="00F91574">
        <w:t xml:space="preserve">strengths and weaknesses of </w:t>
      </w:r>
      <w:r w:rsidR="00AD0AC6" w:rsidRPr="00F91574">
        <w:t xml:space="preserve">the </w:t>
      </w:r>
      <w:r w:rsidRPr="00F91574">
        <w:t>processes and procedures</w:t>
      </w:r>
      <w:r w:rsidR="00AD0AC6" w:rsidRPr="00F91574">
        <w:t xml:space="preserve"> of at least one non-common law system</w:t>
      </w:r>
      <w:r w:rsidR="004845B9" w:rsidRPr="00F91574">
        <w:br w:type="page"/>
      </w:r>
    </w:p>
    <w:p w14:paraId="199C0557" w14:textId="77777777" w:rsidR="00D63750" w:rsidRPr="00F91574" w:rsidRDefault="00D63750" w:rsidP="001C62C9">
      <w:pPr>
        <w:pStyle w:val="SCSAHeading3"/>
      </w:pPr>
      <w:r w:rsidRPr="00F91574">
        <w:lastRenderedPageBreak/>
        <w:t xml:space="preserve">Political and legal </w:t>
      </w:r>
      <w:r w:rsidR="008C5C58" w:rsidRPr="00F91574">
        <w:t>issues</w:t>
      </w:r>
    </w:p>
    <w:p w14:paraId="11858B16" w14:textId="77777777" w:rsidR="00D63750" w:rsidRPr="00F91574" w:rsidRDefault="00D63750" w:rsidP="001C62C9">
      <w:pPr>
        <w:widowControl w:val="0"/>
        <w:spacing w:after="0"/>
      </w:pPr>
      <w:r w:rsidRPr="00F91574">
        <w:t>The political and legal issues are best addressed in combination with the relevant content of the Australian political an</w:t>
      </w:r>
      <w:r w:rsidR="004D0EF4" w:rsidRPr="00F91574">
        <w:t xml:space="preserve">d legal system. This requires </w:t>
      </w:r>
      <w:r w:rsidR="00AD0AC6" w:rsidRPr="00F91574">
        <w:t>an</w:t>
      </w:r>
      <w:r w:rsidRPr="00F91574">
        <w:t xml:space="preserve"> examination of:</w:t>
      </w:r>
    </w:p>
    <w:p w14:paraId="4B359279" w14:textId="77777777" w:rsidR="00D63750" w:rsidRPr="00F91574" w:rsidRDefault="00D63750" w:rsidP="001C62C9">
      <w:pPr>
        <w:pStyle w:val="ListParagraph"/>
        <w:numPr>
          <w:ilvl w:val="0"/>
          <w:numId w:val="36"/>
        </w:numPr>
      </w:pPr>
      <w:r w:rsidRPr="00F91574">
        <w:t xml:space="preserve">at least one contemporary issue (the last three years) </w:t>
      </w:r>
      <w:proofErr w:type="spellStart"/>
      <w:r w:rsidRPr="00F91574">
        <w:t>centering</w:t>
      </w:r>
      <w:proofErr w:type="spellEnd"/>
      <w:r w:rsidRPr="00F91574">
        <w:t xml:space="preserve"> on representation </w:t>
      </w:r>
    </w:p>
    <w:p w14:paraId="614110BC" w14:textId="77777777" w:rsidR="00AD0AC6" w:rsidRPr="00F91574" w:rsidRDefault="00AD0AC6" w:rsidP="001C62C9">
      <w:pPr>
        <w:pStyle w:val="ListParagraph"/>
        <w:ind w:left="360"/>
        <w:rPr>
          <w:b/>
        </w:rPr>
      </w:pPr>
      <w:r w:rsidRPr="00F91574">
        <w:rPr>
          <w:b/>
        </w:rPr>
        <w:t>and</w:t>
      </w:r>
    </w:p>
    <w:p w14:paraId="182BE1E7" w14:textId="77777777" w:rsidR="004D7B3C" w:rsidRPr="00F91574" w:rsidRDefault="00D63750" w:rsidP="001C62C9">
      <w:pPr>
        <w:pStyle w:val="ListParagraph"/>
        <w:numPr>
          <w:ilvl w:val="0"/>
          <w:numId w:val="36"/>
        </w:numPr>
      </w:pPr>
      <w:r w:rsidRPr="00F91574">
        <w:t xml:space="preserve">at least one contemporary issue (the last three years) </w:t>
      </w:r>
      <w:proofErr w:type="spellStart"/>
      <w:r w:rsidRPr="00F91574">
        <w:t>centering</w:t>
      </w:r>
      <w:proofErr w:type="spellEnd"/>
      <w:r w:rsidRPr="00F91574">
        <w:t xml:space="preserve"> on justice.</w:t>
      </w:r>
    </w:p>
    <w:p w14:paraId="66861A15" w14:textId="77777777" w:rsidR="00D63750" w:rsidRPr="00F91574" w:rsidRDefault="00D63750" w:rsidP="001C62C9">
      <w:pPr>
        <w:pStyle w:val="SCSAHeading3"/>
      </w:pPr>
      <w:r w:rsidRPr="00F91574">
        <w:t>Political and legal research</w:t>
      </w:r>
      <w:r w:rsidR="004C1CAF" w:rsidRPr="00F91574">
        <w:t xml:space="preserve"> skills</w:t>
      </w:r>
    </w:p>
    <w:bookmarkEnd w:id="38"/>
    <w:p w14:paraId="41A37630" w14:textId="77777777" w:rsidR="004C1CAF" w:rsidRPr="00F91574" w:rsidRDefault="004C1CAF" w:rsidP="001C62C9">
      <w:r w:rsidRPr="00F91574">
        <w:t>Research provides the opportunity to examine aspects of political and legal system</w:t>
      </w:r>
      <w:r w:rsidR="00AD0AC6" w:rsidRPr="00F91574">
        <w:t>s.</w:t>
      </w:r>
      <w:r w:rsidRPr="00F91574">
        <w:t xml:space="preserve"> The following skills will be developed in this unit.</w:t>
      </w:r>
    </w:p>
    <w:p w14:paraId="36F9F21E" w14:textId="77777777" w:rsidR="004C1CAF" w:rsidRPr="00F91574" w:rsidRDefault="004C1CAF" w:rsidP="001C62C9">
      <w:pPr>
        <w:pStyle w:val="SCSAHeading4"/>
      </w:pPr>
      <w:r w:rsidRPr="00F91574">
        <w:t>Research and analysis</w:t>
      </w:r>
    </w:p>
    <w:p w14:paraId="2DCA4B35" w14:textId="77777777" w:rsidR="004C1CAF" w:rsidRPr="00F91574" w:rsidRDefault="004C1CAF" w:rsidP="001304CE">
      <w:pPr>
        <w:pStyle w:val="ListParagraph"/>
        <w:numPr>
          <w:ilvl w:val="0"/>
          <w:numId w:val="36"/>
        </w:numPr>
      </w:pPr>
      <w:r w:rsidRPr="00F91574">
        <w:t>identify, define, distinguish, analyse and evaluate principles and terms</w:t>
      </w:r>
    </w:p>
    <w:p w14:paraId="44B3EFB8" w14:textId="77777777" w:rsidR="004C1CAF" w:rsidRPr="00F91574" w:rsidRDefault="004C1CAF" w:rsidP="001304CE">
      <w:pPr>
        <w:pStyle w:val="ListParagraph"/>
        <w:numPr>
          <w:ilvl w:val="0"/>
          <w:numId w:val="36"/>
        </w:numPr>
      </w:pPr>
      <w:r w:rsidRPr="00F91574">
        <w:t xml:space="preserve">describe, discuss, analyse and evaluate the operation and key features of </w:t>
      </w:r>
      <w:r w:rsidR="00AD0AC6" w:rsidRPr="00F91574">
        <w:t>a political and legal system</w:t>
      </w:r>
    </w:p>
    <w:p w14:paraId="460039EA" w14:textId="77777777" w:rsidR="004C1CAF" w:rsidRPr="00F91574" w:rsidRDefault="004C1CAF" w:rsidP="001304CE">
      <w:pPr>
        <w:pStyle w:val="ListParagraph"/>
        <w:numPr>
          <w:ilvl w:val="0"/>
          <w:numId w:val="36"/>
        </w:numPr>
      </w:pPr>
      <w:r w:rsidRPr="00F91574">
        <w:t>analyse statute law, common law, political decisions and legal decisions</w:t>
      </w:r>
    </w:p>
    <w:p w14:paraId="11BA9835" w14:textId="77777777" w:rsidR="004C1CAF" w:rsidRPr="00F91574" w:rsidRDefault="004C1CAF" w:rsidP="001304CE">
      <w:pPr>
        <w:pStyle w:val="ListParagraph"/>
        <w:numPr>
          <w:ilvl w:val="0"/>
          <w:numId w:val="36"/>
        </w:numPr>
      </w:pPr>
      <w:r w:rsidRPr="00F91574">
        <w:t>distinguish between fact and opinion, theory and practice and formal and informal processes</w:t>
      </w:r>
    </w:p>
    <w:p w14:paraId="3E6DE6B2" w14:textId="77777777" w:rsidR="004C1CAF" w:rsidRPr="00F91574" w:rsidRDefault="004C1CAF" w:rsidP="001304CE">
      <w:pPr>
        <w:pStyle w:val="ListParagraph"/>
        <w:numPr>
          <w:ilvl w:val="0"/>
          <w:numId w:val="36"/>
        </w:numPr>
      </w:pPr>
      <w:r w:rsidRPr="00F91574">
        <w:t>identify and evaluate</w:t>
      </w:r>
      <w:r w:rsidRPr="00F91574" w:rsidDel="00385733">
        <w:t xml:space="preserve"> </w:t>
      </w:r>
      <w:r w:rsidRPr="00F91574">
        <w:t>alternative conclusions</w:t>
      </w:r>
    </w:p>
    <w:p w14:paraId="19381268" w14:textId="77777777" w:rsidR="004C1CAF" w:rsidRPr="00F91574" w:rsidRDefault="004C1CAF" w:rsidP="001304CE">
      <w:pPr>
        <w:pStyle w:val="ListParagraph"/>
        <w:numPr>
          <w:ilvl w:val="0"/>
          <w:numId w:val="36"/>
        </w:numPr>
      </w:pPr>
      <w:r w:rsidRPr="00F91574">
        <w:t>identify or propose solutions</w:t>
      </w:r>
    </w:p>
    <w:p w14:paraId="1726EE29" w14:textId="77777777" w:rsidR="004C1CAF" w:rsidRPr="00F91574" w:rsidDel="00BE5862" w:rsidRDefault="004C1CAF" w:rsidP="001304CE">
      <w:pPr>
        <w:pStyle w:val="ListParagraph"/>
        <w:numPr>
          <w:ilvl w:val="0"/>
          <w:numId w:val="36"/>
        </w:numPr>
      </w:pPr>
      <w:r w:rsidRPr="00F91574">
        <w:t>predict intended or unintended consequences</w:t>
      </w:r>
    </w:p>
    <w:p w14:paraId="4B8B4E38" w14:textId="77777777" w:rsidR="004C1CAF" w:rsidRPr="00F91574" w:rsidRDefault="004C1CAF" w:rsidP="001C62C9">
      <w:pPr>
        <w:pStyle w:val="SCSAHeading4"/>
      </w:pPr>
      <w:r w:rsidRPr="00F91574">
        <w:t>Communication</w:t>
      </w:r>
    </w:p>
    <w:p w14:paraId="3A44A471" w14:textId="77777777" w:rsidR="004C1CAF" w:rsidRPr="00F91574" w:rsidRDefault="004C1CAF" w:rsidP="001304CE">
      <w:pPr>
        <w:pStyle w:val="ListParagraph"/>
        <w:numPr>
          <w:ilvl w:val="0"/>
          <w:numId w:val="36"/>
        </w:numPr>
      </w:pPr>
      <w:r w:rsidRPr="00F91574">
        <w:t>use political and legal formats, terminology and techniques to suit an audience</w:t>
      </w:r>
    </w:p>
    <w:p w14:paraId="766564AE" w14:textId="77777777" w:rsidR="004C1CAF" w:rsidRPr="00F91574" w:rsidRDefault="004C1CAF" w:rsidP="001304CE">
      <w:pPr>
        <w:pStyle w:val="ListParagraph"/>
        <w:numPr>
          <w:ilvl w:val="0"/>
          <w:numId w:val="36"/>
        </w:numPr>
      </w:pPr>
      <w:r w:rsidRPr="00F91574">
        <w:t>utilise techniques to explore ideas and construct reasoned arguments</w:t>
      </w:r>
    </w:p>
    <w:p w14:paraId="2AD45B0D" w14:textId="77777777" w:rsidR="004C1CAF" w:rsidRPr="00F91574" w:rsidRDefault="004C1CAF" w:rsidP="001304CE">
      <w:pPr>
        <w:pStyle w:val="ListParagraph"/>
        <w:numPr>
          <w:ilvl w:val="0"/>
          <w:numId w:val="36"/>
        </w:numPr>
      </w:pPr>
      <w:r w:rsidRPr="00F91574">
        <w:t>use an appropriate method of referencing</w:t>
      </w:r>
    </w:p>
    <w:p w14:paraId="2FB5D4AB" w14:textId="77777777" w:rsidR="00A20F67" w:rsidRPr="00F91574" w:rsidRDefault="00A20F67">
      <w:r w:rsidRPr="00F91574">
        <w:br w:type="page"/>
      </w:r>
    </w:p>
    <w:p w14:paraId="6DAC80E1" w14:textId="77777777" w:rsidR="008E5011" w:rsidRPr="00F91574" w:rsidRDefault="008E5011" w:rsidP="001C62C9">
      <w:pPr>
        <w:pStyle w:val="SCSAHeading1"/>
      </w:pPr>
      <w:bookmarkStart w:id="41" w:name="_Toc347908209"/>
      <w:bookmarkStart w:id="42" w:name="_Toc359503808"/>
      <w:bookmarkStart w:id="43" w:name="_Toc219985317"/>
      <w:r w:rsidRPr="00F91574">
        <w:lastRenderedPageBreak/>
        <w:t>School-based assessment</w:t>
      </w:r>
      <w:bookmarkEnd w:id="41"/>
      <w:bookmarkEnd w:id="43"/>
    </w:p>
    <w:p w14:paraId="0DD93300" w14:textId="77777777" w:rsidR="008E5011" w:rsidRPr="00E11A51" w:rsidRDefault="008E5011" w:rsidP="00E11A51">
      <w:bookmarkStart w:id="44" w:name="_Toc347908210"/>
      <w:bookmarkStart w:id="45" w:name="_Toc347908211"/>
      <w:r w:rsidRPr="00F91574">
        <w:t xml:space="preserve">The </w:t>
      </w:r>
      <w:r w:rsidR="00C6186F" w:rsidRPr="00F91574">
        <w:rPr>
          <w:i/>
          <w:iCs/>
        </w:rPr>
        <w:t xml:space="preserve">Western Australian Certificate of Education (WACE) </w:t>
      </w:r>
      <w:r w:rsidRPr="00F91574">
        <w:rPr>
          <w:i/>
          <w:iCs/>
        </w:rPr>
        <w:t>Manual</w:t>
      </w:r>
      <w:r w:rsidRPr="00F91574">
        <w:t xml:space="preserve"> contains essential information on principles, policies and procedures for school-based assessment that needs to be read in conjunction with this syllabus.</w:t>
      </w:r>
    </w:p>
    <w:p w14:paraId="608632D5" w14:textId="77777777" w:rsidR="005C554A" w:rsidRPr="00F91574" w:rsidRDefault="005C554A" w:rsidP="00E11A51">
      <w:pPr>
        <w:rPr>
          <w:rFonts w:cs="Times New Roman"/>
        </w:rPr>
      </w:pPr>
      <w:bookmarkStart w:id="46" w:name="_Toc359503791"/>
      <w:bookmarkEnd w:id="44"/>
      <w:r w:rsidRPr="00F91574">
        <w:rPr>
          <w:rFonts w:cs="Times New Roman"/>
        </w:rPr>
        <w:t xml:space="preserve">Teachers design school-based assessment tasks to meet the needs of students. The table below provides details of </w:t>
      </w:r>
      <w:r w:rsidR="00535D40" w:rsidRPr="00F91574">
        <w:rPr>
          <w:rFonts w:cs="Times New Roman"/>
        </w:rPr>
        <w:t xml:space="preserve">the assessment types for </w:t>
      </w:r>
      <w:r w:rsidR="005C5628" w:rsidRPr="00F91574">
        <w:rPr>
          <w:rFonts w:cs="Times New Roman"/>
        </w:rPr>
        <w:t xml:space="preserve">the </w:t>
      </w:r>
      <w:r w:rsidR="002E156E" w:rsidRPr="00F91574">
        <w:rPr>
          <w:rFonts w:cs="Times New Roman"/>
        </w:rPr>
        <w:t>Politics and Law</w:t>
      </w:r>
      <w:r w:rsidR="005C5628" w:rsidRPr="00F91574">
        <w:rPr>
          <w:rFonts w:cs="Times New Roman"/>
        </w:rPr>
        <w:t xml:space="preserve"> </w:t>
      </w:r>
      <w:r w:rsidR="00C6186F" w:rsidRPr="00F91574">
        <w:rPr>
          <w:rFonts w:cs="Times New Roman"/>
        </w:rPr>
        <w:t xml:space="preserve">ATAR Year 11 </w:t>
      </w:r>
      <w:r w:rsidR="005C5628" w:rsidRPr="00F91574">
        <w:rPr>
          <w:rFonts w:cs="Times New Roman"/>
        </w:rPr>
        <w:t>syllabus</w:t>
      </w:r>
      <w:r w:rsidR="002E156E" w:rsidRPr="00F91574">
        <w:rPr>
          <w:rFonts w:cs="Times New Roman"/>
        </w:rPr>
        <w:t xml:space="preserve"> </w:t>
      </w:r>
      <w:r w:rsidRPr="00F91574">
        <w:rPr>
          <w:rFonts w:cs="Times New Roman"/>
        </w:rPr>
        <w:t>and the weighting for each assessment type.</w:t>
      </w:r>
    </w:p>
    <w:p w14:paraId="1758F930" w14:textId="77777777" w:rsidR="008E5011" w:rsidRPr="00F91574" w:rsidRDefault="008E5011" w:rsidP="001C62C9">
      <w:pPr>
        <w:pStyle w:val="SCSAHeading2"/>
      </w:pPr>
      <w:bookmarkStart w:id="47" w:name="_Toc219985318"/>
      <w:r w:rsidRPr="00F91574">
        <w:t>Assessment table</w:t>
      </w:r>
      <w:bookmarkEnd w:id="46"/>
      <w:r w:rsidR="00442526" w:rsidRPr="00F91574">
        <w:t xml:space="preserve"> </w:t>
      </w:r>
      <w:r w:rsidR="007E70A2" w:rsidRPr="00F91574">
        <w:t>–</w:t>
      </w:r>
      <w:r w:rsidR="00442526" w:rsidRPr="00F91574">
        <w:t xml:space="preserve"> </w:t>
      </w:r>
      <w:r w:rsidRPr="00F91574">
        <w:t>Year 11</w:t>
      </w:r>
      <w:bookmarkEnd w:id="47"/>
    </w:p>
    <w:tbl>
      <w:tblPr>
        <w:tblStyle w:val="SCSATable"/>
        <w:tblW w:w="5000" w:type="pct"/>
        <w:tblLayout w:type="fixed"/>
        <w:tblLook w:val="00A0" w:firstRow="1" w:lastRow="0" w:firstColumn="1" w:lastColumn="0" w:noHBand="0" w:noVBand="0"/>
      </w:tblPr>
      <w:tblGrid>
        <w:gridCol w:w="7694"/>
        <w:gridCol w:w="1366"/>
      </w:tblGrid>
      <w:tr w:rsidR="008E5011" w:rsidRPr="00F91574" w14:paraId="479B52A9" w14:textId="77777777" w:rsidTr="0057539C">
        <w:trPr>
          <w:cnfStyle w:val="100000000000" w:firstRow="1" w:lastRow="0" w:firstColumn="0" w:lastColumn="0" w:oddVBand="0" w:evenVBand="0" w:oddHBand="0" w:evenHBand="0" w:firstRowFirstColumn="0" w:firstRowLastColumn="0" w:lastRowFirstColumn="0" w:lastRowLastColumn="0"/>
          <w:trHeight w:val="227"/>
        </w:trPr>
        <w:tc>
          <w:tcPr>
            <w:tcW w:w="7704" w:type="dxa"/>
          </w:tcPr>
          <w:p w14:paraId="4B5C57D1" w14:textId="77777777" w:rsidR="008E5011" w:rsidRPr="00F91574" w:rsidRDefault="008E5011" w:rsidP="00442526">
            <w:pPr>
              <w:rPr>
                <w:rFonts w:ascii="Calibri" w:hAnsi="Calibri"/>
              </w:rPr>
            </w:pPr>
            <w:r w:rsidRPr="00F91574">
              <w:rPr>
                <w:rFonts w:ascii="Calibri" w:hAnsi="Calibri"/>
              </w:rPr>
              <w:t>Type of assessment</w:t>
            </w:r>
          </w:p>
        </w:tc>
        <w:tc>
          <w:tcPr>
            <w:tcW w:w="1368" w:type="dxa"/>
            <w:vAlign w:val="center"/>
          </w:tcPr>
          <w:p w14:paraId="30A1BB4D" w14:textId="77777777" w:rsidR="008E5011" w:rsidRPr="00F91574" w:rsidRDefault="008E5011" w:rsidP="0057539C">
            <w:pPr>
              <w:jc w:val="center"/>
              <w:rPr>
                <w:rFonts w:ascii="Calibri" w:hAnsi="Calibri"/>
              </w:rPr>
            </w:pPr>
            <w:r w:rsidRPr="00F91574">
              <w:rPr>
                <w:rFonts w:ascii="Calibri" w:hAnsi="Calibri"/>
              </w:rPr>
              <w:t>Weighting</w:t>
            </w:r>
          </w:p>
        </w:tc>
      </w:tr>
      <w:tr w:rsidR="008E5011" w:rsidRPr="00F91574" w14:paraId="4A1CCE9F" w14:textId="77777777" w:rsidTr="0057539C">
        <w:tc>
          <w:tcPr>
            <w:tcW w:w="7704" w:type="dxa"/>
          </w:tcPr>
          <w:p w14:paraId="2CBF077F" w14:textId="77777777" w:rsidR="002E156E" w:rsidRPr="00F91574" w:rsidRDefault="002E156E" w:rsidP="009D711E">
            <w:pPr>
              <w:rPr>
                <w:rFonts w:ascii="Calibri" w:hAnsi="Calibri"/>
                <w:b/>
                <w:bCs/>
              </w:rPr>
            </w:pPr>
            <w:r w:rsidRPr="00F91574">
              <w:rPr>
                <w:rFonts w:ascii="Calibri" w:hAnsi="Calibri"/>
                <w:b/>
                <w:bCs/>
              </w:rPr>
              <w:t>Investigation</w:t>
            </w:r>
          </w:p>
          <w:p w14:paraId="378F4E68" w14:textId="77777777" w:rsidR="002E156E" w:rsidRPr="00E11A51" w:rsidRDefault="002E156E" w:rsidP="00E11A51">
            <w:pPr>
              <w:spacing w:after="120"/>
            </w:pPr>
            <w:r w:rsidRPr="00F91574">
              <w:rPr>
                <w:rFonts w:ascii="Calibri" w:hAnsi="Calibri"/>
              </w:rPr>
              <w:t xml:space="preserve">Students research a political or legal concept, event </w:t>
            </w:r>
            <w:r w:rsidR="00A16DC4" w:rsidRPr="00F91574">
              <w:rPr>
                <w:rFonts w:ascii="Calibri" w:hAnsi="Calibri"/>
              </w:rPr>
              <w:t xml:space="preserve">or issue. The </w:t>
            </w:r>
            <w:r w:rsidR="00A16DC4" w:rsidRPr="00E11A51">
              <w:t xml:space="preserve">investigation can </w:t>
            </w:r>
            <w:r w:rsidRPr="00E11A51">
              <w:t xml:space="preserve">be based on sources </w:t>
            </w:r>
            <w:r w:rsidR="00A16DC4" w:rsidRPr="00E11A51">
              <w:t>pr</w:t>
            </w:r>
            <w:r w:rsidRPr="00E11A51">
              <w:t xml:space="preserve">ovided by the </w:t>
            </w:r>
            <w:proofErr w:type="gramStart"/>
            <w:r w:rsidRPr="00E11A51">
              <w:t>teacher</w:t>
            </w:r>
            <w:r w:rsidR="00A16DC4" w:rsidRPr="00E11A51">
              <w:t>, or</w:t>
            </w:r>
            <w:proofErr w:type="gramEnd"/>
            <w:r w:rsidR="00A16DC4" w:rsidRPr="00E11A51">
              <w:t xml:space="preserve"> </w:t>
            </w:r>
            <w:r w:rsidRPr="00E11A51">
              <w:t>require students to locate sources for research.</w:t>
            </w:r>
          </w:p>
          <w:p w14:paraId="0FBFB943" w14:textId="77777777" w:rsidR="002E156E" w:rsidRPr="00E11A51" w:rsidRDefault="002E156E" w:rsidP="00E11A51">
            <w:pPr>
              <w:spacing w:after="120"/>
            </w:pPr>
            <w:r w:rsidRPr="00E11A51">
              <w:t xml:space="preserve">Source material can be drawn from newspapers, television or radio broadcasts, journal articles, texts, speeches, court judgements or statutes and </w:t>
            </w:r>
            <w:r w:rsidR="009D711E" w:rsidRPr="00E11A51">
              <w:t>can</w:t>
            </w:r>
            <w:r w:rsidRPr="00E11A51">
              <w:t xml:space="preserve"> include information</w:t>
            </w:r>
            <w:r w:rsidR="00CA4758" w:rsidRPr="00E11A51">
              <w:t>,</w:t>
            </w:r>
            <w:r w:rsidRPr="00E11A51">
              <w:t xml:space="preserve"> such as reportage, analysis, opinion pieces, news, current affairs and documentary transcripts and/or programs, opinion polls, election results, legal decisions, Bills/Acts </w:t>
            </w:r>
            <w:r w:rsidR="00A16DC4" w:rsidRPr="00E11A51">
              <w:t>and/</w:t>
            </w:r>
            <w:r w:rsidR="00EC185A" w:rsidRPr="00E11A51">
              <w:t>or</w:t>
            </w:r>
            <w:r w:rsidRPr="00E11A51">
              <w:t xml:space="preserve"> letters.</w:t>
            </w:r>
          </w:p>
          <w:p w14:paraId="4932EBC6" w14:textId="77777777" w:rsidR="008E5011" w:rsidRPr="00E11A51" w:rsidRDefault="00A16DC4" w:rsidP="00E11A51">
            <w:pPr>
              <w:spacing w:after="120"/>
            </w:pPr>
            <w:proofErr w:type="gramStart"/>
            <w:r w:rsidRPr="00E11A51">
              <w:t>Typically</w:t>
            </w:r>
            <w:proofErr w:type="gramEnd"/>
            <w:r w:rsidRPr="00E11A51">
              <w:t xml:space="preserve"> t</w:t>
            </w:r>
            <w:r w:rsidR="002E156E" w:rsidRPr="00E11A51">
              <w:t>he format of the final presentation is a written report.</w:t>
            </w:r>
          </w:p>
          <w:p w14:paraId="418BD9C1" w14:textId="77777777" w:rsidR="00A16DC4" w:rsidRPr="00E11A51" w:rsidRDefault="00A16DC4" w:rsidP="00E11A51">
            <w:r w:rsidRPr="00E11A51">
              <w:t>One investigation should be completed for each unit.</w:t>
            </w:r>
          </w:p>
        </w:tc>
        <w:tc>
          <w:tcPr>
            <w:tcW w:w="1368" w:type="dxa"/>
            <w:vAlign w:val="center"/>
          </w:tcPr>
          <w:p w14:paraId="2D2D9E40" w14:textId="77777777" w:rsidR="008E5011" w:rsidRPr="00F91574" w:rsidRDefault="002E156E" w:rsidP="0057539C">
            <w:pPr>
              <w:jc w:val="center"/>
              <w:rPr>
                <w:rFonts w:ascii="Calibri" w:hAnsi="Calibri"/>
              </w:rPr>
            </w:pPr>
            <w:r w:rsidRPr="00F91574">
              <w:rPr>
                <w:rFonts w:ascii="Calibri" w:hAnsi="Calibri"/>
              </w:rPr>
              <w:t>10%</w:t>
            </w:r>
          </w:p>
        </w:tc>
      </w:tr>
      <w:tr w:rsidR="008C5C58" w:rsidRPr="00F91574" w14:paraId="3B8270DF" w14:textId="77777777" w:rsidTr="0057539C">
        <w:tc>
          <w:tcPr>
            <w:tcW w:w="7704" w:type="dxa"/>
          </w:tcPr>
          <w:p w14:paraId="4E2F8DA4" w14:textId="77777777" w:rsidR="008C5C58" w:rsidRPr="00F91574" w:rsidRDefault="008C5C58" w:rsidP="00FB3FF1">
            <w:pPr>
              <w:rPr>
                <w:rFonts w:ascii="Calibri" w:hAnsi="Calibri"/>
                <w:b/>
                <w:bCs/>
              </w:rPr>
            </w:pPr>
            <w:r w:rsidRPr="00F91574">
              <w:rPr>
                <w:rFonts w:ascii="Calibri" w:hAnsi="Calibri"/>
                <w:b/>
                <w:bCs/>
              </w:rPr>
              <w:t>Short answer</w:t>
            </w:r>
          </w:p>
          <w:p w14:paraId="1159AB4A" w14:textId="77777777" w:rsidR="008C5C58" w:rsidRPr="00E11A51" w:rsidRDefault="008C5C58" w:rsidP="00E11A51">
            <w:pPr>
              <w:spacing w:after="120"/>
            </w:pPr>
            <w:proofErr w:type="gramStart"/>
            <w:r w:rsidRPr="00F91574">
              <w:rPr>
                <w:rFonts w:ascii="Calibri" w:hAnsi="Calibri"/>
              </w:rPr>
              <w:t>Typically</w:t>
            </w:r>
            <w:proofErr w:type="gramEnd"/>
            <w:r w:rsidRPr="00F91574">
              <w:rPr>
                <w:rFonts w:ascii="Calibri" w:hAnsi="Calibri"/>
              </w:rPr>
              <w:t xml:space="preserve"> a series of closed or partially open questions </w:t>
            </w:r>
            <w:r w:rsidR="00A16DC4" w:rsidRPr="00F91574">
              <w:rPr>
                <w:rFonts w:ascii="Calibri" w:hAnsi="Calibri"/>
              </w:rPr>
              <w:t>that</w:t>
            </w:r>
            <w:r w:rsidRPr="00F91574">
              <w:rPr>
                <w:rFonts w:ascii="Calibri" w:hAnsi="Calibri"/>
              </w:rPr>
              <w:t xml:space="preserve"> </w:t>
            </w:r>
            <w:r w:rsidRPr="00E11A51">
              <w:t>can require a definition, description,</w:t>
            </w:r>
            <w:r w:rsidR="00EC185A" w:rsidRPr="00E11A51">
              <w:t xml:space="preserve"> explanation, discussion and/or comparison</w:t>
            </w:r>
            <w:r w:rsidRPr="00E11A51">
              <w:t>.</w:t>
            </w:r>
          </w:p>
          <w:p w14:paraId="380D0023" w14:textId="77777777" w:rsidR="00A16DC4" w:rsidRPr="00E11A51" w:rsidRDefault="00A16DC4" w:rsidP="00E11A51">
            <w:r w:rsidRPr="00E11A51">
              <w:t>At least two short answer tasks should be completed under test conditions.</w:t>
            </w:r>
          </w:p>
        </w:tc>
        <w:tc>
          <w:tcPr>
            <w:tcW w:w="1368" w:type="dxa"/>
            <w:vAlign w:val="center"/>
          </w:tcPr>
          <w:p w14:paraId="65CB18C7" w14:textId="77777777" w:rsidR="008C5C58" w:rsidRPr="00F91574" w:rsidRDefault="008C5C58" w:rsidP="0057539C">
            <w:pPr>
              <w:jc w:val="center"/>
              <w:rPr>
                <w:rFonts w:ascii="Calibri" w:hAnsi="Calibri"/>
              </w:rPr>
            </w:pPr>
            <w:r w:rsidRPr="00F91574">
              <w:rPr>
                <w:rFonts w:ascii="Calibri" w:hAnsi="Calibri"/>
              </w:rPr>
              <w:t>20%</w:t>
            </w:r>
          </w:p>
        </w:tc>
      </w:tr>
      <w:tr w:rsidR="008C5C58" w:rsidRPr="00F91574" w14:paraId="7BA5CE50" w14:textId="77777777" w:rsidTr="0057539C">
        <w:tc>
          <w:tcPr>
            <w:tcW w:w="7704" w:type="dxa"/>
          </w:tcPr>
          <w:p w14:paraId="1630E80A" w14:textId="77777777" w:rsidR="008C5C58" w:rsidRPr="00F91574" w:rsidRDefault="008C5C58" w:rsidP="00FB3FF1">
            <w:pPr>
              <w:rPr>
                <w:rFonts w:ascii="Calibri" w:hAnsi="Calibri"/>
                <w:b/>
                <w:bCs/>
              </w:rPr>
            </w:pPr>
            <w:r w:rsidRPr="00F91574">
              <w:rPr>
                <w:rFonts w:ascii="Calibri" w:hAnsi="Calibri"/>
                <w:b/>
                <w:bCs/>
              </w:rPr>
              <w:t>Essay</w:t>
            </w:r>
          </w:p>
          <w:p w14:paraId="6D4296FB" w14:textId="77777777" w:rsidR="008C5C58" w:rsidRPr="00E11A51" w:rsidRDefault="008C5C58" w:rsidP="00E11A51">
            <w:pPr>
              <w:spacing w:after="120"/>
            </w:pPr>
            <w:r w:rsidRPr="00F91574">
              <w:rPr>
                <w:rFonts w:ascii="Calibri" w:hAnsi="Calibri"/>
              </w:rPr>
              <w:t>Typically require a response to a question, statement or</w:t>
            </w:r>
            <w:r w:rsidRPr="00E11A51">
              <w:t xml:space="preserve"> proposition. The question can require description, discussion, examination, comparison, assessment, analysis and/or evaluation.</w:t>
            </w:r>
          </w:p>
          <w:p w14:paraId="2EA702BC" w14:textId="77777777" w:rsidR="00A16DC4" w:rsidRPr="00E11A51" w:rsidRDefault="00A16DC4" w:rsidP="00E11A51">
            <w:r w:rsidRPr="00E11A51">
              <w:t>At least two essay tasks should be completed under test conditions.</w:t>
            </w:r>
          </w:p>
        </w:tc>
        <w:tc>
          <w:tcPr>
            <w:tcW w:w="1368" w:type="dxa"/>
            <w:vAlign w:val="center"/>
          </w:tcPr>
          <w:p w14:paraId="5820C155" w14:textId="77777777" w:rsidR="008C5C58" w:rsidRPr="00F91574" w:rsidRDefault="008C5C58" w:rsidP="0057539C">
            <w:pPr>
              <w:jc w:val="center"/>
              <w:rPr>
                <w:rFonts w:ascii="Calibri" w:hAnsi="Calibri"/>
              </w:rPr>
            </w:pPr>
            <w:r w:rsidRPr="00F91574">
              <w:rPr>
                <w:rFonts w:ascii="Calibri" w:hAnsi="Calibri"/>
              </w:rPr>
              <w:t>20%</w:t>
            </w:r>
          </w:p>
        </w:tc>
      </w:tr>
      <w:tr w:rsidR="008C5C58" w:rsidRPr="00F91574" w14:paraId="14066392" w14:textId="77777777" w:rsidTr="0057539C">
        <w:tc>
          <w:tcPr>
            <w:tcW w:w="7704" w:type="dxa"/>
          </w:tcPr>
          <w:p w14:paraId="22E8DD9B" w14:textId="77777777" w:rsidR="008C5C58" w:rsidRPr="00F91574" w:rsidRDefault="008C5C58" w:rsidP="00FB3FF1">
            <w:pPr>
              <w:rPr>
                <w:rFonts w:ascii="Calibri" w:hAnsi="Calibri"/>
                <w:b/>
                <w:bCs/>
              </w:rPr>
            </w:pPr>
            <w:r w:rsidRPr="00F91574">
              <w:rPr>
                <w:rFonts w:ascii="Calibri" w:hAnsi="Calibri"/>
                <w:b/>
                <w:bCs/>
              </w:rPr>
              <w:t>Source analysis</w:t>
            </w:r>
          </w:p>
          <w:p w14:paraId="5A8A579A" w14:textId="77777777" w:rsidR="008C5C58" w:rsidRPr="00E11A51" w:rsidRDefault="008C5C58" w:rsidP="00E11A51">
            <w:pPr>
              <w:spacing w:after="120"/>
            </w:pPr>
            <w:r w:rsidRPr="00F91574">
              <w:rPr>
                <w:rFonts w:ascii="Calibri" w:hAnsi="Calibri"/>
              </w:rPr>
              <w:t xml:space="preserve">Students respond to questions based on one or more sources. Source material can be drawn from newspapers, television or radio broadcasts, journal articles, </w:t>
            </w:r>
            <w:r w:rsidRPr="00E11A51">
              <w:t xml:space="preserve">texts, speeches, court judgements or statutes and </w:t>
            </w:r>
            <w:r w:rsidR="009D711E" w:rsidRPr="00E11A51">
              <w:t>can</w:t>
            </w:r>
            <w:r w:rsidRPr="00E11A51">
              <w:t xml:space="preserve"> include information</w:t>
            </w:r>
            <w:r w:rsidR="00CA4758" w:rsidRPr="00E11A51">
              <w:t>,</w:t>
            </w:r>
            <w:r w:rsidRPr="00E11A51">
              <w:t xml:space="preserve"> such as reportage, analysis, opinion pieces, news, current affairs and documentary transcripts, opinion polls, election results, legal decisions and Bills/Acts</w:t>
            </w:r>
            <w:r w:rsidR="00EC185A" w:rsidRPr="00E11A51">
              <w:t xml:space="preserve"> </w:t>
            </w:r>
            <w:r w:rsidR="00A16DC4" w:rsidRPr="00E11A51">
              <w:t>and/</w:t>
            </w:r>
            <w:r w:rsidR="00EC185A" w:rsidRPr="00E11A51">
              <w:t>or letters</w:t>
            </w:r>
            <w:r w:rsidRPr="00E11A51">
              <w:t>.</w:t>
            </w:r>
          </w:p>
          <w:p w14:paraId="084F960D" w14:textId="77777777" w:rsidR="008C5C58" w:rsidRPr="00E11A51" w:rsidRDefault="008C5C58" w:rsidP="00E11A51">
            <w:pPr>
              <w:spacing w:after="120"/>
            </w:pPr>
            <w:r w:rsidRPr="00E11A51">
              <w:t>Questions can require both short and longer written responses.</w:t>
            </w:r>
          </w:p>
          <w:p w14:paraId="703C21CC" w14:textId="77777777" w:rsidR="00A16DC4" w:rsidRPr="00E11A51" w:rsidRDefault="00A16DC4" w:rsidP="00E11A51">
            <w:r w:rsidRPr="00E11A51">
              <w:t>At least two source analysis tasks should be completed under test conditions.</w:t>
            </w:r>
          </w:p>
        </w:tc>
        <w:tc>
          <w:tcPr>
            <w:tcW w:w="1368" w:type="dxa"/>
            <w:vAlign w:val="center"/>
          </w:tcPr>
          <w:p w14:paraId="4DE98E56" w14:textId="77777777" w:rsidR="008C5C58" w:rsidRPr="00F91574" w:rsidRDefault="008C5C58" w:rsidP="0057539C">
            <w:pPr>
              <w:jc w:val="center"/>
            </w:pPr>
            <w:r w:rsidRPr="00F91574">
              <w:rPr>
                <w:rFonts w:ascii="Calibri" w:hAnsi="Calibri"/>
              </w:rPr>
              <w:t>20%</w:t>
            </w:r>
          </w:p>
        </w:tc>
      </w:tr>
      <w:tr w:rsidR="008E5011" w:rsidRPr="00F91574" w14:paraId="1C44AB06" w14:textId="77777777" w:rsidTr="0057539C">
        <w:tc>
          <w:tcPr>
            <w:tcW w:w="7704" w:type="dxa"/>
          </w:tcPr>
          <w:p w14:paraId="542681D9" w14:textId="77777777" w:rsidR="008E5011" w:rsidRPr="00F91574" w:rsidRDefault="008E5011" w:rsidP="00442526">
            <w:pPr>
              <w:rPr>
                <w:rFonts w:ascii="Calibri" w:hAnsi="Calibri"/>
                <w:b/>
                <w:bCs/>
              </w:rPr>
            </w:pPr>
            <w:r w:rsidRPr="00F91574">
              <w:rPr>
                <w:rFonts w:ascii="Calibri" w:hAnsi="Calibri"/>
                <w:b/>
                <w:bCs/>
              </w:rPr>
              <w:t>Examination</w:t>
            </w:r>
          </w:p>
          <w:p w14:paraId="6450494E" w14:textId="14F0F46D" w:rsidR="008E5011" w:rsidRPr="00E11A51" w:rsidRDefault="00A503B5" w:rsidP="00E11A51">
            <w:r w:rsidRPr="00F91574">
              <w:rPr>
                <w:rFonts w:ascii="Calibri" w:hAnsi="Calibri"/>
              </w:rPr>
              <w:t xml:space="preserve">Typically conducted at the end of </w:t>
            </w:r>
            <w:r w:rsidR="00AD6E0C" w:rsidRPr="00F91574">
              <w:rPr>
                <w:rFonts w:ascii="Calibri" w:hAnsi="Calibri"/>
              </w:rPr>
              <w:t>each</w:t>
            </w:r>
            <w:r w:rsidRPr="00F91574">
              <w:rPr>
                <w:rFonts w:ascii="Calibri" w:hAnsi="Calibri"/>
              </w:rPr>
              <w:t xml:space="preserve"> semester and/or unit. In preparation for Unit 3 and Unit 4, the examination should reflect the examination design brief included in the </w:t>
            </w:r>
            <w:r w:rsidR="00C6186F" w:rsidRPr="00F91574">
              <w:rPr>
                <w:rFonts w:ascii="Calibri" w:hAnsi="Calibri"/>
              </w:rPr>
              <w:t xml:space="preserve">ATAR </w:t>
            </w:r>
            <w:r w:rsidRPr="00F91574">
              <w:rPr>
                <w:rFonts w:ascii="Calibri" w:hAnsi="Calibri"/>
              </w:rPr>
              <w:t>Year 12 syllabus for this course.</w:t>
            </w:r>
          </w:p>
        </w:tc>
        <w:tc>
          <w:tcPr>
            <w:tcW w:w="1368" w:type="dxa"/>
            <w:vAlign w:val="center"/>
          </w:tcPr>
          <w:p w14:paraId="77192F9E" w14:textId="77777777" w:rsidR="008E5011" w:rsidRPr="00F91574" w:rsidRDefault="002E156E" w:rsidP="0057539C">
            <w:pPr>
              <w:jc w:val="center"/>
              <w:rPr>
                <w:rFonts w:ascii="Calibri" w:hAnsi="Calibri"/>
              </w:rPr>
            </w:pPr>
            <w:r w:rsidRPr="00F91574">
              <w:rPr>
                <w:rFonts w:ascii="Calibri" w:hAnsi="Calibri"/>
              </w:rPr>
              <w:t>30%</w:t>
            </w:r>
          </w:p>
        </w:tc>
      </w:tr>
    </w:tbl>
    <w:p w14:paraId="1161CAF1" w14:textId="44EFE0B7" w:rsidR="00291C7B" w:rsidRPr="00F91574" w:rsidRDefault="00CE69DE" w:rsidP="00E11A51">
      <w:pPr>
        <w:rPr>
          <w:rFonts w:eastAsia="Times New Roman" w:cs="Calibri"/>
          <w:color w:val="000000" w:themeColor="text1"/>
        </w:rPr>
      </w:pPr>
      <w:bookmarkStart w:id="48" w:name="_Toc359503792"/>
      <w:r w:rsidRPr="00F91574">
        <w:rPr>
          <w:rFonts w:eastAsia="Times New Roman" w:cs="Calibri"/>
          <w:color w:val="000000" w:themeColor="text1"/>
        </w:rPr>
        <w:lastRenderedPageBreak/>
        <w:t xml:space="preserve">Teachers are required to use the assessment table to develop an assessment outline for the pair of units (or for a single </w:t>
      </w:r>
      <w:r w:rsidRPr="00E11A51">
        <w:t>unit</w:t>
      </w:r>
      <w:r w:rsidRPr="00F91574">
        <w:rPr>
          <w:rFonts w:eastAsia="Times New Roman" w:cs="Calibri"/>
          <w:color w:val="000000" w:themeColor="text1"/>
        </w:rPr>
        <w:t xml:space="preserve"> where only one is being studied).</w:t>
      </w:r>
    </w:p>
    <w:p w14:paraId="6FB33725" w14:textId="77777777" w:rsidR="00CE69DE" w:rsidRPr="00F91574" w:rsidRDefault="00CE69DE" w:rsidP="00E11A51">
      <w:pPr>
        <w:pStyle w:val="NoSpacing"/>
      </w:pPr>
      <w:r w:rsidRPr="00F91574">
        <w:t>The assessment outline must:</w:t>
      </w:r>
    </w:p>
    <w:p w14:paraId="49577E1A" w14:textId="77777777" w:rsidR="00CE69DE" w:rsidRPr="00F91574" w:rsidRDefault="00CE69DE" w:rsidP="001304CE">
      <w:pPr>
        <w:pStyle w:val="ListParagraph"/>
        <w:numPr>
          <w:ilvl w:val="0"/>
          <w:numId w:val="36"/>
        </w:numPr>
      </w:pPr>
      <w:r w:rsidRPr="00F91574">
        <w:t>include a set of assessment tasks</w:t>
      </w:r>
    </w:p>
    <w:p w14:paraId="3C8D886F" w14:textId="77777777" w:rsidR="00CE69DE" w:rsidRPr="00F91574" w:rsidRDefault="00CE69DE" w:rsidP="001304CE">
      <w:pPr>
        <w:pStyle w:val="ListParagraph"/>
        <w:numPr>
          <w:ilvl w:val="0"/>
          <w:numId w:val="36"/>
        </w:numPr>
      </w:pPr>
      <w:r w:rsidRPr="00F91574">
        <w:t>include a general description of each task</w:t>
      </w:r>
    </w:p>
    <w:p w14:paraId="1CB7CDC3" w14:textId="77777777" w:rsidR="00CE69DE" w:rsidRPr="00F91574" w:rsidRDefault="00CE69DE" w:rsidP="001304CE">
      <w:pPr>
        <w:pStyle w:val="ListParagraph"/>
        <w:numPr>
          <w:ilvl w:val="0"/>
          <w:numId w:val="36"/>
        </w:numPr>
      </w:pPr>
      <w:r w:rsidRPr="00F91574">
        <w:t>indicate the unit content to be assessed</w:t>
      </w:r>
    </w:p>
    <w:p w14:paraId="525D7799" w14:textId="77777777" w:rsidR="00CE69DE" w:rsidRPr="00F91574" w:rsidRDefault="00CE69DE" w:rsidP="001304CE">
      <w:pPr>
        <w:pStyle w:val="ListParagraph"/>
        <w:numPr>
          <w:ilvl w:val="0"/>
          <w:numId w:val="36"/>
        </w:numPr>
      </w:pPr>
      <w:r w:rsidRPr="00F91574">
        <w:t>indicate a weighting for each task and each assessment type</w:t>
      </w:r>
    </w:p>
    <w:p w14:paraId="66C2068A" w14:textId="77777777" w:rsidR="00CE69DE" w:rsidRPr="00F91574" w:rsidRDefault="00CE69DE" w:rsidP="001304CE">
      <w:pPr>
        <w:pStyle w:val="ListParagraph"/>
        <w:numPr>
          <w:ilvl w:val="0"/>
          <w:numId w:val="36"/>
        </w:numPr>
      </w:pPr>
      <w:r w:rsidRPr="00F91574">
        <w:t>include the approximate timing of each task (for example, the week the task is conducted, or the issue and submission dates for an extended task).</w:t>
      </w:r>
    </w:p>
    <w:p w14:paraId="3C81D3CB" w14:textId="7E5B8F03" w:rsidR="00CE69DE" w:rsidRPr="00F91574" w:rsidRDefault="00CE69DE" w:rsidP="00E11A51">
      <w:r w:rsidRPr="00F91574">
        <w:t>In the assessment outline for the pair of units, each assessment type must be included at least</w:t>
      </w:r>
      <w:r w:rsidR="00E614DA" w:rsidRPr="00F91574">
        <w:t xml:space="preserve"> once over the year/pair of units</w:t>
      </w:r>
      <w:r w:rsidRPr="00F91574">
        <w:t>. In the assessment outline where a single unit is being studied, each assessment type must be included at least once.</w:t>
      </w:r>
    </w:p>
    <w:p w14:paraId="5BA6EFA8" w14:textId="7D00327A" w:rsidR="00CE69DE" w:rsidRPr="00F91574" w:rsidRDefault="00CE69DE" w:rsidP="001C62C9">
      <w:pPr>
        <w:rPr>
          <w:rFonts w:cs="Times New Roman"/>
        </w:rPr>
      </w:pPr>
      <w:r w:rsidRPr="00F91574">
        <w:rPr>
          <w:rFonts w:cs="Times New Roman"/>
        </w:rPr>
        <w:t>The set of assessment tasks must provide a representative sampling of the content for Unit 1 and Unit 2.</w:t>
      </w:r>
    </w:p>
    <w:p w14:paraId="2E44E2DD" w14:textId="77777777" w:rsidR="001638D0" w:rsidRPr="00F91574" w:rsidRDefault="00CE69DE" w:rsidP="001C62C9">
      <w:r w:rsidRPr="00F91574">
        <w:t>Assessment tasks not administered under test/controlled conditions require appropriate validation/authentication processes.</w:t>
      </w:r>
      <w:r w:rsidR="00727A83" w:rsidRPr="00F91574">
        <w:t xml:space="preserve"> For example, student performance for an investigation could be validated by a task</w:t>
      </w:r>
      <w:r w:rsidR="00CA4758" w:rsidRPr="00F91574">
        <w:t>,</w:t>
      </w:r>
      <w:r w:rsidR="00727A83" w:rsidRPr="00F91574">
        <w:t xml:space="preserve"> such as an essay which is completed in class after the investigation is submitted.</w:t>
      </w:r>
    </w:p>
    <w:p w14:paraId="23C0022B" w14:textId="77777777" w:rsidR="008E5011" w:rsidRPr="00F91574" w:rsidRDefault="008E5011" w:rsidP="001C62C9">
      <w:pPr>
        <w:pStyle w:val="SCSAHeading2"/>
      </w:pPr>
      <w:bookmarkStart w:id="49" w:name="_Toc219985319"/>
      <w:r w:rsidRPr="00F91574">
        <w:t>Grading</w:t>
      </w:r>
      <w:bookmarkEnd w:id="48"/>
      <w:bookmarkEnd w:id="49"/>
    </w:p>
    <w:bookmarkEnd w:id="45"/>
    <w:p w14:paraId="181FE2D9" w14:textId="77777777" w:rsidR="001638D0" w:rsidRPr="00F91574" w:rsidRDefault="001638D0" w:rsidP="001C62C9">
      <w:r w:rsidRPr="00F91574">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8E5011" w:rsidRPr="00F91574" w14:paraId="679AC93A" w14:textId="77777777" w:rsidTr="0057539C">
        <w:trPr>
          <w:cnfStyle w:val="100000000000" w:firstRow="1" w:lastRow="0" w:firstColumn="0" w:lastColumn="0" w:oddVBand="0" w:evenVBand="0" w:oddHBand="0" w:evenHBand="0" w:firstRowFirstColumn="0" w:firstRowLastColumn="0" w:lastRowFirstColumn="0" w:lastRowLastColumn="0"/>
        </w:trPr>
        <w:tc>
          <w:tcPr>
            <w:tcW w:w="0" w:type="auto"/>
          </w:tcPr>
          <w:p w14:paraId="1A4E4D4A" w14:textId="77777777" w:rsidR="008E5011" w:rsidRPr="00F91574" w:rsidRDefault="008E5011" w:rsidP="001C62C9">
            <w:pPr>
              <w:jc w:val="center"/>
              <w:rPr>
                <w:rFonts w:ascii="Calibri" w:hAnsi="Calibri"/>
              </w:rPr>
            </w:pPr>
            <w:r w:rsidRPr="00F91574">
              <w:rPr>
                <w:rFonts w:ascii="Calibri" w:hAnsi="Calibri"/>
              </w:rPr>
              <w:t>Grade</w:t>
            </w:r>
          </w:p>
        </w:tc>
        <w:tc>
          <w:tcPr>
            <w:tcW w:w="0" w:type="auto"/>
          </w:tcPr>
          <w:p w14:paraId="48F7DB09" w14:textId="77777777" w:rsidR="008E5011" w:rsidRPr="00F91574" w:rsidRDefault="008E5011" w:rsidP="00442526">
            <w:pPr>
              <w:rPr>
                <w:rFonts w:ascii="Calibri" w:hAnsi="Calibri"/>
              </w:rPr>
            </w:pPr>
            <w:r w:rsidRPr="00F91574">
              <w:rPr>
                <w:rFonts w:ascii="Calibri" w:hAnsi="Calibri"/>
              </w:rPr>
              <w:t>Interpretation</w:t>
            </w:r>
          </w:p>
        </w:tc>
      </w:tr>
      <w:tr w:rsidR="008E5011" w:rsidRPr="00F91574" w14:paraId="4A3EA969" w14:textId="77777777" w:rsidTr="0057539C">
        <w:tc>
          <w:tcPr>
            <w:tcW w:w="0" w:type="auto"/>
          </w:tcPr>
          <w:p w14:paraId="3826918F" w14:textId="77777777" w:rsidR="008E5011" w:rsidRPr="00F91574" w:rsidRDefault="008E5011" w:rsidP="001C62C9">
            <w:pPr>
              <w:jc w:val="center"/>
              <w:rPr>
                <w:rFonts w:ascii="Calibri" w:hAnsi="Calibri"/>
                <w:b/>
              </w:rPr>
            </w:pPr>
            <w:r w:rsidRPr="00F91574">
              <w:rPr>
                <w:rFonts w:ascii="Calibri" w:hAnsi="Calibri"/>
                <w:b/>
              </w:rPr>
              <w:t>A</w:t>
            </w:r>
          </w:p>
        </w:tc>
        <w:tc>
          <w:tcPr>
            <w:tcW w:w="0" w:type="auto"/>
          </w:tcPr>
          <w:p w14:paraId="3AAAEC79" w14:textId="77777777" w:rsidR="008E5011" w:rsidRPr="00F91574" w:rsidRDefault="008E5011" w:rsidP="00442526">
            <w:pPr>
              <w:rPr>
                <w:rFonts w:ascii="Calibri" w:hAnsi="Calibri"/>
              </w:rPr>
            </w:pPr>
            <w:r w:rsidRPr="00F91574">
              <w:rPr>
                <w:rFonts w:ascii="Calibri" w:hAnsi="Calibri"/>
              </w:rPr>
              <w:t>Excellent achievement</w:t>
            </w:r>
          </w:p>
        </w:tc>
      </w:tr>
      <w:tr w:rsidR="008E5011" w:rsidRPr="00F91574" w14:paraId="5CE60BA7" w14:textId="77777777" w:rsidTr="0057539C">
        <w:tc>
          <w:tcPr>
            <w:tcW w:w="0" w:type="auto"/>
          </w:tcPr>
          <w:p w14:paraId="60F5F79C" w14:textId="77777777" w:rsidR="008E5011" w:rsidRPr="00F91574" w:rsidRDefault="008E5011" w:rsidP="001C62C9">
            <w:pPr>
              <w:jc w:val="center"/>
              <w:rPr>
                <w:rFonts w:ascii="Calibri" w:hAnsi="Calibri"/>
                <w:b/>
              </w:rPr>
            </w:pPr>
            <w:r w:rsidRPr="00F91574">
              <w:rPr>
                <w:rFonts w:ascii="Calibri" w:hAnsi="Calibri"/>
                <w:b/>
              </w:rPr>
              <w:t>B</w:t>
            </w:r>
          </w:p>
        </w:tc>
        <w:tc>
          <w:tcPr>
            <w:tcW w:w="0" w:type="auto"/>
          </w:tcPr>
          <w:p w14:paraId="57290D0A" w14:textId="77777777" w:rsidR="008E5011" w:rsidRPr="00F91574" w:rsidRDefault="008E5011" w:rsidP="00442526">
            <w:pPr>
              <w:rPr>
                <w:rFonts w:ascii="Calibri" w:hAnsi="Calibri"/>
              </w:rPr>
            </w:pPr>
            <w:r w:rsidRPr="00F91574">
              <w:rPr>
                <w:rFonts w:ascii="Calibri" w:hAnsi="Calibri"/>
              </w:rPr>
              <w:t>High achievement</w:t>
            </w:r>
          </w:p>
        </w:tc>
      </w:tr>
      <w:tr w:rsidR="008E5011" w:rsidRPr="00F91574" w14:paraId="1EB49D84" w14:textId="77777777" w:rsidTr="0057539C">
        <w:tc>
          <w:tcPr>
            <w:tcW w:w="0" w:type="auto"/>
          </w:tcPr>
          <w:p w14:paraId="0059E967" w14:textId="77777777" w:rsidR="008E5011" w:rsidRPr="00F91574" w:rsidRDefault="008E5011" w:rsidP="001C62C9">
            <w:pPr>
              <w:jc w:val="center"/>
              <w:rPr>
                <w:rFonts w:ascii="Calibri" w:hAnsi="Calibri"/>
                <w:b/>
              </w:rPr>
            </w:pPr>
            <w:r w:rsidRPr="00F91574">
              <w:rPr>
                <w:rFonts w:ascii="Calibri" w:hAnsi="Calibri"/>
                <w:b/>
              </w:rPr>
              <w:t>C</w:t>
            </w:r>
          </w:p>
        </w:tc>
        <w:tc>
          <w:tcPr>
            <w:tcW w:w="0" w:type="auto"/>
          </w:tcPr>
          <w:p w14:paraId="145BBED5" w14:textId="77777777" w:rsidR="008E5011" w:rsidRPr="00F91574" w:rsidRDefault="008E5011" w:rsidP="00442526">
            <w:pPr>
              <w:rPr>
                <w:rFonts w:ascii="Calibri" w:hAnsi="Calibri"/>
              </w:rPr>
            </w:pPr>
            <w:r w:rsidRPr="00F91574">
              <w:rPr>
                <w:rFonts w:ascii="Calibri" w:hAnsi="Calibri"/>
              </w:rPr>
              <w:t>Satisfactory achievement</w:t>
            </w:r>
          </w:p>
        </w:tc>
      </w:tr>
      <w:tr w:rsidR="008E5011" w:rsidRPr="00F91574" w14:paraId="0B086083" w14:textId="77777777" w:rsidTr="0057539C">
        <w:tc>
          <w:tcPr>
            <w:tcW w:w="0" w:type="auto"/>
          </w:tcPr>
          <w:p w14:paraId="120B9246" w14:textId="77777777" w:rsidR="008E5011" w:rsidRPr="00F91574" w:rsidRDefault="008E5011" w:rsidP="001C62C9">
            <w:pPr>
              <w:jc w:val="center"/>
              <w:rPr>
                <w:rFonts w:ascii="Calibri" w:hAnsi="Calibri"/>
                <w:b/>
              </w:rPr>
            </w:pPr>
            <w:r w:rsidRPr="00F91574">
              <w:rPr>
                <w:rFonts w:ascii="Calibri" w:hAnsi="Calibri"/>
                <w:b/>
              </w:rPr>
              <w:t>D</w:t>
            </w:r>
          </w:p>
        </w:tc>
        <w:tc>
          <w:tcPr>
            <w:tcW w:w="0" w:type="auto"/>
          </w:tcPr>
          <w:p w14:paraId="60F751C2" w14:textId="77777777" w:rsidR="008E5011" w:rsidRPr="00F91574" w:rsidRDefault="008E5011" w:rsidP="00442526">
            <w:pPr>
              <w:rPr>
                <w:rFonts w:ascii="Calibri" w:hAnsi="Calibri"/>
              </w:rPr>
            </w:pPr>
            <w:r w:rsidRPr="00F91574">
              <w:rPr>
                <w:rFonts w:ascii="Calibri" w:hAnsi="Calibri"/>
              </w:rPr>
              <w:t>Limited achievement</w:t>
            </w:r>
          </w:p>
        </w:tc>
      </w:tr>
      <w:tr w:rsidR="008E5011" w:rsidRPr="00F91574" w14:paraId="397F55A6" w14:textId="77777777" w:rsidTr="0057539C">
        <w:tc>
          <w:tcPr>
            <w:tcW w:w="0" w:type="auto"/>
          </w:tcPr>
          <w:p w14:paraId="5B6B3DAE" w14:textId="77777777" w:rsidR="008E5011" w:rsidRPr="00F91574" w:rsidRDefault="008E5011" w:rsidP="001C62C9">
            <w:pPr>
              <w:jc w:val="center"/>
              <w:rPr>
                <w:rFonts w:ascii="Calibri" w:hAnsi="Calibri"/>
                <w:b/>
              </w:rPr>
            </w:pPr>
            <w:r w:rsidRPr="00F91574">
              <w:rPr>
                <w:rFonts w:ascii="Calibri" w:hAnsi="Calibri"/>
                <w:b/>
              </w:rPr>
              <w:t>E</w:t>
            </w:r>
          </w:p>
        </w:tc>
        <w:tc>
          <w:tcPr>
            <w:tcW w:w="0" w:type="auto"/>
          </w:tcPr>
          <w:p w14:paraId="3C2A2FFA" w14:textId="77777777" w:rsidR="008E5011" w:rsidRPr="00F91574" w:rsidRDefault="008E5011" w:rsidP="00442526">
            <w:pPr>
              <w:rPr>
                <w:rFonts w:ascii="Calibri" w:hAnsi="Calibri"/>
              </w:rPr>
            </w:pPr>
            <w:r w:rsidRPr="00F91574">
              <w:rPr>
                <w:rFonts w:ascii="Calibri" w:hAnsi="Calibri"/>
              </w:rPr>
              <w:t>Very low achievement</w:t>
            </w:r>
          </w:p>
        </w:tc>
      </w:tr>
    </w:tbl>
    <w:p w14:paraId="65059440" w14:textId="260EE61A" w:rsidR="005C554A" w:rsidRPr="00F91574" w:rsidRDefault="00545638" w:rsidP="00A7492F">
      <w:pPr>
        <w:spacing w:before="120"/>
      </w:pPr>
      <w:r w:rsidRPr="00F91574">
        <w:t xml:space="preserve">The teacher </w:t>
      </w:r>
      <w:r w:rsidR="00D764CC" w:rsidRPr="00F91574">
        <w:t xml:space="preserve">prepares a ranked list and </w:t>
      </w:r>
      <w:r w:rsidRPr="00F91574">
        <w:t>assigns the student a grade for the pair of units (</w:t>
      </w:r>
      <w:r w:rsidR="00B76E07" w:rsidRPr="00F91574">
        <w:t>or for a unit</w:t>
      </w:r>
      <w:r w:rsidRPr="00F91574">
        <w:t xml:space="preserve"> where only one unit is being studied). The grade is based on the student’s overall performance as judged by reference to a set of pre-determined standards. These standards are defined by grade descriptions and annotated work samples. </w:t>
      </w:r>
      <w:r w:rsidR="005C554A" w:rsidRPr="00F91574">
        <w:rPr>
          <w:rFonts w:cs="Times New Roman"/>
        </w:rPr>
        <w:t xml:space="preserve">The grade descriptions for </w:t>
      </w:r>
      <w:r w:rsidR="005C5628" w:rsidRPr="00F91574">
        <w:rPr>
          <w:rFonts w:cs="Times New Roman"/>
        </w:rPr>
        <w:t xml:space="preserve">the </w:t>
      </w:r>
      <w:r w:rsidR="002E156E" w:rsidRPr="00F91574">
        <w:t xml:space="preserve">Politics and Law </w:t>
      </w:r>
      <w:r w:rsidR="00C6186F" w:rsidRPr="00F91574">
        <w:t xml:space="preserve">ATAR </w:t>
      </w:r>
      <w:r w:rsidR="00C6186F" w:rsidRPr="00F91574">
        <w:rPr>
          <w:rFonts w:cs="Times New Roman"/>
        </w:rPr>
        <w:t xml:space="preserve">Year 11 </w:t>
      </w:r>
      <w:r w:rsidR="005C5628" w:rsidRPr="00F91574">
        <w:t xml:space="preserve">syllabus </w:t>
      </w:r>
      <w:r w:rsidR="005C554A" w:rsidRPr="00F91574">
        <w:t>are</w:t>
      </w:r>
      <w:r w:rsidR="005C554A" w:rsidRPr="00F91574">
        <w:rPr>
          <w:rFonts w:cs="Times New Roman"/>
        </w:rPr>
        <w:t xml:space="preserve"> provided </w:t>
      </w:r>
      <w:r w:rsidR="00711F12" w:rsidRPr="00F91574">
        <w:rPr>
          <w:rFonts w:cs="Times New Roman"/>
        </w:rPr>
        <w:t>in Appendix</w:t>
      </w:r>
      <w:r w:rsidR="00AA1930" w:rsidRPr="00F91574">
        <w:rPr>
          <w:rFonts w:cs="Times New Roman"/>
        </w:rPr>
        <w:t xml:space="preserve"> 1</w:t>
      </w:r>
      <w:r w:rsidR="005C554A" w:rsidRPr="00F91574">
        <w:rPr>
          <w:rFonts w:cs="Times New Roman"/>
        </w:rPr>
        <w:t xml:space="preserve">. They can also be accessed, together with annotated work samples, through the Guide to Grades link on the course page of the Authority website at </w:t>
      </w:r>
      <w:hyperlink r:id="rId16" w:history="1">
        <w:r w:rsidR="005C554A" w:rsidRPr="00F91574">
          <w:rPr>
            <w:rStyle w:val="Hyperlink"/>
          </w:rPr>
          <w:t>www.scsa.wa.edu.au</w:t>
        </w:r>
      </w:hyperlink>
      <w:r w:rsidR="00D02E5D" w:rsidRPr="00F91574">
        <w:t>.</w:t>
      </w:r>
    </w:p>
    <w:p w14:paraId="22153803" w14:textId="77777777" w:rsidR="001638D0" w:rsidRPr="00F91574" w:rsidRDefault="001638D0" w:rsidP="00A7492F">
      <w:pPr>
        <w:spacing w:before="120"/>
      </w:pPr>
      <w:r w:rsidRPr="00F91574">
        <w:t>To be assigned a grade, a student must have had the opportunity to complete the education program</w:t>
      </w:r>
      <w:r w:rsidR="00C6186F" w:rsidRPr="00F91574">
        <w:t>,</w:t>
      </w:r>
      <w:r w:rsidRPr="00F91574">
        <w:t xml:space="preserve"> including the assessment program (unless the school accepts that there are exceptional and justifiable circumstances).</w:t>
      </w:r>
    </w:p>
    <w:p w14:paraId="23129FFC" w14:textId="77777777" w:rsidR="008E5011" w:rsidRPr="00F91574" w:rsidRDefault="001638D0" w:rsidP="00B91B74">
      <w:pPr>
        <w:spacing w:before="120"/>
      </w:pPr>
      <w:r w:rsidRPr="00F91574">
        <w:t xml:space="preserve">Refer to the </w:t>
      </w:r>
      <w:r w:rsidRPr="00F91574">
        <w:rPr>
          <w:i/>
          <w:iCs/>
        </w:rPr>
        <w:t>WACE</w:t>
      </w:r>
      <w:r w:rsidR="00D764CC" w:rsidRPr="00F91574">
        <w:rPr>
          <w:i/>
          <w:iCs/>
        </w:rPr>
        <w:t xml:space="preserve"> Manual</w:t>
      </w:r>
      <w:r w:rsidR="00D764CC" w:rsidRPr="00F91574">
        <w:t xml:space="preserve"> for further information about the use of a ranked list in the process of assigning grades.</w:t>
      </w:r>
      <w:r w:rsidR="008E5011" w:rsidRPr="00F91574">
        <w:br w:type="page"/>
      </w:r>
    </w:p>
    <w:p w14:paraId="1C9058AC" w14:textId="77777777" w:rsidR="008E5011" w:rsidRPr="00F91574" w:rsidRDefault="00711F12" w:rsidP="001C62C9">
      <w:pPr>
        <w:pStyle w:val="SCSAAppendixHeading1"/>
      </w:pPr>
      <w:bookmarkStart w:id="50" w:name="_Toc358372267"/>
      <w:bookmarkStart w:id="51" w:name="_Toc219985320"/>
      <w:r w:rsidRPr="00F91574">
        <w:lastRenderedPageBreak/>
        <w:t>Appendix</w:t>
      </w:r>
      <w:r w:rsidR="0096726C" w:rsidRPr="00F91574">
        <w:t xml:space="preserve"> </w:t>
      </w:r>
      <w:r w:rsidR="00AA1930" w:rsidRPr="00F91574">
        <w:t xml:space="preserve">1 </w:t>
      </w:r>
      <w:r w:rsidR="0096726C" w:rsidRPr="00F91574">
        <w:t xml:space="preserve">– </w:t>
      </w:r>
      <w:r w:rsidR="008E5011" w:rsidRPr="00F91574">
        <w:t>Grade descriptions</w:t>
      </w:r>
      <w:bookmarkEnd w:id="50"/>
      <w:r w:rsidR="008E5011" w:rsidRPr="00F91574">
        <w:t xml:space="preserve"> </w:t>
      </w:r>
      <w:r w:rsidR="00343EE1" w:rsidRPr="00F91574">
        <w:t>Year 11</w:t>
      </w:r>
      <w:bookmarkEnd w:id="51"/>
    </w:p>
    <w:tbl>
      <w:tblPr>
        <w:tblStyle w:val="SCSASyllabusGradeDescriptionsTable"/>
        <w:tblW w:w="4885" w:type="pct"/>
        <w:tblLook w:val="00A0" w:firstRow="1" w:lastRow="0" w:firstColumn="1" w:lastColumn="0" w:noHBand="0" w:noVBand="0"/>
      </w:tblPr>
      <w:tblGrid>
        <w:gridCol w:w="977"/>
        <w:gridCol w:w="7875"/>
      </w:tblGrid>
      <w:tr w:rsidR="00062F38" w:rsidRPr="00F91574" w14:paraId="723130A5" w14:textId="77777777" w:rsidTr="0057539C">
        <w:tc>
          <w:tcPr>
            <w:cnfStyle w:val="001000000000" w:firstRow="0" w:lastRow="0" w:firstColumn="1" w:lastColumn="0" w:oddVBand="0" w:evenVBand="0" w:oddHBand="0" w:evenHBand="0" w:firstRowFirstColumn="0" w:firstRowLastColumn="0" w:lastRowFirstColumn="0" w:lastRowLastColumn="0"/>
            <w:tcW w:w="993" w:type="dxa"/>
            <w:vMerge w:val="restart"/>
          </w:tcPr>
          <w:p w14:paraId="68A674F5" w14:textId="77777777" w:rsidR="00062F38" w:rsidRPr="00E11A51" w:rsidRDefault="00062F38" w:rsidP="00E11A51">
            <w:r w:rsidRPr="00E11A51">
              <w:t>A</w:t>
            </w:r>
          </w:p>
        </w:tc>
        <w:tc>
          <w:tcPr>
            <w:tcW w:w="8079" w:type="dxa"/>
          </w:tcPr>
          <w:p w14:paraId="54E1B6DD"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Presents a reasoned, balanced and coherent discussion or argument about democracy and the rule of law or representation and justice.</w:t>
            </w:r>
          </w:p>
        </w:tc>
      </w:tr>
      <w:tr w:rsidR="00062F38" w:rsidRPr="00F91574" w14:paraId="36529201" w14:textId="77777777" w:rsidTr="0057539C">
        <w:tc>
          <w:tcPr>
            <w:cnfStyle w:val="001000000000" w:firstRow="0" w:lastRow="0" w:firstColumn="1" w:lastColumn="0" w:oddVBand="0" w:evenVBand="0" w:oddHBand="0" w:evenHBand="0" w:firstRowFirstColumn="0" w:firstRowLastColumn="0" w:lastRowFirstColumn="0" w:lastRowLastColumn="0"/>
            <w:tcW w:w="993" w:type="dxa"/>
            <w:vMerge/>
          </w:tcPr>
          <w:p w14:paraId="64242D83" w14:textId="77777777" w:rsidR="00062F38" w:rsidRPr="00E11A51" w:rsidRDefault="00062F38" w:rsidP="00E11A51"/>
        </w:tc>
        <w:tc>
          <w:tcPr>
            <w:tcW w:w="8079" w:type="dxa"/>
          </w:tcPr>
          <w:p w14:paraId="5AF2F94B"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Provides detailed descriptions and explanations of democracy and the rule of law or representation and justice.</w:t>
            </w:r>
          </w:p>
        </w:tc>
      </w:tr>
      <w:tr w:rsidR="00062F38" w:rsidRPr="00F91574" w14:paraId="65E9E80C" w14:textId="77777777" w:rsidTr="0057539C">
        <w:tc>
          <w:tcPr>
            <w:cnfStyle w:val="001000000000" w:firstRow="0" w:lastRow="0" w:firstColumn="1" w:lastColumn="0" w:oddVBand="0" w:evenVBand="0" w:oddHBand="0" w:evenHBand="0" w:firstRowFirstColumn="0" w:firstRowLastColumn="0" w:lastRowFirstColumn="0" w:lastRowLastColumn="0"/>
            <w:tcW w:w="993" w:type="dxa"/>
            <w:vMerge/>
          </w:tcPr>
          <w:p w14:paraId="18B80F73" w14:textId="77777777" w:rsidR="00062F38" w:rsidRPr="00E11A51" w:rsidRDefault="00062F38" w:rsidP="00E11A51"/>
        </w:tc>
        <w:tc>
          <w:tcPr>
            <w:tcW w:w="8079" w:type="dxa"/>
          </w:tcPr>
          <w:p w14:paraId="68357582"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Utilises relevant examples to support explanations.</w:t>
            </w:r>
          </w:p>
        </w:tc>
      </w:tr>
      <w:tr w:rsidR="00062F38" w:rsidRPr="00F91574" w14:paraId="5689E298" w14:textId="77777777" w:rsidTr="0057539C">
        <w:tc>
          <w:tcPr>
            <w:cnfStyle w:val="001000000000" w:firstRow="0" w:lastRow="0" w:firstColumn="1" w:lastColumn="0" w:oddVBand="0" w:evenVBand="0" w:oddHBand="0" w:evenHBand="0" w:firstRowFirstColumn="0" w:firstRowLastColumn="0" w:lastRowFirstColumn="0" w:lastRowLastColumn="0"/>
            <w:tcW w:w="993" w:type="dxa"/>
            <w:vMerge/>
          </w:tcPr>
          <w:p w14:paraId="5977FCCF" w14:textId="77777777" w:rsidR="00062F38" w:rsidRPr="00E11A51" w:rsidRDefault="00062F38" w:rsidP="00E11A51"/>
        </w:tc>
        <w:tc>
          <w:tcPr>
            <w:tcW w:w="8079" w:type="dxa"/>
          </w:tcPr>
          <w:p w14:paraId="6B2A72FA"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Communicates using consistently relevant political and legal terminology.</w:t>
            </w:r>
          </w:p>
        </w:tc>
      </w:tr>
    </w:tbl>
    <w:p w14:paraId="02C6D224" w14:textId="77777777" w:rsidR="008E5011" w:rsidRPr="00F91574" w:rsidRDefault="008E5011" w:rsidP="00CF5E37">
      <w:pPr>
        <w:spacing w:after="0"/>
      </w:pPr>
    </w:p>
    <w:tbl>
      <w:tblPr>
        <w:tblStyle w:val="SCSASyllabusGradeDescriptionsTable"/>
        <w:tblW w:w="4885" w:type="pct"/>
        <w:tblLook w:val="00A0" w:firstRow="1" w:lastRow="0" w:firstColumn="1" w:lastColumn="0" w:noHBand="0" w:noVBand="0"/>
      </w:tblPr>
      <w:tblGrid>
        <w:gridCol w:w="976"/>
        <w:gridCol w:w="7876"/>
      </w:tblGrid>
      <w:tr w:rsidR="00062F38" w:rsidRPr="00F91574" w14:paraId="7F603058" w14:textId="77777777" w:rsidTr="0057539C">
        <w:tc>
          <w:tcPr>
            <w:cnfStyle w:val="001000000000" w:firstRow="0" w:lastRow="0" w:firstColumn="1" w:lastColumn="0" w:oddVBand="0" w:evenVBand="0" w:oddHBand="0" w:evenHBand="0" w:firstRowFirstColumn="0" w:firstRowLastColumn="0" w:lastRowFirstColumn="0" w:lastRowLastColumn="0"/>
            <w:tcW w:w="993" w:type="dxa"/>
            <w:vMerge w:val="restart"/>
          </w:tcPr>
          <w:p w14:paraId="2078584A" w14:textId="77777777" w:rsidR="00062F38" w:rsidRPr="00E11A51" w:rsidRDefault="00062F38" w:rsidP="00E11A51">
            <w:r w:rsidRPr="00E11A51">
              <w:t>B</w:t>
            </w:r>
          </w:p>
        </w:tc>
        <w:tc>
          <w:tcPr>
            <w:tcW w:w="8079" w:type="dxa"/>
          </w:tcPr>
          <w:p w14:paraId="43DFE4FA"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Presents a discussion or an argument with some reason, balance and coherence, about democracy and the rule of law or representation and justice.</w:t>
            </w:r>
          </w:p>
        </w:tc>
      </w:tr>
      <w:tr w:rsidR="00062F38" w:rsidRPr="00F91574" w14:paraId="15839A47" w14:textId="77777777" w:rsidTr="0057539C">
        <w:tc>
          <w:tcPr>
            <w:cnfStyle w:val="001000000000" w:firstRow="0" w:lastRow="0" w:firstColumn="1" w:lastColumn="0" w:oddVBand="0" w:evenVBand="0" w:oddHBand="0" w:evenHBand="0" w:firstRowFirstColumn="0" w:firstRowLastColumn="0" w:lastRowFirstColumn="0" w:lastRowLastColumn="0"/>
            <w:tcW w:w="993" w:type="dxa"/>
            <w:vMerge/>
          </w:tcPr>
          <w:p w14:paraId="282BA4E5" w14:textId="77777777" w:rsidR="00062F38" w:rsidRPr="00E11A51" w:rsidRDefault="00062F38" w:rsidP="00E11A51"/>
        </w:tc>
        <w:tc>
          <w:tcPr>
            <w:tcW w:w="8079" w:type="dxa"/>
          </w:tcPr>
          <w:p w14:paraId="2D61A1A9"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Provides general descriptions and explanations of democracy and the rule of law or representation and justice.</w:t>
            </w:r>
          </w:p>
        </w:tc>
      </w:tr>
      <w:tr w:rsidR="00062F38" w:rsidRPr="00F91574" w14:paraId="7FB3B394" w14:textId="77777777" w:rsidTr="0057539C">
        <w:tc>
          <w:tcPr>
            <w:cnfStyle w:val="001000000000" w:firstRow="0" w:lastRow="0" w:firstColumn="1" w:lastColumn="0" w:oddVBand="0" w:evenVBand="0" w:oddHBand="0" w:evenHBand="0" w:firstRowFirstColumn="0" w:firstRowLastColumn="0" w:lastRowFirstColumn="0" w:lastRowLastColumn="0"/>
            <w:tcW w:w="993" w:type="dxa"/>
            <w:vMerge/>
          </w:tcPr>
          <w:p w14:paraId="74C24D03" w14:textId="77777777" w:rsidR="00062F38" w:rsidRPr="00E11A51" w:rsidRDefault="00062F38" w:rsidP="00E11A51"/>
        </w:tc>
        <w:tc>
          <w:tcPr>
            <w:tcW w:w="8079" w:type="dxa"/>
          </w:tcPr>
          <w:p w14:paraId="5D116745"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Utilises mostly relevant examples to support explanations.</w:t>
            </w:r>
          </w:p>
        </w:tc>
      </w:tr>
      <w:tr w:rsidR="00062F38" w:rsidRPr="00F91574" w14:paraId="18ED46F3" w14:textId="77777777" w:rsidTr="0057539C">
        <w:tc>
          <w:tcPr>
            <w:cnfStyle w:val="001000000000" w:firstRow="0" w:lastRow="0" w:firstColumn="1" w:lastColumn="0" w:oddVBand="0" w:evenVBand="0" w:oddHBand="0" w:evenHBand="0" w:firstRowFirstColumn="0" w:firstRowLastColumn="0" w:lastRowFirstColumn="0" w:lastRowLastColumn="0"/>
            <w:tcW w:w="993" w:type="dxa"/>
            <w:vMerge/>
          </w:tcPr>
          <w:p w14:paraId="2BFD3C16" w14:textId="77777777" w:rsidR="00062F38" w:rsidRPr="00E11A51" w:rsidRDefault="00062F38" w:rsidP="00E11A51"/>
        </w:tc>
        <w:tc>
          <w:tcPr>
            <w:tcW w:w="8079" w:type="dxa"/>
          </w:tcPr>
          <w:p w14:paraId="2CF6F3A2"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Communicates predominantly using relevant political and legal terminology.</w:t>
            </w:r>
          </w:p>
        </w:tc>
      </w:tr>
    </w:tbl>
    <w:p w14:paraId="61C79B7C" w14:textId="77777777" w:rsidR="008E5011" w:rsidRPr="00F91574" w:rsidRDefault="008E5011" w:rsidP="00CF5E37">
      <w:pPr>
        <w:spacing w:after="0"/>
      </w:pPr>
    </w:p>
    <w:tbl>
      <w:tblPr>
        <w:tblStyle w:val="SCSASyllabusGradeDescriptionsTable"/>
        <w:tblW w:w="4885" w:type="pct"/>
        <w:tblLook w:val="00A0" w:firstRow="1" w:lastRow="0" w:firstColumn="1" w:lastColumn="0" w:noHBand="0" w:noVBand="0"/>
      </w:tblPr>
      <w:tblGrid>
        <w:gridCol w:w="976"/>
        <w:gridCol w:w="7876"/>
      </w:tblGrid>
      <w:tr w:rsidR="00062F38" w:rsidRPr="00F91574" w14:paraId="14EE88F4" w14:textId="77777777" w:rsidTr="0057539C">
        <w:tc>
          <w:tcPr>
            <w:cnfStyle w:val="001000000000" w:firstRow="0" w:lastRow="0" w:firstColumn="1" w:lastColumn="0" w:oddVBand="0" w:evenVBand="0" w:oddHBand="0" w:evenHBand="0" w:firstRowFirstColumn="0" w:firstRowLastColumn="0" w:lastRowFirstColumn="0" w:lastRowLastColumn="0"/>
            <w:tcW w:w="993" w:type="dxa"/>
            <w:vMerge w:val="restart"/>
          </w:tcPr>
          <w:p w14:paraId="41A4E1A0" w14:textId="77777777" w:rsidR="00062F38" w:rsidRPr="00E11A51" w:rsidRDefault="00062F38" w:rsidP="00E11A51">
            <w:r w:rsidRPr="00E11A51">
              <w:t>C</w:t>
            </w:r>
          </w:p>
        </w:tc>
        <w:tc>
          <w:tcPr>
            <w:tcW w:w="8079" w:type="dxa"/>
          </w:tcPr>
          <w:p w14:paraId="6D70A172"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Presents a general discussion about democracy and the rule of law or representation and justice.</w:t>
            </w:r>
          </w:p>
        </w:tc>
      </w:tr>
      <w:tr w:rsidR="00062F38" w:rsidRPr="00F91574" w14:paraId="14B3F250" w14:textId="77777777" w:rsidTr="0057539C">
        <w:tc>
          <w:tcPr>
            <w:cnfStyle w:val="001000000000" w:firstRow="0" w:lastRow="0" w:firstColumn="1" w:lastColumn="0" w:oddVBand="0" w:evenVBand="0" w:oddHBand="0" w:evenHBand="0" w:firstRowFirstColumn="0" w:firstRowLastColumn="0" w:lastRowFirstColumn="0" w:lastRowLastColumn="0"/>
            <w:tcW w:w="993" w:type="dxa"/>
            <w:vMerge/>
          </w:tcPr>
          <w:p w14:paraId="1E08B9E8" w14:textId="77777777" w:rsidR="00062F38" w:rsidRPr="00E11A51" w:rsidRDefault="00062F38" w:rsidP="00E11A51"/>
        </w:tc>
        <w:tc>
          <w:tcPr>
            <w:tcW w:w="8079" w:type="dxa"/>
          </w:tcPr>
          <w:p w14:paraId="4FD0B4C6"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Provides some descriptions and explanations of democracy and the rule of law or representation and justice.</w:t>
            </w:r>
          </w:p>
        </w:tc>
      </w:tr>
      <w:tr w:rsidR="00062F38" w:rsidRPr="00F91574" w14:paraId="2DAD6B91" w14:textId="77777777" w:rsidTr="0057539C">
        <w:tc>
          <w:tcPr>
            <w:cnfStyle w:val="001000000000" w:firstRow="0" w:lastRow="0" w:firstColumn="1" w:lastColumn="0" w:oddVBand="0" w:evenVBand="0" w:oddHBand="0" w:evenHBand="0" w:firstRowFirstColumn="0" w:firstRowLastColumn="0" w:lastRowFirstColumn="0" w:lastRowLastColumn="0"/>
            <w:tcW w:w="993" w:type="dxa"/>
            <w:vMerge/>
          </w:tcPr>
          <w:p w14:paraId="5663AD7E" w14:textId="77777777" w:rsidR="00062F38" w:rsidRPr="00E11A51" w:rsidRDefault="00062F38" w:rsidP="00E11A51"/>
        </w:tc>
        <w:tc>
          <w:tcPr>
            <w:tcW w:w="8079" w:type="dxa"/>
          </w:tcPr>
          <w:p w14:paraId="4903B116"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 xml:space="preserve">Utilises </w:t>
            </w:r>
            <w:r w:rsidR="00BE55D5" w:rsidRPr="00E11A51">
              <w:t>some</w:t>
            </w:r>
            <w:r w:rsidRPr="00E11A51">
              <w:t>, mostly relevant, examples to generally support explanations.</w:t>
            </w:r>
          </w:p>
        </w:tc>
      </w:tr>
      <w:tr w:rsidR="00062F38" w:rsidRPr="00F91574" w14:paraId="1DEB7E18" w14:textId="77777777" w:rsidTr="0057539C">
        <w:tc>
          <w:tcPr>
            <w:cnfStyle w:val="001000000000" w:firstRow="0" w:lastRow="0" w:firstColumn="1" w:lastColumn="0" w:oddVBand="0" w:evenVBand="0" w:oddHBand="0" w:evenHBand="0" w:firstRowFirstColumn="0" w:firstRowLastColumn="0" w:lastRowFirstColumn="0" w:lastRowLastColumn="0"/>
            <w:tcW w:w="993" w:type="dxa"/>
            <w:vMerge/>
          </w:tcPr>
          <w:p w14:paraId="71045398" w14:textId="77777777" w:rsidR="00062F38" w:rsidRPr="00E11A51" w:rsidRDefault="00062F38" w:rsidP="00E11A51"/>
        </w:tc>
        <w:tc>
          <w:tcPr>
            <w:tcW w:w="8079" w:type="dxa"/>
          </w:tcPr>
          <w:p w14:paraId="4E07D7B8"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Communicates using some political and legal terminology.</w:t>
            </w:r>
          </w:p>
        </w:tc>
      </w:tr>
    </w:tbl>
    <w:p w14:paraId="6E5126CC" w14:textId="77777777" w:rsidR="008E5011" w:rsidRPr="00F91574" w:rsidRDefault="008E5011" w:rsidP="00CF5E37">
      <w:pPr>
        <w:spacing w:after="0"/>
      </w:pPr>
    </w:p>
    <w:tbl>
      <w:tblPr>
        <w:tblStyle w:val="SCSASyllabusGradeDescriptionsTable"/>
        <w:tblW w:w="4885" w:type="pct"/>
        <w:tblLook w:val="00A0" w:firstRow="1" w:lastRow="0" w:firstColumn="1" w:lastColumn="0" w:noHBand="0" w:noVBand="0"/>
      </w:tblPr>
      <w:tblGrid>
        <w:gridCol w:w="977"/>
        <w:gridCol w:w="7875"/>
      </w:tblGrid>
      <w:tr w:rsidR="00062F38" w:rsidRPr="00F91574" w14:paraId="362CAE36" w14:textId="77777777" w:rsidTr="0057539C">
        <w:tc>
          <w:tcPr>
            <w:cnfStyle w:val="001000000000" w:firstRow="0" w:lastRow="0" w:firstColumn="1" w:lastColumn="0" w:oddVBand="0" w:evenVBand="0" w:oddHBand="0" w:evenHBand="0" w:firstRowFirstColumn="0" w:firstRowLastColumn="0" w:lastRowFirstColumn="0" w:lastRowLastColumn="0"/>
            <w:tcW w:w="993" w:type="dxa"/>
            <w:vMerge w:val="restart"/>
          </w:tcPr>
          <w:p w14:paraId="3A4A5646" w14:textId="77777777" w:rsidR="00062F38" w:rsidRPr="00E11A51" w:rsidRDefault="00062F38" w:rsidP="00E11A51">
            <w:r w:rsidRPr="00E11A51">
              <w:t>D</w:t>
            </w:r>
          </w:p>
        </w:tc>
        <w:tc>
          <w:tcPr>
            <w:tcW w:w="8079" w:type="dxa"/>
          </w:tcPr>
          <w:p w14:paraId="50DC8023"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Makes limited statements about democracy and the rule of law or representation and justice.</w:t>
            </w:r>
          </w:p>
        </w:tc>
      </w:tr>
      <w:tr w:rsidR="00062F38" w:rsidRPr="00F91574" w14:paraId="5A6BB11F" w14:textId="77777777" w:rsidTr="0057539C">
        <w:tc>
          <w:tcPr>
            <w:cnfStyle w:val="001000000000" w:firstRow="0" w:lastRow="0" w:firstColumn="1" w:lastColumn="0" w:oddVBand="0" w:evenVBand="0" w:oddHBand="0" w:evenHBand="0" w:firstRowFirstColumn="0" w:firstRowLastColumn="0" w:lastRowFirstColumn="0" w:lastRowLastColumn="0"/>
            <w:tcW w:w="993" w:type="dxa"/>
            <w:vMerge/>
          </w:tcPr>
          <w:p w14:paraId="6B240BE1" w14:textId="77777777" w:rsidR="00062F38" w:rsidRPr="00E11A51" w:rsidRDefault="00062F38" w:rsidP="00E11A51"/>
        </w:tc>
        <w:tc>
          <w:tcPr>
            <w:tcW w:w="8079" w:type="dxa"/>
          </w:tcPr>
          <w:p w14:paraId="60E8B4C4"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Provides limited descriptions and explanations of democracy and the rule of law or representation and justice.</w:t>
            </w:r>
          </w:p>
        </w:tc>
      </w:tr>
      <w:tr w:rsidR="00062F38" w:rsidRPr="00F91574" w14:paraId="14ECDB3C" w14:textId="77777777" w:rsidTr="0057539C">
        <w:tc>
          <w:tcPr>
            <w:cnfStyle w:val="001000000000" w:firstRow="0" w:lastRow="0" w:firstColumn="1" w:lastColumn="0" w:oddVBand="0" w:evenVBand="0" w:oddHBand="0" w:evenHBand="0" w:firstRowFirstColumn="0" w:firstRowLastColumn="0" w:lastRowFirstColumn="0" w:lastRowLastColumn="0"/>
            <w:tcW w:w="993" w:type="dxa"/>
            <w:vMerge/>
          </w:tcPr>
          <w:p w14:paraId="7076DE02" w14:textId="77777777" w:rsidR="00062F38" w:rsidRPr="00E11A51" w:rsidRDefault="00062F38" w:rsidP="00E11A51"/>
        </w:tc>
        <w:tc>
          <w:tcPr>
            <w:tcW w:w="8079" w:type="dxa"/>
          </w:tcPr>
          <w:p w14:paraId="1B2FD436"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Utilises limited examples to support explanations.</w:t>
            </w:r>
          </w:p>
        </w:tc>
      </w:tr>
      <w:tr w:rsidR="00062F38" w:rsidRPr="00F91574" w14:paraId="27AAC7EB" w14:textId="77777777" w:rsidTr="0057539C">
        <w:tc>
          <w:tcPr>
            <w:cnfStyle w:val="001000000000" w:firstRow="0" w:lastRow="0" w:firstColumn="1" w:lastColumn="0" w:oddVBand="0" w:evenVBand="0" w:oddHBand="0" w:evenHBand="0" w:firstRowFirstColumn="0" w:firstRowLastColumn="0" w:lastRowFirstColumn="0" w:lastRowLastColumn="0"/>
            <w:tcW w:w="993" w:type="dxa"/>
            <w:vMerge/>
          </w:tcPr>
          <w:p w14:paraId="5DA34870" w14:textId="77777777" w:rsidR="00062F38" w:rsidRPr="00E11A51" w:rsidRDefault="00062F38" w:rsidP="00E11A51"/>
        </w:tc>
        <w:tc>
          <w:tcPr>
            <w:tcW w:w="8079" w:type="dxa"/>
          </w:tcPr>
          <w:p w14:paraId="5C1EE101"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Communicates using little relevant political and legal terminology.</w:t>
            </w:r>
          </w:p>
        </w:tc>
      </w:tr>
    </w:tbl>
    <w:p w14:paraId="5DC45311" w14:textId="77777777" w:rsidR="008E5011" w:rsidRPr="00F91574" w:rsidRDefault="008E5011" w:rsidP="00CF5E37">
      <w:pPr>
        <w:spacing w:after="0"/>
      </w:pPr>
    </w:p>
    <w:tbl>
      <w:tblPr>
        <w:tblStyle w:val="SCSASyllabusGradeDescriptionsTable"/>
        <w:tblW w:w="4885" w:type="pct"/>
        <w:tblLook w:val="00A0" w:firstRow="1" w:lastRow="0" w:firstColumn="1" w:lastColumn="0" w:noHBand="0" w:noVBand="0"/>
      </w:tblPr>
      <w:tblGrid>
        <w:gridCol w:w="976"/>
        <w:gridCol w:w="7876"/>
      </w:tblGrid>
      <w:tr w:rsidR="00062F38" w:rsidRPr="00F91574" w14:paraId="0930FFEC" w14:textId="77777777" w:rsidTr="0057539C">
        <w:trPr>
          <w:trHeight w:val="567"/>
        </w:trPr>
        <w:tc>
          <w:tcPr>
            <w:cnfStyle w:val="001000000000" w:firstRow="0" w:lastRow="0" w:firstColumn="1" w:lastColumn="0" w:oddVBand="0" w:evenVBand="0" w:oddHBand="0" w:evenHBand="0" w:firstRowFirstColumn="0" w:firstRowLastColumn="0" w:lastRowFirstColumn="0" w:lastRowLastColumn="0"/>
            <w:tcW w:w="993" w:type="dxa"/>
          </w:tcPr>
          <w:bookmarkEnd w:id="36"/>
          <w:bookmarkEnd w:id="42"/>
          <w:p w14:paraId="4FB3A511" w14:textId="77777777" w:rsidR="00062F38" w:rsidRPr="00E11A51" w:rsidRDefault="00062F38" w:rsidP="00E11A51">
            <w:r w:rsidRPr="00E11A51">
              <w:t>E</w:t>
            </w:r>
          </w:p>
        </w:tc>
        <w:tc>
          <w:tcPr>
            <w:tcW w:w="8079" w:type="dxa"/>
          </w:tcPr>
          <w:p w14:paraId="39D05A9D" w14:textId="77777777" w:rsidR="00062F38" w:rsidRPr="00E11A51" w:rsidRDefault="00062F38" w:rsidP="00E11A51">
            <w:pPr>
              <w:cnfStyle w:val="000000000000" w:firstRow="0" w:lastRow="0" w:firstColumn="0" w:lastColumn="0" w:oddVBand="0" w:evenVBand="0" w:oddHBand="0" w:evenHBand="0" w:firstRowFirstColumn="0" w:firstRowLastColumn="0" w:lastRowFirstColumn="0" w:lastRowLastColumn="0"/>
            </w:pPr>
            <w:r w:rsidRPr="00E11A51">
              <w:t>Does not meet the requirements of a D grade and/or has completed insufficient assessment tasks to be assigned a higher grade.</w:t>
            </w:r>
          </w:p>
        </w:tc>
      </w:tr>
    </w:tbl>
    <w:p w14:paraId="48F9D576" w14:textId="77777777" w:rsidR="00DB47F1" w:rsidRPr="00E11A51" w:rsidRDefault="00DB47F1" w:rsidP="00E11A51"/>
    <w:p w14:paraId="1A9F280A" w14:textId="77777777" w:rsidR="00E11A51" w:rsidRPr="00E11A51" w:rsidRDefault="00E11A51" w:rsidP="00E11A51">
      <w:pPr>
        <w:sectPr w:rsidR="00E11A51" w:rsidRPr="00E11A51" w:rsidSect="00E11A51">
          <w:headerReference w:type="even" r:id="rId17"/>
          <w:headerReference w:type="default" r:id="rId18"/>
          <w:footerReference w:type="even" r:id="rId19"/>
          <w:footerReference w:type="default" r:id="rId20"/>
          <w:headerReference w:type="first" r:id="rId21"/>
          <w:type w:val="oddPage"/>
          <w:pgSz w:w="11906" w:h="16838" w:code="9"/>
          <w:pgMar w:top="1644" w:right="1418" w:bottom="1276" w:left="1418" w:header="680" w:footer="567" w:gutter="0"/>
          <w:pgNumType w:start="1"/>
          <w:cols w:space="709"/>
          <w:docGrid w:linePitch="360"/>
        </w:sectPr>
      </w:pPr>
    </w:p>
    <w:p w14:paraId="37D6ADC4" w14:textId="05126720" w:rsidR="00062F38" w:rsidRPr="00C70C91" w:rsidRDefault="00DB47F1" w:rsidP="00245954">
      <w:pPr>
        <w:spacing w:after="0"/>
      </w:pPr>
      <w:r w:rsidRPr="00F91574">
        <w:rPr>
          <w:noProof/>
          <w:lang w:eastAsia="en-AU" w:bidi="hi-IN"/>
        </w:rPr>
        <w:lastRenderedPageBreak/>
        <w:drawing>
          <wp:anchor distT="0" distB="0" distL="114300" distR="114300" simplePos="0" relativeHeight="251703296" behindDoc="1" locked="0" layoutInCell="1" allowOverlap="1" wp14:anchorId="1ED73046" wp14:editId="7971F0F9">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062F38" w:rsidRPr="00C70C91" w:rsidSect="00E11A51">
      <w:headerReference w:type="even" r:id="rId23"/>
      <w:headerReference w:type="default" r:id="rId24"/>
      <w:footerReference w:type="even" r:id="rId25"/>
      <w:footerReference w:type="default" r:id="rId26"/>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DC232" w14:textId="77777777" w:rsidR="00C7580B" w:rsidRPr="00F91574" w:rsidRDefault="00C7580B" w:rsidP="00742128">
      <w:pPr>
        <w:spacing w:after="0" w:line="240" w:lineRule="auto"/>
      </w:pPr>
      <w:r w:rsidRPr="00F91574">
        <w:separator/>
      </w:r>
    </w:p>
  </w:endnote>
  <w:endnote w:type="continuationSeparator" w:id="0">
    <w:p w14:paraId="543ECAC6" w14:textId="77777777" w:rsidR="00C7580B" w:rsidRPr="00F91574" w:rsidRDefault="00C7580B" w:rsidP="00742128">
      <w:pPr>
        <w:spacing w:after="0" w:line="240" w:lineRule="auto"/>
      </w:pPr>
      <w:r w:rsidRPr="00F915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AFDF" w14:textId="0D9318B8" w:rsidR="0051160D" w:rsidRPr="00E11A51" w:rsidRDefault="004B58BB" w:rsidP="00E11A51">
    <w:pPr>
      <w:pStyle w:val="SCSAFootereven"/>
    </w:pPr>
    <w:r w:rsidRPr="00F91574">
      <w:t>2013/32366</w:t>
    </w:r>
    <w:r w:rsidR="00E61184" w:rsidRPr="00F91574">
      <w:t>[</w:t>
    </w:r>
    <w:r w:rsidRPr="00F91574">
      <w:t>v</w:t>
    </w:r>
    <w:r w:rsidR="001C62C9" w:rsidRPr="00F91574">
      <w:t>6</w:t>
    </w:r>
    <w:r w:rsidR="00E61184" w:rsidRPr="00F91574">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439D" w14:textId="0695A5BF" w:rsidR="00E11A51" w:rsidRPr="00E11A51" w:rsidRDefault="00E11A51" w:rsidP="00E11A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9B38" w14:textId="77777777" w:rsidR="0051160D" w:rsidRPr="00E11A51" w:rsidRDefault="0051160D" w:rsidP="00E11A5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5A4F" w14:textId="77777777" w:rsidR="0051160D" w:rsidRPr="00E11A51" w:rsidRDefault="0051160D" w:rsidP="00E11A51">
    <w:pPr>
      <w:pStyle w:val="SCSAFootereven"/>
    </w:pPr>
    <w:r w:rsidRPr="00F91574">
      <w:t>Politics and Law | ATAR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5907" w14:textId="77777777" w:rsidR="0051160D" w:rsidRPr="00E11A51" w:rsidRDefault="0051160D" w:rsidP="00E11A51">
    <w:pPr>
      <w:pStyle w:val="SCSAFooterodd"/>
    </w:pPr>
    <w:r w:rsidRPr="00E11A51">
      <w:t>Politics and Law | ATAR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5DBC" w14:textId="49257F77" w:rsidR="00E11A51" w:rsidRPr="00E11A51" w:rsidRDefault="00E11A51" w:rsidP="00E11A5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0AF7" w14:textId="71117141" w:rsidR="00E11A51" w:rsidRPr="00E11A51" w:rsidRDefault="00E11A51" w:rsidP="00E11A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90D3" w14:textId="77777777" w:rsidR="00C7580B" w:rsidRPr="00F91574" w:rsidRDefault="00C7580B" w:rsidP="00742128">
      <w:pPr>
        <w:spacing w:after="0" w:line="240" w:lineRule="auto"/>
      </w:pPr>
      <w:r w:rsidRPr="00F91574">
        <w:separator/>
      </w:r>
    </w:p>
  </w:footnote>
  <w:footnote w:type="continuationSeparator" w:id="0">
    <w:p w14:paraId="588D61DC" w14:textId="77777777" w:rsidR="00C7580B" w:rsidRPr="00F91574" w:rsidRDefault="00C7580B" w:rsidP="00742128">
      <w:pPr>
        <w:spacing w:after="0" w:line="240" w:lineRule="auto"/>
      </w:pPr>
      <w:r w:rsidRPr="00F915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522D" w14:textId="74B957E8" w:rsidR="0051160D" w:rsidRPr="00E11A51" w:rsidRDefault="0051160D" w:rsidP="00E11A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CFEB" w14:textId="77777777" w:rsidR="0051160D" w:rsidRPr="00E11A51" w:rsidRDefault="0051160D" w:rsidP="00E11A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83A4" w14:textId="77777777" w:rsidR="0051160D" w:rsidRPr="00F91574" w:rsidRDefault="005116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51A5" w14:textId="1FD22FD5" w:rsidR="0051160D" w:rsidRPr="00E11A51" w:rsidRDefault="0051160D" w:rsidP="00E11A51">
    <w:pPr>
      <w:pStyle w:val="SCSAHeadereven"/>
    </w:pPr>
    <w:r w:rsidRPr="00F91574">
      <w:fldChar w:fldCharType="begin"/>
    </w:r>
    <w:r w:rsidRPr="00F91574">
      <w:instrText xml:space="preserve"> PAGE   \* MERGEFORMAT </w:instrText>
    </w:r>
    <w:r w:rsidRPr="00F91574">
      <w:fldChar w:fldCharType="separate"/>
    </w:r>
    <w:r w:rsidR="00512865" w:rsidRPr="00F91574">
      <w:t>12</w:t>
    </w:r>
    <w:r w:rsidRPr="00F9157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64D3" w14:textId="589B9629" w:rsidR="0051160D" w:rsidRPr="00E11A51" w:rsidRDefault="0051160D" w:rsidP="00E11A51">
    <w:pPr>
      <w:pStyle w:val="SCSAHeaderodd"/>
    </w:pPr>
    <w:r w:rsidRPr="00F91574">
      <w:fldChar w:fldCharType="begin"/>
    </w:r>
    <w:r w:rsidRPr="00F91574">
      <w:instrText xml:space="preserve"> PAGE   \* MERGEFORMAT </w:instrText>
    </w:r>
    <w:r w:rsidRPr="00F91574">
      <w:fldChar w:fldCharType="separate"/>
    </w:r>
    <w:r w:rsidR="00512865" w:rsidRPr="00F91574">
      <w:t>3</w:t>
    </w:r>
    <w:r w:rsidRPr="00F91574">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D982" w14:textId="77777777" w:rsidR="0051160D" w:rsidRPr="00F91574" w:rsidRDefault="005116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DEAB" w14:textId="3E97D298" w:rsidR="00E11A51" w:rsidRPr="00E11A51" w:rsidRDefault="00E11A51" w:rsidP="00E11A5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DED3" w14:textId="4532CE6A" w:rsidR="00E11A51" w:rsidRPr="00E11A51" w:rsidRDefault="00E11A51" w:rsidP="00E11A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1AE1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B6E1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94D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70CAFE"/>
    <w:lvl w:ilvl="0">
      <w:start w:val="1"/>
      <w:numFmt w:val="decimal"/>
      <w:lvlText w:val="%1."/>
      <w:lvlJc w:val="left"/>
      <w:pPr>
        <w:tabs>
          <w:tab w:val="num" w:pos="643"/>
        </w:tabs>
        <w:ind w:left="643" w:hanging="360"/>
      </w:pPr>
    </w:lvl>
  </w:abstractNum>
  <w:abstractNum w:abstractNumId="4" w15:restartNumberingAfterBreak="0">
    <w:nsid w:val="FFFFFF81"/>
    <w:multiLevelType w:val="singleLevel"/>
    <w:tmpl w:val="2B3CE718"/>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41FCC010"/>
    <w:lvl w:ilvl="0">
      <w:start w:val="1"/>
      <w:numFmt w:val="decimal"/>
      <w:lvlText w:val="%1."/>
      <w:lvlJc w:val="left"/>
      <w:pPr>
        <w:tabs>
          <w:tab w:val="num" w:pos="360"/>
        </w:tabs>
        <w:ind w:left="360" w:hanging="360"/>
      </w:pPr>
    </w:lvl>
  </w:abstractNum>
  <w:abstractNum w:abstractNumId="6" w15:restartNumberingAfterBreak="0">
    <w:nsid w:val="055009DE"/>
    <w:multiLevelType w:val="hybridMultilevel"/>
    <w:tmpl w:val="7C809FF8"/>
    <w:lvl w:ilvl="0" w:tplc="0C090005">
      <w:start w:val="1"/>
      <w:numFmt w:val="bullet"/>
      <w:lvlText w:val=""/>
      <w:lvlJc w:val="left"/>
      <w:pPr>
        <w:ind w:left="644" w:hanging="360"/>
      </w:pPr>
      <w:rPr>
        <w:rFonts w:ascii="Wingdings" w:hAnsi="Wingdings" w:hint="default"/>
        <w:color w:val="000000" w:themeColor="text1"/>
        <w:sz w:val="22"/>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0BF27982"/>
    <w:multiLevelType w:val="hybridMultilevel"/>
    <w:tmpl w:val="904C52DE"/>
    <w:lvl w:ilvl="0" w:tplc="6F429488">
      <w:numFmt w:val="bullet"/>
      <w:lvlText w:val="•"/>
      <w:lvlJc w:val="left"/>
      <w:pPr>
        <w:ind w:left="1077" w:hanging="360"/>
      </w:pPr>
      <w:rPr>
        <w:rFonts w:ascii="Calibri" w:hAnsi="Calibri" w:hint="default"/>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0FD923CB"/>
    <w:multiLevelType w:val="hybridMultilevel"/>
    <w:tmpl w:val="AB30E33E"/>
    <w:lvl w:ilvl="0" w:tplc="0C090005">
      <w:start w:val="1"/>
      <w:numFmt w:val="bullet"/>
      <w:lvlText w:val=""/>
      <w:lvlJc w:val="left"/>
      <w:pPr>
        <w:ind w:left="644" w:hanging="360"/>
      </w:pPr>
      <w:rPr>
        <w:rFonts w:ascii="Wingdings" w:hAnsi="Wingdings" w:hint="default"/>
        <w:color w:val="000000" w:themeColor="text1"/>
        <w:sz w:val="22"/>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15D831C9"/>
    <w:multiLevelType w:val="hybridMultilevel"/>
    <w:tmpl w:val="DCC4F2F0"/>
    <w:lvl w:ilvl="0" w:tplc="A226FC60">
      <w:start w:val="1"/>
      <w:numFmt w:val="bullet"/>
      <w:lvlText w:val=""/>
      <w:lvlJc w:val="left"/>
      <w:pPr>
        <w:ind w:left="928" w:hanging="360"/>
      </w:pPr>
      <w:rPr>
        <w:rFonts w:ascii="Wingdings" w:hAnsi="Wingdings" w:hint="default"/>
        <w:color w:val="000000" w:themeColor="text1"/>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0"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1" w15:restartNumberingAfterBreak="0">
    <w:nsid w:val="1F705661"/>
    <w:multiLevelType w:val="multilevel"/>
    <w:tmpl w:val="762853C8"/>
    <w:numStyleLink w:val="SCSABulletList"/>
  </w:abstractNum>
  <w:abstractNum w:abstractNumId="12" w15:restartNumberingAfterBreak="0">
    <w:nsid w:val="210329CD"/>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22BE7A32"/>
    <w:multiLevelType w:val="hybridMultilevel"/>
    <w:tmpl w:val="26C0E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4E116E2"/>
    <w:multiLevelType w:val="multilevel"/>
    <w:tmpl w:val="762853C8"/>
    <w:numStyleLink w:val="SCSABulletList"/>
  </w:abstractNum>
  <w:abstractNum w:abstractNumId="15" w15:restartNumberingAfterBreak="0">
    <w:nsid w:val="304F1532"/>
    <w:multiLevelType w:val="hybridMultilevel"/>
    <w:tmpl w:val="A12234DA"/>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6D3003"/>
    <w:multiLevelType w:val="multilevel"/>
    <w:tmpl w:val="762853C8"/>
    <w:numStyleLink w:val="SCSABulletList"/>
  </w:abstractNum>
  <w:abstractNum w:abstractNumId="17" w15:restartNumberingAfterBreak="0">
    <w:nsid w:val="3ED66050"/>
    <w:multiLevelType w:val="multilevel"/>
    <w:tmpl w:val="762853C8"/>
    <w:numStyleLink w:val="SCSABulletList"/>
  </w:abstractNum>
  <w:abstractNum w:abstractNumId="18" w15:restartNumberingAfterBreak="0">
    <w:nsid w:val="43A4272E"/>
    <w:multiLevelType w:val="hybridMultilevel"/>
    <w:tmpl w:val="674C4E8E"/>
    <w:lvl w:ilvl="0" w:tplc="6F429488">
      <w:numFmt w:val="bullet"/>
      <w:lvlText w:val="•"/>
      <w:lvlJc w:val="left"/>
      <w:pPr>
        <w:ind w:left="720" w:hanging="360"/>
      </w:pPr>
      <w:rPr>
        <w:rFonts w:ascii="Calibri" w:hAnsi="Calibri" w:hint="default"/>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554CDD"/>
    <w:multiLevelType w:val="hybridMultilevel"/>
    <w:tmpl w:val="EF841E1C"/>
    <w:lvl w:ilvl="0" w:tplc="0C090005">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162B00"/>
    <w:multiLevelType w:val="singleLevel"/>
    <w:tmpl w:val="FB26AA9E"/>
    <w:lvl w:ilvl="0">
      <w:numFmt w:val="decimal"/>
      <w:lvlText w:val=""/>
      <w:lvlJc w:val="left"/>
    </w:lvl>
  </w:abstractNum>
  <w:abstractNum w:abstractNumId="22" w15:restartNumberingAfterBreak="0">
    <w:nsid w:val="4F20569A"/>
    <w:multiLevelType w:val="hybridMultilevel"/>
    <w:tmpl w:val="2C507E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24" w15:restartNumberingAfterBreak="0">
    <w:nsid w:val="59892369"/>
    <w:multiLevelType w:val="multilevel"/>
    <w:tmpl w:val="223A7D62"/>
    <w:lvl w:ilvl="0">
      <w:start w:val="1"/>
      <w:numFmt w:val="bullet"/>
      <w:lvlText w:val=""/>
      <w:lvlJc w:val="left"/>
      <w:pPr>
        <w:tabs>
          <w:tab w:val="num" w:pos="397"/>
        </w:tabs>
        <w:ind w:left="397" w:hanging="397"/>
      </w:pPr>
      <w:rPr>
        <w:rFonts w:ascii="Wingdings" w:hAnsi="Wingdings" w:hint="default"/>
        <w:sz w:val="22"/>
        <w:szCs w:val="22"/>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5" w15:restartNumberingAfterBreak="0">
    <w:nsid w:val="5A52568A"/>
    <w:multiLevelType w:val="hybridMultilevel"/>
    <w:tmpl w:val="658E82C0"/>
    <w:lvl w:ilvl="0" w:tplc="6F429488">
      <w:numFmt w:val="bullet"/>
      <w:lvlText w:val="•"/>
      <w:lvlJc w:val="left"/>
      <w:pPr>
        <w:ind w:left="720" w:hanging="360"/>
      </w:pPr>
      <w:rPr>
        <w:rFonts w:ascii="Calibri" w:hAnsi="Calibri" w:hint="default"/>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BF2513"/>
    <w:multiLevelType w:val="hybridMultilevel"/>
    <w:tmpl w:val="ED764FCE"/>
    <w:lvl w:ilvl="0" w:tplc="F4AE816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CCA4E2E"/>
    <w:multiLevelType w:val="hybridMultilevel"/>
    <w:tmpl w:val="3ECECED6"/>
    <w:lvl w:ilvl="0" w:tplc="6F429488">
      <w:numFmt w:val="bullet"/>
      <w:lvlText w:val="•"/>
      <w:lvlJc w:val="left"/>
      <w:pPr>
        <w:ind w:left="644" w:hanging="360"/>
      </w:pPr>
      <w:rPr>
        <w:rFonts w:ascii="Calibri" w:hAnsi="Calibri" w:hint="default"/>
        <w:color w:val="000000" w:themeColor="text1"/>
        <w:sz w:val="22"/>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8" w15:restartNumberingAfterBreak="0">
    <w:nsid w:val="6D49602E"/>
    <w:multiLevelType w:val="hybridMultilevel"/>
    <w:tmpl w:val="19042A7A"/>
    <w:lvl w:ilvl="0" w:tplc="6F429488">
      <w:numFmt w:val="bullet"/>
      <w:lvlText w:val="•"/>
      <w:lvlJc w:val="left"/>
      <w:pPr>
        <w:ind w:left="720" w:hanging="360"/>
      </w:pPr>
      <w:rPr>
        <w:rFonts w:ascii="Calibri" w:hAnsi="Calibri" w:hint="default"/>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3C6371"/>
    <w:multiLevelType w:val="hybridMultilevel"/>
    <w:tmpl w:val="C5BE892C"/>
    <w:lvl w:ilvl="0" w:tplc="E3863E38">
      <w:start w:val="1"/>
      <w:numFmt w:val="bullet"/>
      <w:lvlText w:val=""/>
      <w:lvlJc w:val="left"/>
      <w:pPr>
        <w:ind w:left="720" w:hanging="360"/>
      </w:pPr>
      <w:rPr>
        <w:rFonts w:ascii="Wingdings" w:hAnsi="Wingding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5422755">
    <w:abstractNumId w:val="21"/>
  </w:num>
  <w:num w:numId="2" w16cid:durableId="1928225421">
    <w:abstractNumId w:val="12"/>
  </w:num>
  <w:num w:numId="3" w16cid:durableId="1854225888">
    <w:abstractNumId w:val="26"/>
  </w:num>
  <w:num w:numId="4" w16cid:durableId="1702704406">
    <w:abstractNumId w:val="24"/>
  </w:num>
  <w:num w:numId="5" w16cid:durableId="401493105">
    <w:abstractNumId w:val="13"/>
  </w:num>
  <w:num w:numId="6" w16cid:durableId="1354725914">
    <w:abstractNumId w:val="26"/>
  </w:num>
  <w:num w:numId="7" w16cid:durableId="128673463">
    <w:abstractNumId w:val="26"/>
  </w:num>
  <w:num w:numId="8" w16cid:durableId="1120346410">
    <w:abstractNumId w:val="22"/>
  </w:num>
  <w:num w:numId="9" w16cid:durableId="1391226826">
    <w:abstractNumId w:val="9"/>
  </w:num>
  <w:num w:numId="10" w16cid:durableId="1163282513">
    <w:abstractNumId w:val="15"/>
  </w:num>
  <w:num w:numId="11" w16cid:durableId="881402953">
    <w:abstractNumId w:val="27"/>
  </w:num>
  <w:num w:numId="12" w16cid:durableId="1943953229">
    <w:abstractNumId w:val="28"/>
  </w:num>
  <w:num w:numId="13" w16cid:durableId="1891334198">
    <w:abstractNumId w:val="25"/>
  </w:num>
  <w:num w:numId="14" w16cid:durableId="1635720660">
    <w:abstractNumId w:val="29"/>
  </w:num>
  <w:num w:numId="15" w16cid:durableId="1699041416">
    <w:abstractNumId w:val="18"/>
  </w:num>
  <w:num w:numId="16" w16cid:durableId="1248467608">
    <w:abstractNumId w:val="8"/>
  </w:num>
  <w:num w:numId="17" w16cid:durableId="592906293">
    <w:abstractNumId w:val="6"/>
  </w:num>
  <w:num w:numId="18" w16cid:durableId="771317620">
    <w:abstractNumId w:val="4"/>
  </w:num>
  <w:num w:numId="19" w16cid:durableId="1776631262">
    <w:abstractNumId w:val="5"/>
  </w:num>
  <w:num w:numId="20" w16cid:durableId="408162659">
    <w:abstractNumId w:val="3"/>
  </w:num>
  <w:num w:numId="21" w16cid:durableId="1365523837">
    <w:abstractNumId w:val="2"/>
  </w:num>
  <w:num w:numId="22" w16cid:durableId="1735661298">
    <w:abstractNumId w:val="1"/>
  </w:num>
  <w:num w:numId="23" w16cid:durableId="129443069">
    <w:abstractNumId w:val="0"/>
  </w:num>
  <w:num w:numId="24" w16cid:durableId="1575704300">
    <w:abstractNumId w:val="7"/>
  </w:num>
  <w:num w:numId="25" w16cid:durableId="641885967">
    <w:abstractNumId w:val="19"/>
  </w:num>
  <w:num w:numId="26" w16cid:durableId="1493837353">
    <w:abstractNumId w:val="26"/>
  </w:num>
  <w:num w:numId="27" w16cid:durableId="1251695501">
    <w:abstractNumId w:val="26"/>
  </w:num>
  <w:num w:numId="28" w16cid:durableId="432477388">
    <w:abstractNumId w:val="26"/>
  </w:num>
  <w:num w:numId="29" w16cid:durableId="1127896601">
    <w:abstractNumId w:val="20"/>
  </w:num>
  <w:num w:numId="30" w16cid:durableId="1725761767">
    <w:abstractNumId w:val="10"/>
  </w:num>
  <w:num w:numId="31" w16cid:durableId="169026235">
    <w:abstractNumId w:val="11"/>
  </w:num>
  <w:num w:numId="32" w16cid:durableId="2026057853">
    <w:abstractNumId w:val="23"/>
  </w:num>
  <w:num w:numId="33" w16cid:durableId="1450129720">
    <w:abstractNumId w:val="10"/>
  </w:num>
  <w:num w:numId="34" w16cid:durableId="1698264813">
    <w:abstractNumId w:val="14"/>
  </w:num>
  <w:num w:numId="35" w16cid:durableId="1414474332">
    <w:abstractNumId w:val="17"/>
  </w:num>
  <w:num w:numId="36" w16cid:durableId="1583373282">
    <w:abstractNumId w:val="16"/>
  </w:num>
  <w:num w:numId="37" w16cid:durableId="135372226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432E"/>
    <w:rsid w:val="00017D9C"/>
    <w:rsid w:val="0002336A"/>
    <w:rsid w:val="000370D1"/>
    <w:rsid w:val="00041AFA"/>
    <w:rsid w:val="00041E95"/>
    <w:rsid w:val="00046699"/>
    <w:rsid w:val="000479B1"/>
    <w:rsid w:val="00062F38"/>
    <w:rsid w:val="00064E95"/>
    <w:rsid w:val="0009024C"/>
    <w:rsid w:val="000A5CBD"/>
    <w:rsid w:val="000A6ABE"/>
    <w:rsid w:val="000A7871"/>
    <w:rsid w:val="000B1325"/>
    <w:rsid w:val="000E6A9E"/>
    <w:rsid w:val="000F17A9"/>
    <w:rsid w:val="000F404F"/>
    <w:rsid w:val="001304CE"/>
    <w:rsid w:val="00132F11"/>
    <w:rsid w:val="0013465E"/>
    <w:rsid w:val="001451B9"/>
    <w:rsid w:val="00145388"/>
    <w:rsid w:val="001567D0"/>
    <w:rsid w:val="00157E06"/>
    <w:rsid w:val="001638D0"/>
    <w:rsid w:val="001759BA"/>
    <w:rsid w:val="001826B8"/>
    <w:rsid w:val="0019340B"/>
    <w:rsid w:val="001A7DBB"/>
    <w:rsid w:val="001C62C9"/>
    <w:rsid w:val="001D2E16"/>
    <w:rsid w:val="001D56E3"/>
    <w:rsid w:val="001D6158"/>
    <w:rsid w:val="001D76C5"/>
    <w:rsid w:val="001F2300"/>
    <w:rsid w:val="001F401B"/>
    <w:rsid w:val="00215A66"/>
    <w:rsid w:val="00226274"/>
    <w:rsid w:val="0022684B"/>
    <w:rsid w:val="00245954"/>
    <w:rsid w:val="002666E3"/>
    <w:rsid w:val="00270163"/>
    <w:rsid w:val="0027108C"/>
    <w:rsid w:val="00283C6F"/>
    <w:rsid w:val="00285893"/>
    <w:rsid w:val="00290C4A"/>
    <w:rsid w:val="00291C7B"/>
    <w:rsid w:val="002936BD"/>
    <w:rsid w:val="002A1300"/>
    <w:rsid w:val="002A3277"/>
    <w:rsid w:val="002A471E"/>
    <w:rsid w:val="002B02BD"/>
    <w:rsid w:val="002B57DA"/>
    <w:rsid w:val="002B6FEE"/>
    <w:rsid w:val="002C05E5"/>
    <w:rsid w:val="002C5C90"/>
    <w:rsid w:val="002C7417"/>
    <w:rsid w:val="002D5DEA"/>
    <w:rsid w:val="002E0C20"/>
    <w:rsid w:val="002E156E"/>
    <w:rsid w:val="002E5F98"/>
    <w:rsid w:val="002E78F4"/>
    <w:rsid w:val="00300F4D"/>
    <w:rsid w:val="00304E41"/>
    <w:rsid w:val="00306C56"/>
    <w:rsid w:val="00307FC9"/>
    <w:rsid w:val="00343EE1"/>
    <w:rsid w:val="003602AD"/>
    <w:rsid w:val="0036440F"/>
    <w:rsid w:val="003A1A71"/>
    <w:rsid w:val="003B76E1"/>
    <w:rsid w:val="003C23AF"/>
    <w:rsid w:val="003C2D82"/>
    <w:rsid w:val="003C44BD"/>
    <w:rsid w:val="003D3CBD"/>
    <w:rsid w:val="003E492B"/>
    <w:rsid w:val="003F271F"/>
    <w:rsid w:val="00412219"/>
    <w:rsid w:val="00412A10"/>
    <w:rsid w:val="0041328C"/>
    <w:rsid w:val="00413C8C"/>
    <w:rsid w:val="0041529C"/>
    <w:rsid w:val="00416C3D"/>
    <w:rsid w:val="00424A24"/>
    <w:rsid w:val="00426B9A"/>
    <w:rsid w:val="0043620D"/>
    <w:rsid w:val="004408EB"/>
    <w:rsid w:val="00442526"/>
    <w:rsid w:val="004429B7"/>
    <w:rsid w:val="00442C4D"/>
    <w:rsid w:val="0044627A"/>
    <w:rsid w:val="00464AA7"/>
    <w:rsid w:val="00465F15"/>
    <w:rsid w:val="00466D3C"/>
    <w:rsid w:val="00472578"/>
    <w:rsid w:val="0048215B"/>
    <w:rsid w:val="004845B9"/>
    <w:rsid w:val="00492C50"/>
    <w:rsid w:val="004960C6"/>
    <w:rsid w:val="004A08BE"/>
    <w:rsid w:val="004A0EFA"/>
    <w:rsid w:val="004A1811"/>
    <w:rsid w:val="004B0079"/>
    <w:rsid w:val="004B58BB"/>
    <w:rsid w:val="004B7DB5"/>
    <w:rsid w:val="004C189F"/>
    <w:rsid w:val="004C1CAF"/>
    <w:rsid w:val="004D0EF4"/>
    <w:rsid w:val="004D7B3C"/>
    <w:rsid w:val="00504046"/>
    <w:rsid w:val="00505E96"/>
    <w:rsid w:val="005070D0"/>
    <w:rsid w:val="00507F1D"/>
    <w:rsid w:val="0051160D"/>
    <w:rsid w:val="00512865"/>
    <w:rsid w:val="00514059"/>
    <w:rsid w:val="005205CB"/>
    <w:rsid w:val="00524619"/>
    <w:rsid w:val="00525814"/>
    <w:rsid w:val="00535D40"/>
    <w:rsid w:val="00540775"/>
    <w:rsid w:val="00545638"/>
    <w:rsid w:val="00554AC8"/>
    <w:rsid w:val="00572AB3"/>
    <w:rsid w:val="0057539C"/>
    <w:rsid w:val="0057595B"/>
    <w:rsid w:val="005A28EB"/>
    <w:rsid w:val="005C40C9"/>
    <w:rsid w:val="005C536C"/>
    <w:rsid w:val="005C554A"/>
    <w:rsid w:val="005C5628"/>
    <w:rsid w:val="005D1506"/>
    <w:rsid w:val="005D5B4F"/>
    <w:rsid w:val="005E18DA"/>
    <w:rsid w:val="005E26A0"/>
    <w:rsid w:val="005E6287"/>
    <w:rsid w:val="006048A1"/>
    <w:rsid w:val="00620E02"/>
    <w:rsid w:val="006235BB"/>
    <w:rsid w:val="006249ED"/>
    <w:rsid w:val="00630C3D"/>
    <w:rsid w:val="006351B6"/>
    <w:rsid w:val="00637F0D"/>
    <w:rsid w:val="00666FEB"/>
    <w:rsid w:val="006733D9"/>
    <w:rsid w:val="006748E6"/>
    <w:rsid w:val="00682C15"/>
    <w:rsid w:val="00691A72"/>
    <w:rsid w:val="00693261"/>
    <w:rsid w:val="0069421A"/>
    <w:rsid w:val="006C4152"/>
    <w:rsid w:val="006D6566"/>
    <w:rsid w:val="006E122E"/>
    <w:rsid w:val="006E1D80"/>
    <w:rsid w:val="006F544F"/>
    <w:rsid w:val="006F7816"/>
    <w:rsid w:val="00711F12"/>
    <w:rsid w:val="00713530"/>
    <w:rsid w:val="00713D14"/>
    <w:rsid w:val="00727A83"/>
    <w:rsid w:val="007304B1"/>
    <w:rsid w:val="00737E63"/>
    <w:rsid w:val="00741822"/>
    <w:rsid w:val="00741F64"/>
    <w:rsid w:val="00742128"/>
    <w:rsid w:val="00762350"/>
    <w:rsid w:val="00765E80"/>
    <w:rsid w:val="00774F5E"/>
    <w:rsid w:val="00793207"/>
    <w:rsid w:val="007A15E3"/>
    <w:rsid w:val="007B19D2"/>
    <w:rsid w:val="007B4395"/>
    <w:rsid w:val="007C2661"/>
    <w:rsid w:val="007E70A2"/>
    <w:rsid w:val="007E7A47"/>
    <w:rsid w:val="007F4E11"/>
    <w:rsid w:val="00800ACB"/>
    <w:rsid w:val="008012AF"/>
    <w:rsid w:val="008079E9"/>
    <w:rsid w:val="008103D0"/>
    <w:rsid w:val="008206C5"/>
    <w:rsid w:val="0082140B"/>
    <w:rsid w:val="008324A6"/>
    <w:rsid w:val="00835F29"/>
    <w:rsid w:val="008408D4"/>
    <w:rsid w:val="00846AF5"/>
    <w:rsid w:val="00850B56"/>
    <w:rsid w:val="00851740"/>
    <w:rsid w:val="008542D1"/>
    <w:rsid w:val="00875FA4"/>
    <w:rsid w:val="00876D01"/>
    <w:rsid w:val="00877004"/>
    <w:rsid w:val="0088053A"/>
    <w:rsid w:val="00885723"/>
    <w:rsid w:val="008857C4"/>
    <w:rsid w:val="008904BF"/>
    <w:rsid w:val="008A7555"/>
    <w:rsid w:val="008B1F6D"/>
    <w:rsid w:val="008B54F0"/>
    <w:rsid w:val="008C5C58"/>
    <w:rsid w:val="008E144B"/>
    <w:rsid w:val="008E33EE"/>
    <w:rsid w:val="008E5011"/>
    <w:rsid w:val="008F1102"/>
    <w:rsid w:val="008F15C7"/>
    <w:rsid w:val="00904BFC"/>
    <w:rsid w:val="00906F52"/>
    <w:rsid w:val="009235BE"/>
    <w:rsid w:val="0092715F"/>
    <w:rsid w:val="0093271A"/>
    <w:rsid w:val="00934237"/>
    <w:rsid w:val="00935373"/>
    <w:rsid w:val="0094007F"/>
    <w:rsid w:val="009402A6"/>
    <w:rsid w:val="00943484"/>
    <w:rsid w:val="00945408"/>
    <w:rsid w:val="00947AFF"/>
    <w:rsid w:val="009510A5"/>
    <w:rsid w:val="00951500"/>
    <w:rsid w:val="00953DE9"/>
    <w:rsid w:val="00955E93"/>
    <w:rsid w:val="009622C5"/>
    <w:rsid w:val="00964696"/>
    <w:rsid w:val="0096726C"/>
    <w:rsid w:val="00970897"/>
    <w:rsid w:val="009732C7"/>
    <w:rsid w:val="009803BE"/>
    <w:rsid w:val="00983EDC"/>
    <w:rsid w:val="009A0EB8"/>
    <w:rsid w:val="009C0C4A"/>
    <w:rsid w:val="009D711E"/>
    <w:rsid w:val="009E6E68"/>
    <w:rsid w:val="00A07290"/>
    <w:rsid w:val="00A14942"/>
    <w:rsid w:val="00A16DC4"/>
    <w:rsid w:val="00A206AE"/>
    <w:rsid w:val="00A20F67"/>
    <w:rsid w:val="00A24944"/>
    <w:rsid w:val="00A344DC"/>
    <w:rsid w:val="00A503B5"/>
    <w:rsid w:val="00A60228"/>
    <w:rsid w:val="00A640FD"/>
    <w:rsid w:val="00A71EB7"/>
    <w:rsid w:val="00A7492F"/>
    <w:rsid w:val="00A801D6"/>
    <w:rsid w:val="00A9201B"/>
    <w:rsid w:val="00AA0285"/>
    <w:rsid w:val="00AA1930"/>
    <w:rsid w:val="00AA2B0D"/>
    <w:rsid w:val="00AD0AC6"/>
    <w:rsid w:val="00AD6E0C"/>
    <w:rsid w:val="00AE0CDE"/>
    <w:rsid w:val="00AE228C"/>
    <w:rsid w:val="00AE57D9"/>
    <w:rsid w:val="00AF475B"/>
    <w:rsid w:val="00B04173"/>
    <w:rsid w:val="00B0422C"/>
    <w:rsid w:val="00B13C8F"/>
    <w:rsid w:val="00B14B86"/>
    <w:rsid w:val="00B22F69"/>
    <w:rsid w:val="00B453BD"/>
    <w:rsid w:val="00B46973"/>
    <w:rsid w:val="00B63269"/>
    <w:rsid w:val="00B761EA"/>
    <w:rsid w:val="00B76E07"/>
    <w:rsid w:val="00B91B74"/>
    <w:rsid w:val="00B935B0"/>
    <w:rsid w:val="00BB4454"/>
    <w:rsid w:val="00BC0DFC"/>
    <w:rsid w:val="00BC1F96"/>
    <w:rsid w:val="00BC332B"/>
    <w:rsid w:val="00BC33D7"/>
    <w:rsid w:val="00BC4221"/>
    <w:rsid w:val="00BC7205"/>
    <w:rsid w:val="00BD0125"/>
    <w:rsid w:val="00BE3CC5"/>
    <w:rsid w:val="00BE5525"/>
    <w:rsid w:val="00BE55D5"/>
    <w:rsid w:val="00BE6856"/>
    <w:rsid w:val="00BE6CD2"/>
    <w:rsid w:val="00BF3B69"/>
    <w:rsid w:val="00C0229F"/>
    <w:rsid w:val="00C06DA4"/>
    <w:rsid w:val="00C172AA"/>
    <w:rsid w:val="00C1764E"/>
    <w:rsid w:val="00C2443F"/>
    <w:rsid w:val="00C24F89"/>
    <w:rsid w:val="00C27B15"/>
    <w:rsid w:val="00C43A9A"/>
    <w:rsid w:val="00C45647"/>
    <w:rsid w:val="00C51F9A"/>
    <w:rsid w:val="00C56B5B"/>
    <w:rsid w:val="00C5718F"/>
    <w:rsid w:val="00C57CDD"/>
    <w:rsid w:val="00C6186F"/>
    <w:rsid w:val="00C6459C"/>
    <w:rsid w:val="00C70C91"/>
    <w:rsid w:val="00C7580B"/>
    <w:rsid w:val="00C80FFC"/>
    <w:rsid w:val="00C81A96"/>
    <w:rsid w:val="00CA4758"/>
    <w:rsid w:val="00CA51CE"/>
    <w:rsid w:val="00CB0A52"/>
    <w:rsid w:val="00CB0B33"/>
    <w:rsid w:val="00CB4148"/>
    <w:rsid w:val="00CD5AE7"/>
    <w:rsid w:val="00CE0A5D"/>
    <w:rsid w:val="00CE0E01"/>
    <w:rsid w:val="00CE69DE"/>
    <w:rsid w:val="00CF19C7"/>
    <w:rsid w:val="00CF5E37"/>
    <w:rsid w:val="00CF6AB8"/>
    <w:rsid w:val="00D02E5D"/>
    <w:rsid w:val="00D0711B"/>
    <w:rsid w:val="00D12693"/>
    <w:rsid w:val="00D17A5D"/>
    <w:rsid w:val="00D201BB"/>
    <w:rsid w:val="00D30583"/>
    <w:rsid w:val="00D31C7D"/>
    <w:rsid w:val="00D4085D"/>
    <w:rsid w:val="00D433C0"/>
    <w:rsid w:val="00D63750"/>
    <w:rsid w:val="00D65C5C"/>
    <w:rsid w:val="00D702CC"/>
    <w:rsid w:val="00D764CC"/>
    <w:rsid w:val="00D76E48"/>
    <w:rsid w:val="00D85F30"/>
    <w:rsid w:val="00D86469"/>
    <w:rsid w:val="00D92D10"/>
    <w:rsid w:val="00DB47F1"/>
    <w:rsid w:val="00DB4B3C"/>
    <w:rsid w:val="00DC3A58"/>
    <w:rsid w:val="00DD1D21"/>
    <w:rsid w:val="00DD51A8"/>
    <w:rsid w:val="00DE3C5D"/>
    <w:rsid w:val="00DE5825"/>
    <w:rsid w:val="00DF7F1D"/>
    <w:rsid w:val="00E05CFA"/>
    <w:rsid w:val="00E11A51"/>
    <w:rsid w:val="00E17B2E"/>
    <w:rsid w:val="00E31D54"/>
    <w:rsid w:val="00E327A3"/>
    <w:rsid w:val="00E41C0A"/>
    <w:rsid w:val="00E461B1"/>
    <w:rsid w:val="00E5226E"/>
    <w:rsid w:val="00E54ADE"/>
    <w:rsid w:val="00E5522A"/>
    <w:rsid w:val="00E61184"/>
    <w:rsid w:val="00E614DA"/>
    <w:rsid w:val="00E721B6"/>
    <w:rsid w:val="00E77C7C"/>
    <w:rsid w:val="00E92D4C"/>
    <w:rsid w:val="00EB3C04"/>
    <w:rsid w:val="00EC0C7D"/>
    <w:rsid w:val="00EC185A"/>
    <w:rsid w:val="00ED3A00"/>
    <w:rsid w:val="00ED6F25"/>
    <w:rsid w:val="00ED7A82"/>
    <w:rsid w:val="00EE2650"/>
    <w:rsid w:val="00EF0533"/>
    <w:rsid w:val="00EF1138"/>
    <w:rsid w:val="00F10E0F"/>
    <w:rsid w:val="00F20371"/>
    <w:rsid w:val="00F329EB"/>
    <w:rsid w:val="00F33CB6"/>
    <w:rsid w:val="00F346D2"/>
    <w:rsid w:val="00F35D7C"/>
    <w:rsid w:val="00F441B1"/>
    <w:rsid w:val="00F46135"/>
    <w:rsid w:val="00F46799"/>
    <w:rsid w:val="00F523B4"/>
    <w:rsid w:val="00F55103"/>
    <w:rsid w:val="00F57282"/>
    <w:rsid w:val="00F66D2D"/>
    <w:rsid w:val="00F6754A"/>
    <w:rsid w:val="00F70F47"/>
    <w:rsid w:val="00F73D19"/>
    <w:rsid w:val="00F81088"/>
    <w:rsid w:val="00F83152"/>
    <w:rsid w:val="00F91574"/>
    <w:rsid w:val="00F96160"/>
    <w:rsid w:val="00FA0805"/>
    <w:rsid w:val="00FA6976"/>
    <w:rsid w:val="00FB3FF1"/>
    <w:rsid w:val="00FB67CF"/>
    <w:rsid w:val="00FC2705"/>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80448"/>
  <w15:docId w15:val="{037089E3-E0CB-445F-ACCC-DE30BD58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574"/>
  </w:style>
  <w:style w:type="paragraph" w:styleId="Heading1">
    <w:name w:val="heading 1"/>
    <w:basedOn w:val="Normal"/>
    <w:next w:val="Normal"/>
    <w:link w:val="Heading1Char"/>
    <w:qFormat/>
    <w:rsid w:val="001C62C9"/>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1C62C9"/>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1C62C9"/>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1C62C9"/>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unhideWhenUsed/>
    <w:qFormat/>
    <w:rsid w:val="008012AF"/>
    <w:pPr>
      <w:spacing w:before="240" w:after="60"/>
      <w:outlineLvl w:val="4"/>
    </w:pPr>
    <w:rPr>
      <w:b/>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62C9"/>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1C62C9"/>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1C62C9"/>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1C62C9"/>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rsid w:val="008012AF"/>
    <w:rPr>
      <w:b/>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E11A51"/>
    <w:pPr>
      <w:keepNext/>
      <w:spacing w:after="0"/>
    </w:pPr>
  </w:style>
  <w:style w:type="paragraph" w:styleId="ListParagraph">
    <w:name w:val="List Paragraph"/>
    <w:basedOn w:val="Normal"/>
    <w:link w:val="ListParagraphChar"/>
    <w:uiPriority w:val="34"/>
    <w:qFormat/>
    <w:rsid w:val="001C62C9"/>
    <w:pPr>
      <w:contextualSpacing/>
    </w:pPr>
    <w:rPr>
      <w:kern w:val="2"/>
      <w:lang w:eastAsia="ja-JP"/>
      <w14:ligatures w14:val="standardContextual"/>
    </w:rPr>
  </w:style>
  <w:style w:type="paragraph" w:styleId="TOCHeading">
    <w:name w:val="TOC Heading"/>
    <w:basedOn w:val="Normal"/>
    <w:next w:val="Normal"/>
    <w:uiPriority w:val="39"/>
    <w:unhideWhenUsed/>
    <w:qFormat/>
    <w:rsid w:val="00F91574"/>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291C7B"/>
    <w:rPr>
      <w:color w:val="580F8B"/>
      <w:u w:val="single"/>
    </w:rPr>
  </w:style>
  <w:style w:type="paragraph" w:styleId="TOC3">
    <w:name w:val="toc 3"/>
    <w:basedOn w:val="Normal"/>
    <w:next w:val="Normal"/>
    <w:autoRedefine/>
    <w:uiPriority w:val="39"/>
    <w:unhideWhenUsed/>
    <w:qFormat/>
    <w:rsid w:val="00682C15"/>
    <w:pPr>
      <w:tabs>
        <w:tab w:val="right" w:leader="dot" w:pos="9736"/>
      </w:tabs>
      <w:spacing w:after="0"/>
      <w:ind w:left="284"/>
    </w:pPr>
    <w:rPr>
      <w:sz w:val="20"/>
    </w:rPr>
  </w:style>
  <w:style w:type="paragraph" w:styleId="TOC1">
    <w:name w:val="toc 1"/>
    <w:basedOn w:val="Normal"/>
    <w:next w:val="Normal"/>
    <w:uiPriority w:val="39"/>
    <w:rsid w:val="00F91574"/>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F91574"/>
    <w:pPr>
      <w:tabs>
        <w:tab w:val="right" w:leader="dot" w:pos="9072"/>
      </w:tabs>
      <w:spacing w:after="0" w:line="360" w:lineRule="auto"/>
      <w:ind w:left="284"/>
    </w:pPr>
    <w:rPr>
      <w:kern w:val="2"/>
      <w:lang w:eastAsia="ja-JP"/>
      <w14:ligatures w14:val="standardContextual"/>
    </w:rPr>
  </w:style>
  <w:style w:type="paragraph" w:styleId="Revision">
    <w:name w:val="Revision"/>
    <w:hidden/>
    <w:uiPriority w:val="99"/>
    <w:semiHidden/>
    <w:rsid w:val="004845B9"/>
    <w:pPr>
      <w:spacing w:after="0" w:line="240" w:lineRule="auto"/>
    </w:pPr>
  </w:style>
  <w:style w:type="character" w:styleId="FollowedHyperlink">
    <w:name w:val="FollowedHyperlink"/>
    <w:basedOn w:val="DefaultParagraphFont"/>
    <w:uiPriority w:val="99"/>
    <w:semiHidden/>
    <w:unhideWhenUsed/>
    <w:rsid w:val="00291C7B"/>
    <w:rPr>
      <w:color w:val="514F59" w:themeColor="followedHyperlink"/>
      <w:u w:val="single"/>
    </w:rPr>
  </w:style>
  <w:style w:type="paragraph" w:customStyle="1" w:styleId="SCSAHeading1">
    <w:name w:val="SCSA Heading 1"/>
    <w:basedOn w:val="Normal"/>
    <w:qFormat/>
    <w:rsid w:val="00F91574"/>
    <w:pPr>
      <w:keepNext/>
      <w:outlineLvl w:val="0"/>
    </w:pPr>
    <w:rPr>
      <w:rFonts w:asciiTheme="majorHAnsi" w:eastAsiaTheme="majorEastAsia" w:hAnsiTheme="majorHAnsi" w:cstheme="majorBidi"/>
      <w:b/>
      <w:bCs/>
      <w:color w:val="580F8B" w:themeColor="accent1"/>
      <w:sz w:val="36"/>
      <w:szCs w:val="36"/>
      <w14:ligatures w14:val="standardContextual"/>
    </w:rPr>
  </w:style>
  <w:style w:type="numbering" w:customStyle="1" w:styleId="SCSABulletList">
    <w:name w:val="SCSA Bullet List"/>
    <w:uiPriority w:val="99"/>
    <w:rsid w:val="00F91574"/>
    <w:pPr>
      <w:numPr>
        <w:numId w:val="30"/>
      </w:numPr>
    </w:pPr>
  </w:style>
  <w:style w:type="table" w:customStyle="1" w:styleId="SCSATableclearstyle">
    <w:name w:val="SCSA Table clear style"/>
    <w:basedOn w:val="TableNormal"/>
    <w:uiPriority w:val="99"/>
    <w:rsid w:val="00F91574"/>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1C62C9"/>
    <w:rPr>
      <w:rFonts w:asciiTheme="minorHAnsi" w:hAnsiTheme="minorHAnsi"/>
      <w:kern w:val="2"/>
      <w:lang w:eastAsia="ja-JP"/>
      <w14:ligatures w14:val="standardContextual"/>
    </w:rPr>
  </w:style>
  <w:style w:type="paragraph" w:customStyle="1" w:styleId="SCSAHeading2">
    <w:name w:val="SCSA Heading 2"/>
    <w:basedOn w:val="Normal"/>
    <w:qFormat/>
    <w:rsid w:val="00F91574"/>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F91574"/>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1">
    <w:name w:val="SCSA Appendix Heading 1"/>
    <w:basedOn w:val="SCSAHeading1"/>
    <w:qFormat/>
    <w:rsid w:val="00F91574"/>
  </w:style>
  <w:style w:type="paragraph" w:customStyle="1" w:styleId="SCSAAppendixHeading2">
    <w:name w:val="SCSA Appendix Heading 2"/>
    <w:basedOn w:val="SCSAHeading3"/>
    <w:qFormat/>
    <w:rsid w:val="00F91574"/>
    <w:pPr>
      <w:outlineLvl w:val="1"/>
    </w:pPr>
  </w:style>
  <w:style w:type="paragraph" w:customStyle="1" w:styleId="SCSAAppendixHeading3">
    <w:name w:val="SCSA Appendix Heading 3"/>
    <w:basedOn w:val="SCSAHeading4"/>
    <w:qFormat/>
    <w:rsid w:val="00F91574"/>
    <w:pPr>
      <w:spacing w:after="0"/>
      <w:outlineLvl w:val="9"/>
    </w:pPr>
  </w:style>
  <w:style w:type="paragraph" w:customStyle="1" w:styleId="SCSAFootereven">
    <w:name w:val="SCSA Footer even"/>
    <w:basedOn w:val="SCSAFooterodd"/>
    <w:qFormat/>
    <w:rsid w:val="00F91574"/>
    <w:pPr>
      <w:jc w:val="left"/>
    </w:pPr>
  </w:style>
  <w:style w:type="paragraph" w:customStyle="1" w:styleId="SCSAFooterodd">
    <w:name w:val="SCSA Footer odd"/>
    <w:basedOn w:val="Normal"/>
    <w:qFormat/>
    <w:rsid w:val="00F91574"/>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F91574"/>
    <w:pPr>
      <w:ind w:left="-1134" w:right="9356"/>
      <w:jc w:val="right"/>
    </w:pPr>
  </w:style>
  <w:style w:type="paragraph" w:customStyle="1" w:styleId="SCSAHeaderodd">
    <w:name w:val="SCSA Header odd"/>
    <w:basedOn w:val="Normal"/>
    <w:qFormat/>
    <w:rsid w:val="00F91574"/>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4">
    <w:name w:val="SCSA Heading 4"/>
    <w:basedOn w:val="Normal"/>
    <w:qFormat/>
    <w:rsid w:val="00F91574"/>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F91574"/>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F91574"/>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F91574"/>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F91574"/>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F91574"/>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F91574"/>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F91574"/>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F915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4207">
      <w:bodyDiv w:val="1"/>
      <w:marLeft w:val="0"/>
      <w:marRight w:val="0"/>
      <w:marTop w:val="0"/>
      <w:marBottom w:val="0"/>
      <w:divBdr>
        <w:top w:val="none" w:sz="0" w:space="0" w:color="auto"/>
        <w:left w:val="none" w:sz="0" w:space="0" w:color="auto"/>
        <w:bottom w:val="none" w:sz="0" w:space="0" w:color="auto"/>
        <w:right w:val="none" w:sz="0" w:space="0" w:color="auto"/>
      </w:divBdr>
    </w:div>
    <w:div w:id="15075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55E2C-A59F-4EF6-BC53-6B3ED434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3692</Words>
  <Characters>21781</Characters>
  <Application>Microsoft Office Word</Application>
  <DocSecurity>0</DocSecurity>
  <Lines>490</Lines>
  <Paragraphs>305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7</cp:revision>
  <cp:lastPrinted>2026-01-22T06:41:00Z</cp:lastPrinted>
  <dcterms:created xsi:type="dcterms:W3CDTF">2026-01-12T02:16:00Z</dcterms:created>
  <dcterms:modified xsi:type="dcterms:W3CDTF">2026-01-22T06:41:00Z</dcterms:modified>
</cp:coreProperties>
</file>