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727" w:rsidRPr="000A3727" w:rsidRDefault="000A3727" w:rsidP="000A3727">
      <w:bookmarkStart w:id="0" w:name="_Toc382378645"/>
      <w:bookmarkStart w:id="1" w:name="_Toc359503799"/>
      <w:bookmarkStart w:id="2" w:name="_Toc358372280"/>
    </w:p>
    <w:p w:rsidR="000A3727" w:rsidRPr="000A3727" w:rsidRDefault="000A3727" w:rsidP="000A3727">
      <w:pPr>
        <w:jc w:val="center"/>
        <w:rPr>
          <w:b/>
          <w:bCs/>
          <w:sz w:val="44"/>
          <w:szCs w:val="44"/>
        </w:rPr>
      </w:pPr>
    </w:p>
    <w:p w:rsidR="000A3727" w:rsidRPr="000A3727" w:rsidRDefault="000A3727" w:rsidP="000A3727">
      <w:pPr>
        <w:tabs>
          <w:tab w:val="left" w:pos="3552"/>
        </w:tabs>
        <w:jc w:val="center"/>
        <w:rPr>
          <w:b/>
          <w:bCs/>
          <w:sz w:val="44"/>
          <w:szCs w:val="44"/>
        </w:rPr>
      </w:pPr>
    </w:p>
    <w:p w:rsidR="000A3727" w:rsidRPr="000A3727" w:rsidRDefault="000A3727" w:rsidP="000A3727">
      <w:pPr>
        <w:jc w:val="center"/>
        <w:rPr>
          <w:b/>
          <w:bCs/>
          <w:sz w:val="44"/>
          <w:szCs w:val="44"/>
        </w:rPr>
      </w:pPr>
    </w:p>
    <w:p w:rsidR="000A3727" w:rsidRPr="000A3727" w:rsidRDefault="000A3727" w:rsidP="000A3727">
      <w:pPr>
        <w:jc w:val="center"/>
        <w:rPr>
          <w:b/>
          <w:bCs/>
          <w:sz w:val="40"/>
          <w:szCs w:val="40"/>
        </w:rPr>
      </w:pPr>
    </w:p>
    <w:p w:rsidR="000A3727" w:rsidRPr="000A3727" w:rsidRDefault="000A3727" w:rsidP="000A3727">
      <w:pPr>
        <w:jc w:val="center"/>
        <w:rPr>
          <w:b/>
          <w:bCs/>
          <w:szCs w:val="40"/>
        </w:rPr>
      </w:pPr>
    </w:p>
    <w:p w:rsidR="000A3727" w:rsidRPr="000A3727" w:rsidRDefault="000A3727" w:rsidP="000A3727">
      <w:pPr>
        <w:jc w:val="center"/>
        <w:rPr>
          <w:b/>
          <w:bCs/>
          <w:sz w:val="40"/>
          <w:szCs w:val="40"/>
        </w:rPr>
      </w:pPr>
      <w:r>
        <w:rPr>
          <w:b/>
          <w:bCs/>
          <w:sz w:val="40"/>
          <w:szCs w:val="40"/>
        </w:rPr>
        <w:t>Psychology</w:t>
      </w:r>
      <w:r w:rsidRPr="000A3727">
        <w:rPr>
          <w:b/>
          <w:bCs/>
          <w:sz w:val="40"/>
          <w:szCs w:val="40"/>
        </w:rPr>
        <w:t xml:space="preserve"> General Course Year 12</w:t>
      </w:r>
    </w:p>
    <w:p w:rsidR="000A3727" w:rsidRPr="000A3727" w:rsidRDefault="000A3727" w:rsidP="000A3727">
      <w:pPr>
        <w:jc w:val="center"/>
        <w:rPr>
          <w:b/>
          <w:bCs/>
        </w:rPr>
      </w:pPr>
    </w:p>
    <w:p w:rsidR="000A3727" w:rsidRPr="000A3727" w:rsidRDefault="000A3727" w:rsidP="000A3727">
      <w:pPr>
        <w:jc w:val="center"/>
        <w:rPr>
          <w:b/>
          <w:bCs/>
          <w:sz w:val="40"/>
          <w:szCs w:val="40"/>
        </w:rPr>
      </w:pPr>
      <w:r w:rsidRPr="000A3727">
        <w:rPr>
          <w:b/>
          <w:bCs/>
          <w:sz w:val="40"/>
          <w:szCs w:val="40"/>
        </w:rPr>
        <w:t xml:space="preserve">Selected Unit 3 syllabus content for the </w:t>
      </w:r>
    </w:p>
    <w:p w:rsidR="000A3727" w:rsidRPr="000A3727" w:rsidRDefault="000A3727" w:rsidP="000A3727">
      <w:pPr>
        <w:jc w:val="center"/>
        <w:rPr>
          <w:b/>
          <w:bCs/>
        </w:rPr>
      </w:pPr>
    </w:p>
    <w:p w:rsidR="000A3727" w:rsidRPr="000A3727" w:rsidRDefault="000A3727" w:rsidP="000A3727">
      <w:pPr>
        <w:jc w:val="center"/>
        <w:rPr>
          <w:b/>
          <w:bCs/>
          <w:sz w:val="40"/>
          <w:szCs w:val="40"/>
        </w:rPr>
      </w:pPr>
      <w:r w:rsidRPr="000A3727">
        <w:rPr>
          <w:b/>
          <w:bCs/>
          <w:sz w:val="40"/>
          <w:szCs w:val="40"/>
        </w:rPr>
        <w:t>Externally set task 2017</w:t>
      </w:r>
    </w:p>
    <w:p w:rsidR="000A3727" w:rsidRPr="000A3727" w:rsidRDefault="000A3727" w:rsidP="000A3727">
      <w:pPr>
        <w:rPr>
          <w:b/>
          <w:bCs/>
          <w:sz w:val="44"/>
          <w:szCs w:val="44"/>
        </w:rPr>
      </w:pPr>
    </w:p>
    <w:p w:rsidR="000A3727" w:rsidRPr="000A3727" w:rsidRDefault="000A3727" w:rsidP="000A3727">
      <w:pPr>
        <w:rPr>
          <w:b/>
          <w:bCs/>
          <w:sz w:val="44"/>
          <w:szCs w:val="44"/>
        </w:rPr>
      </w:pPr>
    </w:p>
    <w:p w:rsidR="000A3727" w:rsidRPr="000A3727" w:rsidRDefault="000A3727" w:rsidP="000A3727">
      <w:pPr>
        <w:rPr>
          <w:b/>
          <w:bCs/>
          <w:sz w:val="44"/>
          <w:szCs w:val="44"/>
        </w:rPr>
      </w:pPr>
    </w:p>
    <w:p w:rsidR="000A3727" w:rsidRPr="000A3727" w:rsidRDefault="000A3727" w:rsidP="000A3727">
      <w:pPr>
        <w:rPr>
          <w:b/>
          <w:bCs/>
          <w:sz w:val="44"/>
          <w:szCs w:val="44"/>
        </w:rPr>
      </w:pPr>
    </w:p>
    <w:p w:rsidR="000A3727" w:rsidRPr="000A3727" w:rsidRDefault="000A3727" w:rsidP="000A3727">
      <w:pPr>
        <w:rPr>
          <w:b/>
          <w:bCs/>
          <w:sz w:val="44"/>
          <w:szCs w:val="44"/>
        </w:rPr>
      </w:pPr>
      <w:r w:rsidRPr="000A3727">
        <w:rPr>
          <w:noProof/>
          <w:lang w:eastAsia="en-AU"/>
        </w:rPr>
        <mc:AlternateContent>
          <mc:Choice Requires="wps">
            <w:drawing>
              <wp:anchor distT="0" distB="0" distL="114300" distR="114300" simplePos="0" relativeHeight="251659264" behindDoc="0" locked="0" layoutInCell="1" allowOverlap="1" wp14:anchorId="2FB52CA3" wp14:editId="547E3CFC">
                <wp:simplePos x="0" y="0"/>
                <wp:positionH relativeFrom="column">
                  <wp:posOffset>346166</wp:posOffset>
                </wp:positionH>
                <wp:positionV relativeFrom="paragraph">
                  <wp:posOffset>144780</wp:posOffset>
                </wp:positionV>
                <wp:extent cx="5693410" cy="2351314"/>
                <wp:effectExtent l="0" t="0" r="21590"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0A3727" w:rsidRPr="002A6754" w:rsidRDefault="000A3727" w:rsidP="000A3727">
                            <w:pPr>
                              <w:spacing w:after="0"/>
                            </w:pPr>
                            <w:r w:rsidRPr="002A6754">
                              <w:t xml:space="preserve">This document is an extract from the </w:t>
                            </w:r>
                            <w:r>
                              <w:rPr>
                                <w:i/>
                              </w:rPr>
                              <w:t>Psychology</w:t>
                            </w:r>
                            <w:r w:rsidRPr="002A6754">
                              <w:rPr>
                                <w:i/>
                              </w:rPr>
                              <w:t xml:space="preserve"> General Course Year 12 syllabus</w:t>
                            </w:r>
                            <w:r w:rsidRPr="002A6754">
                              <w:t>, featuring all of the content for Unit 3. The content that has been highlighted in the document is the content on which the Externally set task (EST) for 2017 will be based.</w:t>
                            </w:r>
                          </w:p>
                          <w:p w:rsidR="000A3727" w:rsidRPr="002A6754" w:rsidRDefault="000A3727" w:rsidP="000A3727">
                            <w:pPr>
                              <w:spacing w:after="0"/>
                            </w:pPr>
                          </w:p>
                          <w:p w:rsidR="000A3727" w:rsidRPr="002A6754" w:rsidRDefault="000A3727" w:rsidP="000A3727">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0A3727" w:rsidRPr="002A6754" w:rsidRDefault="000A3727" w:rsidP="000A3727">
                            <w:pPr>
                              <w:spacing w:after="0"/>
                            </w:pPr>
                          </w:p>
                          <w:p w:rsidR="000A3727" w:rsidRPr="002A6754" w:rsidRDefault="000A3727" w:rsidP="000A3727">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52CA3"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BTWJiArAgAAUQQAAA4AAAAAAAAAAAAAAAAALgIAAGRy&#10;cy9lMm9Eb2MueG1sUEsBAi0AFAAGAAgAAAAhAJtWfEDgAAAACQEAAA8AAAAAAAAAAAAAAAAAhQQA&#10;AGRycy9kb3ducmV2LnhtbFBLBQYAAAAABAAEAPMAAACSBQAAAAA=&#10;">
                <v:textbox>
                  <w:txbxContent>
                    <w:p w:rsidR="000A3727" w:rsidRPr="002A6754" w:rsidRDefault="000A3727" w:rsidP="000A3727">
                      <w:pPr>
                        <w:spacing w:after="0"/>
                      </w:pPr>
                      <w:r w:rsidRPr="002A6754">
                        <w:t xml:space="preserve">This document is an extract from the </w:t>
                      </w:r>
                      <w:r>
                        <w:rPr>
                          <w:i/>
                        </w:rPr>
                        <w:t>Psychology</w:t>
                      </w:r>
                      <w:r w:rsidRPr="002A6754">
                        <w:rPr>
                          <w:i/>
                        </w:rPr>
                        <w:t xml:space="preserve"> General Course Year 12 syllabus</w:t>
                      </w:r>
                      <w:r w:rsidRPr="002A6754">
                        <w:t>, featuring all of the content for Unit 3. The content that has been highlighted in the document is the content on which the Externally set task (EST) for 2017 will be based.</w:t>
                      </w:r>
                    </w:p>
                    <w:p w:rsidR="000A3727" w:rsidRPr="002A6754" w:rsidRDefault="000A3727" w:rsidP="000A3727">
                      <w:pPr>
                        <w:spacing w:after="0"/>
                      </w:pPr>
                    </w:p>
                    <w:p w:rsidR="000A3727" w:rsidRPr="002A6754" w:rsidRDefault="000A3727" w:rsidP="000A3727">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0A3727" w:rsidRPr="002A6754" w:rsidRDefault="000A3727" w:rsidP="000A3727">
                      <w:pPr>
                        <w:spacing w:after="0"/>
                      </w:pPr>
                    </w:p>
                    <w:p w:rsidR="000A3727" w:rsidRPr="002A6754" w:rsidRDefault="000A3727" w:rsidP="000A3727">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0A3727" w:rsidRDefault="000A3727" w:rsidP="008A4FFE">
      <w:pPr>
        <w:pStyle w:val="Heading1"/>
        <w:spacing w:before="240" w:after="60"/>
        <w:rPr>
          <w:color w:val="auto"/>
        </w:rPr>
        <w:sectPr w:rsidR="000A3727" w:rsidSect="000A3727">
          <w:headerReference w:type="first" r:id="rId8"/>
          <w:footerReference w:type="first" r:id="rId9"/>
          <w:type w:val="oddPage"/>
          <w:pgSz w:w="11906" w:h="16838"/>
          <w:pgMar w:top="1440" w:right="1080" w:bottom="1440" w:left="1080" w:header="708" w:footer="708" w:gutter="0"/>
          <w:pgNumType w:start="1"/>
          <w:cols w:space="709"/>
          <w:titlePg/>
          <w:docGrid w:linePitch="360"/>
        </w:sectPr>
      </w:pPr>
    </w:p>
    <w:p w:rsidR="008743F4" w:rsidRPr="00A64429" w:rsidRDefault="008743F4" w:rsidP="008A4FFE">
      <w:pPr>
        <w:pStyle w:val="Heading1"/>
        <w:spacing w:before="240" w:after="60"/>
        <w:rPr>
          <w:color w:val="auto"/>
        </w:rPr>
      </w:pPr>
      <w:r w:rsidRPr="00A64429">
        <w:rPr>
          <w:color w:val="auto"/>
        </w:rPr>
        <w:lastRenderedPageBreak/>
        <w:t>Unit 3</w:t>
      </w:r>
      <w:bookmarkEnd w:id="0"/>
      <w:r w:rsidRPr="00A64429">
        <w:rPr>
          <w:color w:val="auto"/>
        </w:rPr>
        <w:t xml:space="preserve"> </w:t>
      </w:r>
    </w:p>
    <w:p w:rsidR="00E44502" w:rsidRPr="00923BD5" w:rsidRDefault="00E44502" w:rsidP="00923BD5">
      <w:pPr>
        <w:pStyle w:val="Heading2"/>
      </w:pPr>
      <w:bookmarkStart w:id="3" w:name="_Toc382378646"/>
      <w:r w:rsidRPr="00923BD5">
        <w:t>Unit description</w:t>
      </w:r>
      <w:bookmarkEnd w:id="1"/>
      <w:bookmarkEnd w:id="3"/>
    </w:p>
    <w:p w:rsidR="00691F11" w:rsidRPr="00DB145E" w:rsidRDefault="00691F11" w:rsidP="00923BD5">
      <w:pPr>
        <w:pStyle w:val="Paragraph"/>
      </w:pPr>
      <w:bookmarkStart w:id="4" w:name="_Toc360700414"/>
      <w:r>
        <w:t xml:space="preserve">This unit expands on personality theories studied in Unit 1 by introducing students to important theorists including Bandura, Pavlov and Skinner. Students apply knowledge and understandings to explore how personality can shape motivation and performance. An analysis of the use of personality testing by organisations is undertaken. Students are introduced to different states of consciousness and the role of sensation, perception and attention in organising and interpreting information. </w:t>
      </w:r>
      <w:r w:rsidR="00243833">
        <w:t>F</w:t>
      </w:r>
      <w:r>
        <w:t>actors which determine friendships and conflict resolution are explored. Students expand on their k</w:t>
      </w:r>
      <w:r w:rsidR="00243833">
        <w:t>nowledge of ethics in psychological</w:t>
      </w:r>
      <w:r>
        <w:t xml:space="preserve"> research by examining the role of deception in experiments. Key terminology</w:t>
      </w:r>
      <w:r w:rsidR="00DB4083">
        <w:t>,</w:t>
      </w:r>
      <w:r>
        <w:t xml:space="preserve"> such as sample and populations</w:t>
      </w:r>
      <w:r w:rsidR="00DB4083">
        <w:t>,</w:t>
      </w:r>
      <w:r>
        <w:t xml:space="preserve"> are defined and an understanding of experimental and control groups is acquired. </w:t>
      </w:r>
    </w:p>
    <w:p w:rsidR="008E32B1" w:rsidRPr="00923BD5" w:rsidRDefault="008E32B1" w:rsidP="00923BD5">
      <w:pPr>
        <w:pStyle w:val="Heading2"/>
      </w:pPr>
      <w:bookmarkStart w:id="5" w:name="_Toc382378647"/>
      <w:bookmarkEnd w:id="4"/>
      <w:r w:rsidRPr="00923BD5">
        <w:t>Unit content</w:t>
      </w:r>
      <w:bookmarkEnd w:id="2"/>
      <w:bookmarkEnd w:id="5"/>
    </w:p>
    <w:p w:rsidR="00C56468" w:rsidRDefault="00A97B98" w:rsidP="000E6C9B">
      <w:pPr>
        <w:pStyle w:val="Paragraph"/>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r w:rsidR="00E449D0" w:rsidRPr="003566C9">
        <w:t xml:space="preserve"> </w:t>
      </w:r>
    </w:p>
    <w:p w:rsidR="008E32B1" w:rsidRPr="003566C9" w:rsidRDefault="008E32B1" w:rsidP="000E6C9B">
      <w:pPr>
        <w:pStyle w:val="Paragraph"/>
      </w:pPr>
      <w:r w:rsidRPr="003566C9">
        <w:t>This unit includes the knowledge, understandings and skills described below.</w:t>
      </w:r>
    </w:p>
    <w:p w:rsidR="00A97B98" w:rsidRPr="00923BD5" w:rsidRDefault="00C56468" w:rsidP="00923BD5">
      <w:pPr>
        <w:pStyle w:val="Heading3"/>
      </w:pPr>
      <w:r w:rsidRPr="00923BD5">
        <w:t>Self</w:t>
      </w:r>
    </w:p>
    <w:p w:rsidR="00C56468" w:rsidRPr="00C56468" w:rsidRDefault="00C56468" w:rsidP="00453F7B">
      <w:pPr>
        <w:pStyle w:val="Paragraph"/>
        <w:shd w:val="clear" w:color="auto" w:fill="FFFFFF" w:themeFill="background1"/>
        <w:rPr>
          <w:b/>
        </w:rPr>
      </w:pPr>
      <w:r w:rsidRPr="00C56468">
        <w:rPr>
          <w:b/>
        </w:rPr>
        <w:t>Personality</w:t>
      </w:r>
    </w:p>
    <w:p w:rsidR="00C56468" w:rsidRPr="00A75A81" w:rsidRDefault="00C56468" w:rsidP="00A64429">
      <w:pPr>
        <w:pStyle w:val="ListItem"/>
        <w:numPr>
          <w:ilvl w:val="0"/>
          <w:numId w:val="3"/>
        </w:numPr>
        <w:shd w:val="clear" w:color="auto" w:fill="D9D9D9" w:themeFill="background1" w:themeFillShade="D9"/>
        <w:spacing w:before="60" w:after="0"/>
        <w:ind w:left="357" w:hanging="357"/>
        <w:rPr>
          <w:rFonts w:eastAsiaTheme="minorHAnsi" w:cs="Calibri"/>
          <w:iCs/>
          <w:lang w:eastAsia="en-AU"/>
        </w:rPr>
      </w:pPr>
      <w:r w:rsidRPr="00A75A81">
        <w:rPr>
          <w:rFonts w:eastAsiaTheme="minorHAnsi" w:cs="Calibri"/>
          <w:iCs/>
          <w:lang w:eastAsia="en-AU"/>
        </w:rPr>
        <w:t>personality theories</w:t>
      </w:r>
    </w:p>
    <w:p w:rsidR="00C56468" w:rsidRPr="00C56468" w:rsidRDefault="00C56468" w:rsidP="00A64429">
      <w:pPr>
        <w:pStyle w:val="csbullet"/>
        <w:numPr>
          <w:ilvl w:val="0"/>
          <w:numId w:val="4"/>
        </w:numPr>
        <w:shd w:val="clear" w:color="auto" w:fill="D9D9D9" w:themeFill="background1" w:themeFillShade="D9"/>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trait theories – Eysenck</w:t>
      </w:r>
      <w:r w:rsidR="00E167FE">
        <w:rPr>
          <w:rFonts w:ascii="Calibri" w:hAnsi="Calibri" w:cs="Arial"/>
          <w:szCs w:val="22"/>
        </w:rPr>
        <w:t>,</w:t>
      </w:r>
      <w:r w:rsidRPr="00C56468">
        <w:rPr>
          <w:rFonts w:ascii="Calibri" w:hAnsi="Calibri" w:cs="Arial"/>
          <w:szCs w:val="22"/>
        </w:rPr>
        <w:t xml:space="preserve"> Costa and McCrae</w:t>
      </w:r>
    </w:p>
    <w:p w:rsidR="00C56468" w:rsidRPr="00C56468" w:rsidRDefault="00C56468" w:rsidP="00A64429">
      <w:pPr>
        <w:pStyle w:val="csbullet"/>
        <w:numPr>
          <w:ilvl w:val="0"/>
          <w:numId w:val="4"/>
        </w:numPr>
        <w:shd w:val="clear" w:color="auto" w:fill="D9D9D9" w:themeFill="background1" w:themeFillShade="D9"/>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humanistic theories – Maslow’s Hierarchy of Needs</w:t>
      </w:r>
      <w:r w:rsidR="00E167FE">
        <w:rPr>
          <w:rFonts w:ascii="Calibri" w:hAnsi="Calibri" w:cs="Arial"/>
          <w:szCs w:val="22"/>
        </w:rPr>
        <w:t>,</w:t>
      </w:r>
      <w:r w:rsidRPr="00C56468">
        <w:rPr>
          <w:rFonts w:ascii="Calibri" w:hAnsi="Calibri" w:cs="Arial"/>
          <w:szCs w:val="22"/>
        </w:rPr>
        <w:t xml:space="preserve"> Rogers</w:t>
      </w:r>
    </w:p>
    <w:p w:rsidR="00C56468" w:rsidRPr="00C56468" w:rsidRDefault="00117B32" w:rsidP="00A64429">
      <w:pPr>
        <w:pStyle w:val="csbullet"/>
        <w:numPr>
          <w:ilvl w:val="0"/>
          <w:numId w:val="4"/>
        </w:numPr>
        <w:shd w:val="clear" w:color="auto" w:fill="D9D9D9" w:themeFill="background1" w:themeFillShade="D9"/>
        <w:tabs>
          <w:tab w:val="clear" w:pos="-851"/>
        </w:tabs>
        <w:spacing w:before="0" w:after="0" w:line="276" w:lineRule="auto"/>
        <w:ind w:left="653" w:right="-79" w:hanging="284"/>
        <w:rPr>
          <w:rFonts w:ascii="Calibri" w:hAnsi="Calibri" w:cs="Arial"/>
          <w:szCs w:val="22"/>
        </w:rPr>
      </w:pPr>
      <w:r>
        <w:rPr>
          <w:rFonts w:ascii="Calibri" w:hAnsi="Calibri" w:cs="Arial"/>
          <w:szCs w:val="22"/>
        </w:rPr>
        <w:t>b</w:t>
      </w:r>
      <w:r w:rsidR="00C56468" w:rsidRPr="00C56468">
        <w:rPr>
          <w:rFonts w:ascii="Calibri" w:hAnsi="Calibri" w:cs="Arial"/>
          <w:szCs w:val="22"/>
        </w:rPr>
        <w:t>ehaviourist</w:t>
      </w:r>
      <w:r>
        <w:rPr>
          <w:rFonts w:ascii="Calibri" w:hAnsi="Calibri" w:cs="Arial"/>
          <w:szCs w:val="22"/>
        </w:rPr>
        <w:t xml:space="preserve"> theories</w:t>
      </w:r>
      <w:r w:rsidR="00C56468" w:rsidRPr="00C56468">
        <w:rPr>
          <w:rFonts w:ascii="Calibri" w:hAnsi="Calibri" w:cs="Arial"/>
          <w:szCs w:val="22"/>
        </w:rPr>
        <w:t xml:space="preserve"> – Pavlov, Watson, Thorndike, Skinner</w:t>
      </w:r>
    </w:p>
    <w:p w:rsidR="00C56468" w:rsidRPr="00C56468" w:rsidRDefault="00FF6041" w:rsidP="00A64429">
      <w:pPr>
        <w:pStyle w:val="csbullet"/>
        <w:numPr>
          <w:ilvl w:val="0"/>
          <w:numId w:val="4"/>
        </w:numPr>
        <w:shd w:val="clear" w:color="auto" w:fill="D9D9D9" w:themeFill="background1" w:themeFillShade="D9"/>
        <w:tabs>
          <w:tab w:val="clear" w:pos="-851"/>
        </w:tabs>
        <w:spacing w:before="0" w:after="0" w:line="276" w:lineRule="auto"/>
        <w:ind w:left="653" w:right="-79" w:hanging="284"/>
        <w:rPr>
          <w:rFonts w:ascii="Calibri" w:hAnsi="Calibri" w:cs="Arial"/>
          <w:szCs w:val="22"/>
        </w:rPr>
      </w:pPr>
      <w:r>
        <w:rPr>
          <w:rFonts w:ascii="Calibri" w:hAnsi="Calibri" w:cs="Arial"/>
          <w:szCs w:val="22"/>
        </w:rPr>
        <w:t>soci</w:t>
      </w:r>
      <w:r w:rsidR="00C56468" w:rsidRPr="00C56468">
        <w:rPr>
          <w:rFonts w:ascii="Calibri" w:hAnsi="Calibri" w:cs="Arial"/>
          <w:szCs w:val="22"/>
        </w:rPr>
        <w:t>al learning theory – Bandura</w:t>
      </w:r>
    </w:p>
    <w:p w:rsidR="00C56468" w:rsidRPr="00A75A81" w:rsidRDefault="00C56468" w:rsidP="00A64429">
      <w:pPr>
        <w:pStyle w:val="ListItem"/>
        <w:numPr>
          <w:ilvl w:val="0"/>
          <w:numId w:val="3"/>
        </w:numPr>
        <w:shd w:val="clear" w:color="auto" w:fill="D9D9D9" w:themeFill="background1" w:themeFillShade="D9"/>
        <w:ind w:left="360"/>
        <w:rPr>
          <w:rFonts w:eastAsiaTheme="minorHAnsi" w:cs="Calibri"/>
          <w:iCs/>
          <w:lang w:eastAsia="en-AU"/>
        </w:rPr>
      </w:pPr>
      <w:r w:rsidRPr="00A75A81">
        <w:rPr>
          <w:rFonts w:eastAsiaTheme="minorHAnsi" w:cs="Calibri"/>
          <w:iCs/>
          <w:lang w:eastAsia="en-AU"/>
        </w:rPr>
        <w:t>the relationship between personality, motivation and human performance</w:t>
      </w:r>
    </w:p>
    <w:p w:rsidR="00C56468" w:rsidRPr="00A75A81" w:rsidRDefault="00C56468" w:rsidP="00A64429">
      <w:pPr>
        <w:pStyle w:val="ListItem"/>
        <w:numPr>
          <w:ilvl w:val="0"/>
          <w:numId w:val="3"/>
        </w:numPr>
        <w:shd w:val="clear" w:color="auto" w:fill="D9D9D9" w:themeFill="background1" w:themeFillShade="D9"/>
        <w:ind w:left="360"/>
        <w:rPr>
          <w:rFonts w:eastAsiaTheme="minorHAnsi" w:cs="Calibri"/>
          <w:iCs/>
          <w:lang w:eastAsia="en-AU"/>
        </w:rPr>
      </w:pPr>
      <w:r w:rsidRPr="00A75A81">
        <w:rPr>
          <w:rFonts w:eastAsiaTheme="minorHAnsi" w:cs="Calibri"/>
          <w:iCs/>
          <w:lang w:eastAsia="en-AU"/>
        </w:rPr>
        <w:t>advantages, disadvantages and issues related to personality testing by organisations</w:t>
      </w:r>
    </w:p>
    <w:p w:rsidR="00C56468" w:rsidRPr="00C56468" w:rsidRDefault="00C56468" w:rsidP="00923BD5">
      <w:pPr>
        <w:pStyle w:val="Paragraph"/>
        <w:rPr>
          <w:b/>
        </w:rPr>
      </w:pPr>
      <w:r w:rsidRPr="00C56468">
        <w:rPr>
          <w:b/>
        </w:rPr>
        <w:t>Cognition</w:t>
      </w:r>
    </w:p>
    <w:p w:rsidR="00C56468" w:rsidRPr="00A75A81" w:rsidRDefault="00C56468" w:rsidP="006151C3">
      <w:pPr>
        <w:pStyle w:val="ListItem"/>
        <w:numPr>
          <w:ilvl w:val="0"/>
          <w:numId w:val="3"/>
        </w:numPr>
        <w:spacing w:before="60" w:after="0"/>
        <w:ind w:left="357" w:hanging="357"/>
        <w:rPr>
          <w:rFonts w:eastAsiaTheme="minorHAnsi" w:cs="Calibri"/>
          <w:iCs/>
          <w:lang w:eastAsia="en-AU"/>
        </w:rPr>
      </w:pPr>
      <w:r w:rsidRPr="00A75A81">
        <w:rPr>
          <w:rFonts w:eastAsiaTheme="minorHAnsi" w:cs="Calibri"/>
          <w:iCs/>
          <w:lang w:eastAsia="en-AU"/>
        </w:rPr>
        <w:t>definition of</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 xml:space="preserve">cognition </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sensation</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perception</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attention span</w:t>
      </w:r>
    </w:p>
    <w:p w:rsidR="00C56468" w:rsidRDefault="00C56468" w:rsidP="008A4FFE">
      <w:pPr>
        <w:pStyle w:val="ListItem"/>
        <w:numPr>
          <w:ilvl w:val="0"/>
          <w:numId w:val="3"/>
        </w:numPr>
        <w:spacing w:before="60" w:after="0"/>
        <w:ind w:left="357" w:hanging="357"/>
        <w:rPr>
          <w:rFonts w:eastAsiaTheme="minorHAnsi" w:cs="Calibri"/>
          <w:iCs/>
          <w:lang w:eastAsia="en-AU"/>
        </w:rPr>
      </w:pPr>
      <w:r w:rsidRPr="00A75A81">
        <w:rPr>
          <w:rFonts w:eastAsiaTheme="minorHAnsi" w:cs="Calibri"/>
          <w:iCs/>
          <w:lang w:eastAsia="en-AU"/>
        </w:rPr>
        <w:t xml:space="preserve">memory </w:t>
      </w:r>
    </w:p>
    <w:p w:rsidR="00FF6041" w:rsidRPr="00FF6041" w:rsidRDefault="001D4E53" w:rsidP="00FF6041">
      <w:pPr>
        <w:pStyle w:val="csbullet"/>
        <w:numPr>
          <w:ilvl w:val="0"/>
          <w:numId w:val="4"/>
        </w:numPr>
        <w:tabs>
          <w:tab w:val="clear" w:pos="-851"/>
        </w:tabs>
        <w:spacing w:before="0" w:after="0" w:line="276" w:lineRule="auto"/>
        <w:ind w:left="653" w:right="-79" w:hanging="284"/>
        <w:rPr>
          <w:rFonts w:ascii="Calibri" w:hAnsi="Calibri" w:cs="Arial"/>
          <w:szCs w:val="22"/>
        </w:rPr>
      </w:pPr>
      <w:r>
        <w:rPr>
          <w:rFonts w:ascii="Calibri" w:hAnsi="Calibri" w:cs="Arial"/>
          <w:szCs w:val="22"/>
        </w:rPr>
        <w:t>m</w:t>
      </w:r>
      <w:r w:rsidR="00FF6041">
        <w:rPr>
          <w:rFonts w:ascii="Calibri" w:hAnsi="Calibri" w:cs="Arial"/>
          <w:szCs w:val="22"/>
        </w:rPr>
        <w:t xml:space="preserve">ulti </w:t>
      </w:r>
      <w:r>
        <w:rPr>
          <w:rFonts w:ascii="Calibri" w:hAnsi="Calibri" w:cs="Arial"/>
          <w:szCs w:val="22"/>
        </w:rPr>
        <w:t>s</w:t>
      </w:r>
      <w:r w:rsidR="00FF6041">
        <w:rPr>
          <w:rFonts w:ascii="Calibri" w:hAnsi="Calibri" w:cs="Arial"/>
          <w:szCs w:val="22"/>
        </w:rPr>
        <w:t xml:space="preserve">tore </w:t>
      </w:r>
      <w:r>
        <w:rPr>
          <w:rFonts w:ascii="Calibri" w:hAnsi="Calibri" w:cs="Arial"/>
          <w:szCs w:val="22"/>
        </w:rPr>
        <w:t>m</w:t>
      </w:r>
      <w:r w:rsidR="00FF6041">
        <w:rPr>
          <w:rFonts w:ascii="Calibri" w:hAnsi="Calibri" w:cs="Arial"/>
          <w:szCs w:val="22"/>
        </w:rPr>
        <w:t xml:space="preserve">odel of </w:t>
      </w:r>
      <w:r>
        <w:rPr>
          <w:rFonts w:ascii="Calibri" w:hAnsi="Calibri" w:cs="Arial"/>
          <w:szCs w:val="22"/>
        </w:rPr>
        <w:t>m</w:t>
      </w:r>
      <w:r w:rsidR="00FF6041">
        <w:rPr>
          <w:rFonts w:ascii="Calibri" w:hAnsi="Calibri" w:cs="Arial"/>
          <w:szCs w:val="22"/>
        </w:rPr>
        <w:t>emory – Atkinson and Shiffrin (1968)</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sensory register</w:t>
      </w:r>
      <w:r w:rsidR="00FF6041">
        <w:rPr>
          <w:rFonts w:ascii="Calibri" w:hAnsi="Calibri" w:cs="Arial"/>
          <w:szCs w:val="22"/>
        </w:rPr>
        <w:t xml:space="preserve"> – duration, capacity</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wo</w:t>
      </w:r>
      <w:r w:rsidR="00FF6041">
        <w:rPr>
          <w:rFonts w:ascii="Calibri" w:hAnsi="Calibri" w:cs="Arial"/>
          <w:szCs w:val="22"/>
        </w:rPr>
        <w:t>rking memory (short-term memory) – duration, capacity</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long-term memory</w:t>
      </w:r>
      <w:r w:rsidR="00FF6041">
        <w:rPr>
          <w:rFonts w:ascii="Calibri" w:hAnsi="Calibri" w:cs="Arial"/>
          <w:szCs w:val="22"/>
        </w:rPr>
        <w:t xml:space="preserve"> – duration, capacity, procedural memory, declarative memory – semantic and episodic</w:t>
      </w:r>
    </w:p>
    <w:p w:rsidR="00923BD5" w:rsidRDefault="00923BD5">
      <w:pPr>
        <w:spacing w:line="276" w:lineRule="auto"/>
        <w:rPr>
          <w:rFonts w:eastAsia="Times New Roman" w:cs="Arial"/>
        </w:rPr>
      </w:pPr>
      <w:r>
        <w:rPr>
          <w:rFonts w:cs="Arial"/>
        </w:rPr>
        <w:br w:type="page"/>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lastRenderedPageBreak/>
        <w:t>strategies for enhancing retrieval of information and improving memory</w:t>
      </w:r>
    </w:p>
    <w:p w:rsidR="00C56468" w:rsidRPr="00C56468" w:rsidRDefault="00C56468" w:rsidP="00DC1E93">
      <w:pPr>
        <w:pStyle w:val="csbullet"/>
        <w:numPr>
          <w:ilvl w:val="1"/>
          <w:numId w:val="4"/>
        </w:numPr>
        <w:tabs>
          <w:tab w:val="clear" w:pos="-851"/>
          <w:tab w:val="clear" w:pos="1440"/>
        </w:tabs>
        <w:spacing w:before="0" w:after="0" w:line="276" w:lineRule="auto"/>
        <w:ind w:left="993" w:right="-77" w:hanging="284"/>
        <w:rPr>
          <w:rFonts w:ascii="Calibri" w:hAnsi="Calibri" w:cs="Arial"/>
          <w:szCs w:val="22"/>
        </w:rPr>
      </w:pPr>
      <w:r w:rsidRPr="00C56468">
        <w:rPr>
          <w:rFonts w:ascii="Calibri" w:hAnsi="Calibri" w:cs="Arial"/>
          <w:szCs w:val="22"/>
        </w:rPr>
        <w:t>state and context dependent cues</w:t>
      </w:r>
    </w:p>
    <w:p w:rsidR="00C56468" w:rsidRPr="00C56468" w:rsidRDefault="00C56468" w:rsidP="00DC1E93">
      <w:pPr>
        <w:pStyle w:val="csbullet"/>
        <w:numPr>
          <w:ilvl w:val="1"/>
          <w:numId w:val="4"/>
        </w:numPr>
        <w:tabs>
          <w:tab w:val="clear" w:pos="-851"/>
          <w:tab w:val="clear" w:pos="1440"/>
        </w:tabs>
        <w:spacing w:before="0" w:after="0" w:line="276" w:lineRule="auto"/>
        <w:ind w:left="993" w:right="-77" w:hanging="284"/>
        <w:rPr>
          <w:rFonts w:ascii="Calibri" w:hAnsi="Calibri" w:cs="Arial"/>
          <w:szCs w:val="22"/>
        </w:rPr>
      </w:pPr>
      <w:r w:rsidRPr="00C56468">
        <w:rPr>
          <w:rFonts w:ascii="Calibri" w:hAnsi="Calibri" w:cs="Arial"/>
          <w:szCs w:val="22"/>
        </w:rPr>
        <w:t>mnemonics</w:t>
      </w:r>
    </w:p>
    <w:p w:rsidR="00C56468" w:rsidRPr="00C56468" w:rsidRDefault="00C56468" w:rsidP="00DC1E93">
      <w:pPr>
        <w:pStyle w:val="csbullet"/>
        <w:numPr>
          <w:ilvl w:val="1"/>
          <w:numId w:val="4"/>
        </w:numPr>
        <w:tabs>
          <w:tab w:val="clear" w:pos="-851"/>
          <w:tab w:val="clear" w:pos="1440"/>
        </w:tabs>
        <w:spacing w:before="0" w:after="0" w:line="276" w:lineRule="auto"/>
        <w:ind w:left="993" w:right="-77" w:hanging="284"/>
        <w:rPr>
          <w:rFonts w:ascii="Calibri" w:hAnsi="Calibri" w:cs="Arial"/>
          <w:szCs w:val="22"/>
        </w:rPr>
      </w:pPr>
      <w:r w:rsidRPr="00C56468">
        <w:rPr>
          <w:rFonts w:ascii="Calibri" w:hAnsi="Calibri" w:cs="Arial"/>
          <w:szCs w:val="22"/>
        </w:rPr>
        <w:t>chunking</w:t>
      </w:r>
    </w:p>
    <w:p w:rsidR="00C56468" w:rsidRPr="00C56468" w:rsidRDefault="00C56468" w:rsidP="00DC1E93">
      <w:pPr>
        <w:pStyle w:val="csbullet"/>
        <w:numPr>
          <w:ilvl w:val="1"/>
          <w:numId w:val="4"/>
        </w:numPr>
        <w:tabs>
          <w:tab w:val="clear" w:pos="-851"/>
          <w:tab w:val="clear" w:pos="1440"/>
        </w:tabs>
        <w:spacing w:before="0" w:after="0" w:line="276" w:lineRule="auto"/>
        <w:ind w:left="993" w:right="-77" w:hanging="284"/>
        <w:rPr>
          <w:rFonts w:ascii="Calibri" w:hAnsi="Calibri" w:cs="Arial"/>
          <w:szCs w:val="22"/>
        </w:rPr>
      </w:pPr>
      <w:r w:rsidRPr="00C56468">
        <w:rPr>
          <w:rFonts w:ascii="Calibri" w:hAnsi="Calibri" w:cs="Arial"/>
          <w:szCs w:val="22"/>
        </w:rPr>
        <w:t>repetition</w:t>
      </w:r>
    </w:p>
    <w:p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states of consciousness</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selective attention</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divided attention</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daydreaming</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meditation</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hypnosis</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sleep</w:t>
      </w:r>
    </w:p>
    <w:p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physiological indicators of consciousness</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brainwaves</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heart rate</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galvanic skin response</w:t>
      </w:r>
    </w:p>
    <w:p w:rsidR="00A97B98" w:rsidRPr="003566C9" w:rsidRDefault="00C56468" w:rsidP="00CC2910">
      <w:pPr>
        <w:pStyle w:val="Heading3"/>
      </w:pPr>
      <w:r w:rsidRPr="00C56468">
        <w:t>Others</w:t>
      </w:r>
    </w:p>
    <w:p w:rsidR="00C56468" w:rsidRPr="00B31FCA" w:rsidRDefault="00C56468" w:rsidP="00C56468">
      <w:pPr>
        <w:spacing w:before="120" w:line="276" w:lineRule="auto"/>
        <w:ind w:right="-3"/>
        <w:rPr>
          <w:rFonts w:cs="Calibri"/>
          <w:b/>
        </w:rPr>
      </w:pPr>
      <w:r w:rsidRPr="00B31FCA">
        <w:rPr>
          <w:rFonts w:cs="Calibri"/>
          <w:b/>
        </w:rPr>
        <w:t>Relational influences</w:t>
      </w:r>
    </w:p>
    <w:p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friendship formation/determinants of liking</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proximity</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similarity</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reciprocity</w:t>
      </w:r>
    </w:p>
    <w:p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 xml:space="preserve">types of relationships </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 xml:space="preserve">pro-social </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anti-social</w:t>
      </w:r>
    </w:p>
    <w:p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types of solutions to resolve conflict</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imposed</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distributive</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integrative</w:t>
      </w:r>
    </w:p>
    <w:p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techniques for resolving conflict</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mediation</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negotiation</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counselling</w:t>
      </w:r>
    </w:p>
    <w:p w:rsidR="00C56468" w:rsidRPr="00B31FCA" w:rsidRDefault="00C56468" w:rsidP="00C56468">
      <w:pPr>
        <w:spacing w:before="120" w:line="276" w:lineRule="auto"/>
        <w:ind w:right="-3"/>
        <w:rPr>
          <w:rFonts w:cs="Calibri"/>
          <w:b/>
        </w:rPr>
      </w:pPr>
      <w:r w:rsidRPr="00B31FCA">
        <w:rPr>
          <w:rFonts w:cs="Calibri"/>
          <w:b/>
        </w:rPr>
        <w:t>Communication</w:t>
      </w:r>
    </w:p>
    <w:p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 xml:space="preserve">communication styles </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social background</w:t>
      </w:r>
      <w:r w:rsidR="00E33E8B">
        <w:rPr>
          <w:rFonts w:ascii="Calibri" w:hAnsi="Calibri" w:cs="Arial"/>
          <w:szCs w:val="22"/>
        </w:rPr>
        <w:t xml:space="preserve"> </w:t>
      </w:r>
      <w:r w:rsidR="00DB0508" w:rsidRPr="00C56468">
        <w:rPr>
          <w:rFonts w:ascii="Calibri" w:hAnsi="Calibri" w:cs="Arial"/>
          <w:szCs w:val="22"/>
        </w:rPr>
        <w:t xml:space="preserve">– </w:t>
      </w:r>
      <w:r w:rsidR="00DB0508">
        <w:rPr>
          <w:rFonts w:ascii="Calibri" w:hAnsi="Calibri" w:cs="Arial"/>
          <w:szCs w:val="22"/>
        </w:rPr>
        <w:t>Bernstein</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gender differences – Tannen</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Robinson’s social skills</w:t>
      </w:r>
    </w:p>
    <w:p w:rsidR="00923BD5" w:rsidRDefault="00923BD5">
      <w:pPr>
        <w:spacing w:line="276" w:lineRule="auto"/>
        <w:rPr>
          <w:rFonts w:eastAsiaTheme="minorHAnsi" w:cs="Calibri"/>
          <w:iCs/>
          <w:lang w:eastAsia="en-AU"/>
        </w:rPr>
      </w:pPr>
      <w:r>
        <w:rPr>
          <w:rFonts w:eastAsiaTheme="minorHAnsi" w:cs="Calibri"/>
          <w:iCs/>
          <w:lang w:eastAsia="en-AU"/>
        </w:rPr>
        <w:br w:type="page"/>
      </w:r>
    </w:p>
    <w:p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lastRenderedPageBreak/>
        <w:t xml:space="preserve">persuasive communication </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source of the message</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nature of the communication</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 xml:space="preserve">characteristics of the audience </w:t>
      </w:r>
    </w:p>
    <w:p w:rsidR="00A97B98" w:rsidRPr="003566C9" w:rsidRDefault="00C56468" w:rsidP="00453F7B">
      <w:pPr>
        <w:pStyle w:val="Heading3"/>
        <w:shd w:val="clear" w:color="auto" w:fill="FFFFFF" w:themeFill="background1"/>
      </w:pPr>
      <w:r w:rsidRPr="00C56468">
        <w:t>Research methods</w:t>
      </w:r>
    </w:p>
    <w:p w:rsidR="00C56468" w:rsidRPr="00C56468" w:rsidRDefault="00C56468" w:rsidP="00453F7B">
      <w:pPr>
        <w:pStyle w:val="Paragraph"/>
        <w:shd w:val="clear" w:color="auto" w:fill="FFFFFF" w:themeFill="background1"/>
        <w:rPr>
          <w:b/>
        </w:rPr>
      </w:pPr>
      <w:r w:rsidRPr="00C56468">
        <w:rPr>
          <w:b/>
        </w:rPr>
        <w:t xml:space="preserve">Planning and conducting psychological research </w:t>
      </w:r>
    </w:p>
    <w:p w:rsidR="00C56468" w:rsidRPr="00A75A81" w:rsidRDefault="00C56468" w:rsidP="00A64429">
      <w:pPr>
        <w:pStyle w:val="ListItem"/>
        <w:numPr>
          <w:ilvl w:val="0"/>
          <w:numId w:val="3"/>
        </w:numPr>
        <w:shd w:val="clear" w:color="auto" w:fill="D9D9D9" w:themeFill="background1" w:themeFillShade="D9"/>
        <w:spacing w:after="0"/>
        <w:ind w:left="360"/>
        <w:rPr>
          <w:rFonts w:eastAsiaTheme="minorHAnsi" w:cs="Calibri"/>
          <w:iCs/>
          <w:lang w:eastAsia="en-AU"/>
        </w:rPr>
      </w:pPr>
      <w:r w:rsidRPr="00A75A81">
        <w:rPr>
          <w:rFonts w:eastAsiaTheme="minorHAnsi" w:cs="Calibri"/>
          <w:iCs/>
          <w:lang w:eastAsia="en-AU"/>
        </w:rPr>
        <w:t>terminology</w:t>
      </w:r>
      <w:bookmarkStart w:id="6" w:name="_GoBack"/>
      <w:bookmarkEnd w:id="6"/>
    </w:p>
    <w:p w:rsidR="00C56468" w:rsidRPr="00C56468" w:rsidRDefault="00C56468" w:rsidP="00A64429">
      <w:pPr>
        <w:pStyle w:val="csbullet"/>
        <w:numPr>
          <w:ilvl w:val="0"/>
          <w:numId w:val="4"/>
        </w:numPr>
        <w:shd w:val="clear" w:color="auto" w:fill="D9D9D9" w:themeFill="background1" w:themeFillShade="D9"/>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experimental, non-experimental</w:t>
      </w:r>
    </w:p>
    <w:p w:rsidR="00C56468" w:rsidRPr="00C56468" w:rsidRDefault="00C56468" w:rsidP="00A64429">
      <w:pPr>
        <w:pStyle w:val="csbullet"/>
        <w:numPr>
          <w:ilvl w:val="0"/>
          <w:numId w:val="4"/>
        </w:numPr>
        <w:shd w:val="clear" w:color="auto" w:fill="D9D9D9" w:themeFill="background1" w:themeFillShade="D9"/>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scientific, non-scientific</w:t>
      </w:r>
    </w:p>
    <w:p w:rsidR="00C56468" w:rsidRPr="00C56468" w:rsidRDefault="00C56468" w:rsidP="00A64429">
      <w:pPr>
        <w:pStyle w:val="csbullet"/>
        <w:numPr>
          <w:ilvl w:val="0"/>
          <w:numId w:val="4"/>
        </w:numPr>
        <w:shd w:val="clear" w:color="auto" w:fill="D9D9D9" w:themeFill="background1" w:themeFillShade="D9"/>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sample</w:t>
      </w:r>
    </w:p>
    <w:p w:rsidR="00C56468" w:rsidRPr="00C56468" w:rsidRDefault="00C56468" w:rsidP="00A64429">
      <w:pPr>
        <w:pStyle w:val="csbullet"/>
        <w:numPr>
          <w:ilvl w:val="0"/>
          <w:numId w:val="4"/>
        </w:numPr>
        <w:shd w:val="clear" w:color="auto" w:fill="D9D9D9" w:themeFill="background1" w:themeFillShade="D9"/>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population</w:t>
      </w:r>
    </w:p>
    <w:p w:rsidR="00C56468" w:rsidRPr="00A75A81" w:rsidRDefault="00C56468" w:rsidP="00A64429">
      <w:pPr>
        <w:pStyle w:val="ListItem"/>
        <w:numPr>
          <w:ilvl w:val="0"/>
          <w:numId w:val="3"/>
        </w:numPr>
        <w:shd w:val="clear" w:color="auto" w:fill="D9D9D9" w:themeFill="background1" w:themeFillShade="D9"/>
        <w:spacing w:after="0"/>
        <w:ind w:left="360"/>
        <w:rPr>
          <w:rFonts w:eastAsiaTheme="minorHAnsi" w:cs="Calibri"/>
          <w:iCs/>
          <w:lang w:eastAsia="en-AU"/>
        </w:rPr>
      </w:pPr>
      <w:r w:rsidRPr="00A75A81">
        <w:rPr>
          <w:rFonts w:eastAsiaTheme="minorHAnsi" w:cs="Calibri"/>
          <w:iCs/>
          <w:lang w:eastAsia="en-AU"/>
        </w:rPr>
        <w:t>ethics in psychology research</w:t>
      </w:r>
    </w:p>
    <w:p w:rsidR="00C56468" w:rsidRPr="00C56468" w:rsidRDefault="00C56468" w:rsidP="00A64429">
      <w:pPr>
        <w:pStyle w:val="csbullet"/>
        <w:numPr>
          <w:ilvl w:val="0"/>
          <w:numId w:val="4"/>
        </w:numPr>
        <w:shd w:val="clear" w:color="auto" w:fill="D9D9D9" w:themeFill="background1" w:themeFillShade="D9"/>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participants’ rights</w:t>
      </w:r>
      <w:r w:rsidR="00E86986">
        <w:rPr>
          <w:rFonts w:ascii="Calibri" w:hAnsi="Calibri" w:cs="Arial"/>
          <w:szCs w:val="22"/>
        </w:rPr>
        <w:t xml:space="preserve"> – confidentiality,</w:t>
      </w:r>
      <w:r w:rsidRPr="00C56468">
        <w:rPr>
          <w:rFonts w:ascii="Calibri" w:hAnsi="Calibri" w:cs="Arial"/>
          <w:szCs w:val="22"/>
        </w:rPr>
        <w:t xml:space="preserve"> voluntary participation</w:t>
      </w:r>
      <w:r w:rsidR="006C1DC9">
        <w:rPr>
          <w:rFonts w:ascii="Calibri" w:hAnsi="Calibri" w:cs="Arial"/>
          <w:szCs w:val="22"/>
        </w:rPr>
        <w:t>,</w:t>
      </w:r>
      <w:r w:rsidRPr="00C56468">
        <w:rPr>
          <w:rFonts w:ascii="Calibri" w:hAnsi="Calibri" w:cs="Arial"/>
          <w:szCs w:val="22"/>
        </w:rPr>
        <w:t xml:space="preserve"> withdrawal rights</w:t>
      </w:r>
    </w:p>
    <w:p w:rsidR="00C56468" w:rsidRPr="00C56468" w:rsidRDefault="00C56468" w:rsidP="00A64429">
      <w:pPr>
        <w:pStyle w:val="csbullet"/>
        <w:numPr>
          <w:ilvl w:val="0"/>
          <w:numId w:val="4"/>
        </w:numPr>
        <w:shd w:val="clear" w:color="auto" w:fill="D9D9D9" w:themeFill="background1" w:themeFillShade="D9"/>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informed consent procedures</w:t>
      </w:r>
    </w:p>
    <w:p w:rsidR="00C56468" w:rsidRPr="00C56468" w:rsidRDefault="00C56468" w:rsidP="00A64429">
      <w:pPr>
        <w:pStyle w:val="csbullet"/>
        <w:numPr>
          <w:ilvl w:val="0"/>
          <w:numId w:val="4"/>
        </w:numPr>
        <w:shd w:val="clear" w:color="auto" w:fill="D9D9D9" w:themeFill="background1" w:themeFillShade="D9"/>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 xml:space="preserve">deception in research </w:t>
      </w:r>
    </w:p>
    <w:p w:rsidR="00C56468" w:rsidRPr="00A75A81" w:rsidRDefault="00C56468" w:rsidP="00A64429">
      <w:pPr>
        <w:pStyle w:val="ListItem"/>
        <w:numPr>
          <w:ilvl w:val="0"/>
          <w:numId w:val="3"/>
        </w:numPr>
        <w:shd w:val="clear" w:color="auto" w:fill="D9D9D9" w:themeFill="background1" w:themeFillShade="D9"/>
        <w:spacing w:after="0"/>
        <w:ind w:left="360"/>
        <w:rPr>
          <w:rFonts w:eastAsiaTheme="minorHAnsi" w:cs="Calibri"/>
          <w:iCs/>
          <w:lang w:eastAsia="en-AU"/>
        </w:rPr>
      </w:pPr>
      <w:r w:rsidRPr="00A75A81">
        <w:rPr>
          <w:rFonts w:eastAsiaTheme="minorHAnsi" w:cs="Calibri"/>
          <w:iCs/>
          <w:lang w:eastAsia="en-AU"/>
        </w:rPr>
        <w:t>experimental research method</w:t>
      </w:r>
    </w:p>
    <w:p w:rsidR="00C56468" w:rsidRPr="00C56468" w:rsidRDefault="00C56468" w:rsidP="00A64429">
      <w:pPr>
        <w:pStyle w:val="csbullet"/>
        <w:numPr>
          <w:ilvl w:val="0"/>
          <w:numId w:val="4"/>
        </w:numPr>
        <w:shd w:val="clear" w:color="auto" w:fill="D9D9D9" w:themeFill="background1" w:themeFillShade="D9"/>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independent and dependent variables</w:t>
      </w:r>
    </w:p>
    <w:p w:rsidR="00C56468" w:rsidRPr="00C56468" w:rsidRDefault="00C56468" w:rsidP="00A64429">
      <w:pPr>
        <w:pStyle w:val="csbullet"/>
        <w:numPr>
          <w:ilvl w:val="0"/>
          <w:numId w:val="4"/>
        </w:numPr>
        <w:shd w:val="clear" w:color="auto" w:fill="D9D9D9" w:themeFill="background1" w:themeFillShade="D9"/>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operational hypotheses</w:t>
      </w:r>
    </w:p>
    <w:p w:rsidR="00C56468" w:rsidRPr="00C56468" w:rsidRDefault="00C56468" w:rsidP="00A64429">
      <w:pPr>
        <w:pStyle w:val="csbullet"/>
        <w:numPr>
          <w:ilvl w:val="0"/>
          <w:numId w:val="4"/>
        </w:numPr>
        <w:shd w:val="clear" w:color="auto" w:fill="D9D9D9" w:themeFill="background1" w:themeFillShade="D9"/>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controlled and uncontrolled variables</w:t>
      </w:r>
    </w:p>
    <w:p w:rsidR="00C56468" w:rsidRPr="00C56468" w:rsidRDefault="00C56468" w:rsidP="00A64429">
      <w:pPr>
        <w:pStyle w:val="csbullet"/>
        <w:numPr>
          <w:ilvl w:val="0"/>
          <w:numId w:val="4"/>
        </w:numPr>
        <w:shd w:val="clear" w:color="auto" w:fill="D9D9D9" w:themeFill="background1" w:themeFillShade="D9"/>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experimental and control groups</w:t>
      </w:r>
    </w:p>
    <w:p w:rsidR="00C56468" w:rsidRPr="00A75A81" w:rsidRDefault="00C56468" w:rsidP="00A64429">
      <w:pPr>
        <w:pStyle w:val="ListItem"/>
        <w:numPr>
          <w:ilvl w:val="0"/>
          <w:numId w:val="3"/>
        </w:numPr>
        <w:shd w:val="clear" w:color="auto" w:fill="D9D9D9" w:themeFill="background1" w:themeFillShade="D9"/>
        <w:spacing w:after="0"/>
        <w:ind w:left="360"/>
        <w:rPr>
          <w:rFonts w:eastAsiaTheme="minorHAnsi" w:cs="Calibri"/>
          <w:iCs/>
          <w:lang w:eastAsia="en-AU"/>
        </w:rPr>
      </w:pPr>
      <w:r w:rsidRPr="00A75A81">
        <w:rPr>
          <w:rFonts w:eastAsiaTheme="minorHAnsi" w:cs="Calibri"/>
          <w:iCs/>
          <w:lang w:eastAsia="en-AU"/>
        </w:rPr>
        <w:t>non-experimental (descriptive) research methods</w:t>
      </w:r>
    </w:p>
    <w:p w:rsidR="00C56468" w:rsidRPr="00C56468" w:rsidRDefault="00C56468" w:rsidP="00A64429">
      <w:pPr>
        <w:pStyle w:val="csbullet"/>
        <w:numPr>
          <w:ilvl w:val="0"/>
          <w:numId w:val="4"/>
        </w:numPr>
        <w:shd w:val="clear" w:color="auto" w:fill="D9D9D9" w:themeFill="background1" w:themeFillShade="D9"/>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 xml:space="preserve">case studies, surveys, correlational studies </w:t>
      </w:r>
    </w:p>
    <w:p w:rsidR="00C56468" w:rsidRPr="00DC66EF" w:rsidRDefault="00C56468" w:rsidP="00A64429">
      <w:pPr>
        <w:pStyle w:val="ListItem"/>
        <w:numPr>
          <w:ilvl w:val="0"/>
          <w:numId w:val="3"/>
        </w:numPr>
        <w:shd w:val="clear" w:color="auto" w:fill="D9D9D9" w:themeFill="background1" w:themeFillShade="D9"/>
        <w:spacing w:after="0"/>
        <w:ind w:left="360"/>
        <w:rPr>
          <w:rFonts w:eastAsiaTheme="minorHAnsi" w:cs="Calibri"/>
          <w:iCs/>
          <w:lang w:eastAsia="en-AU"/>
        </w:rPr>
      </w:pPr>
      <w:r w:rsidRPr="00DC66EF">
        <w:rPr>
          <w:rFonts w:eastAsiaTheme="minorHAnsi" w:cs="Calibri"/>
          <w:iCs/>
          <w:lang w:eastAsia="en-AU"/>
        </w:rPr>
        <w:t>qualitative methods for data collection</w:t>
      </w:r>
    </w:p>
    <w:p w:rsidR="00C56468" w:rsidRPr="00A75A81" w:rsidRDefault="00C56468" w:rsidP="00A64429">
      <w:pPr>
        <w:pStyle w:val="ListItem"/>
        <w:numPr>
          <w:ilvl w:val="0"/>
          <w:numId w:val="3"/>
        </w:numPr>
        <w:shd w:val="clear" w:color="auto" w:fill="D9D9D9" w:themeFill="background1" w:themeFillShade="D9"/>
        <w:spacing w:after="0"/>
        <w:ind w:left="360"/>
        <w:rPr>
          <w:rFonts w:eastAsiaTheme="minorHAnsi" w:cs="Calibri"/>
          <w:iCs/>
          <w:lang w:eastAsia="en-AU"/>
        </w:rPr>
      </w:pPr>
      <w:r w:rsidRPr="00A75A81">
        <w:rPr>
          <w:rFonts w:eastAsiaTheme="minorHAnsi" w:cs="Calibri"/>
          <w:iCs/>
          <w:lang w:eastAsia="en-AU"/>
        </w:rPr>
        <w:t>objective quantitative measures in research</w:t>
      </w:r>
    </w:p>
    <w:p w:rsidR="00C56468" w:rsidRPr="00C56468" w:rsidRDefault="00C56468" w:rsidP="00A64429">
      <w:pPr>
        <w:pStyle w:val="csbullet"/>
        <w:numPr>
          <w:ilvl w:val="0"/>
          <w:numId w:val="4"/>
        </w:numPr>
        <w:shd w:val="clear" w:color="auto" w:fill="D9D9D9" w:themeFill="background1" w:themeFillShade="D9"/>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physiological measures</w:t>
      </w:r>
    </w:p>
    <w:p w:rsidR="00C56468" w:rsidRPr="00A75A81" w:rsidRDefault="00C56468" w:rsidP="00A64429">
      <w:pPr>
        <w:pStyle w:val="ListItem"/>
        <w:numPr>
          <w:ilvl w:val="0"/>
          <w:numId w:val="3"/>
        </w:numPr>
        <w:shd w:val="clear" w:color="auto" w:fill="D9D9D9" w:themeFill="background1" w:themeFillShade="D9"/>
        <w:spacing w:after="0"/>
        <w:ind w:left="360"/>
        <w:rPr>
          <w:rFonts w:eastAsiaTheme="minorHAnsi" w:cs="Calibri"/>
          <w:iCs/>
          <w:lang w:eastAsia="en-AU"/>
        </w:rPr>
      </w:pPr>
      <w:r w:rsidRPr="00A75A81">
        <w:rPr>
          <w:rFonts w:eastAsiaTheme="minorHAnsi" w:cs="Calibri"/>
          <w:iCs/>
          <w:lang w:eastAsia="en-AU"/>
        </w:rPr>
        <w:t xml:space="preserve">subjective quantitative measures in research </w:t>
      </w:r>
    </w:p>
    <w:p w:rsidR="00C56468" w:rsidRPr="00C56468" w:rsidRDefault="00C56468" w:rsidP="00A64429">
      <w:pPr>
        <w:pStyle w:val="csbullet"/>
        <w:numPr>
          <w:ilvl w:val="0"/>
          <w:numId w:val="4"/>
        </w:numPr>
        <w:shd w:val="clear" w:color="auto" w:fill="D9D9D9" w:themeFill="background1" w:themeFillShade="D9"/>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 xml:space="preserve">checklists </w:t>
      </w:r>
    </w:p>
    <w:p w:rsidR="00C56468" w:rsidRPr="00C56468" w:rsidRDefault="00C56468" w:rsidP="00A64429">
      <w:pPr>
        <w:pStyle w:val="csbullet"/>
        <w:numPr>
          <w:ilvl w:val="0"/>
          <w:numId w:val="4"/>
        </w:numPr>
        <w:shd w:val="clear" w:color="auto" w:fill="D9D9D9" w:themeFill="background1" w:themeFillShade="D9"/>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rating scales – Likert scale</w:t>
      </w:r>
    </w:p>
    <w:p w:rsidR="00C56468" w:rsidRPr="00C56468" w:rsidRDefault="00C56468" w:rsidP="00C56468">
      <w:pPr>
        <w:pStyle w:val="Paragraph"/>
        <w:rPr>
          <w:b/>
        </w:rPr>
      </w:pPr>
      <w:r w:rsidRPr="00C56468">
        <w:rPr>
          <w:b/>
        </w:rPr>
        <w:t xml:space="preserve">Processing and evaluating psychological research </w:t>
      </w:r>
    </w:p>
    <w:p w:rsidR="00C56468" w:rsidRPr="00A75A81" w:rsidRDefault="00C56468" w:rsidP="00A75A81">
      <w:pPr>
        <w:pStyle w:val="ListItem"/>
        <w:numPr>
          <w:ilvl w:val="0"/>
          <w:numId w:val="3"/>
        </w:numPr>
        <w:ind w:left="360"/>
        <w:rPr>
          <w:rFonts w:eastAsiaTheme="minorHAnsi" w:cs="Calibri"/>
          <w:iCs/>
          <w:lang w:eastAsia="en-AU"/>
        </w:rPr>
      </w:pPr>
      <w:r w:rsidRPr="00A75A81">
        <w:rPr>
          <w:rFonts w:eastAsiaTheme="minorHAnsi" w:cs="Calibri"/>
          <w:iCs/>
          <w:lang w:eastAsia="en-AU"/>
        </w:rPr>
        <w:t>displaying quantitative data – tables, graphs</w:t>
      </w:r>
      <w:r w:rsidR="00016517">
        <w:rPr>
          <w:rFonts w:eastAsiaTheme="minorHAnsi" w:cs="Calibri"/>
          <w:iCs/>
          <w:lang w:eastAsia="en-AU"/>
        </w:rPr>
        <w:t>,</w:t>
      </w:r>
      <w:r w:rsidRPr="00A75A81">
        <w:rPr>
          <w:rFonts w:eastAsiaTheme="minorHAnsi" w:cs="Calibri"/>
          <w:iCs/>
          <w:lang w:eastAsia="en-AU"/>
        </w:rPr>
        <w:t xml:space="preserve"> diagrams</w:t>
      </w:r>
    </w:p>
    <w:p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data interpretation</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mode</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mean</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median</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range</w:t>
      </w:r>
    </w:p>
    <w:p w:rsidR="00C56468" w:rsidRPr="00A75A81" w:rsidRDefault="00C56468" w:rsidP="00A75A81">
      <w:pPr>
        <w:pStyle w:val="ListItem"/>
        <w:numPr>
          <w:ilvl w:val="0"/>
          <w:numId w:val="3"/>
        </w:numPr>
        <w:ind w:left="360"/>
        <w:rPr>
          <w:rFonts w:eastAsiaTheme="minorHAnsi" w:cs="Calibri"/>
          <w:iCs/>
          <w:lang w:eastAsia="en-AU"/>
        </w:rPr>
      </w:pPr>
      <w:r w:rsidRPr="00A75A81">
        <w:rPr>
          <w:rFonts w:eastAsiaTheme="minorHAnsi" w:cs="Calibri"/>
          <w:iCs/>
          <w:lang w:eastAsia="en-AU"/>
        </w:rPr>
        <w:t>use of correlation to establish association between variables</w:t>
      </w:r>
    </w:p>
    <w:p w:rsidR="008D0A7B" w:rsidRPr="00A75A81" w:rsidRDefault="00C56468" w:rsidP="00A75A81">
      <w:pPr>
        <w:pStyle w:val="ListItem"/>
        <w:numPr>
          <w:ilvl w:val="0"/>
          <w:numId w:val="3"/>
        </w:numPr>
        <w:ind w:left="360"/>
        <w:rPr>
          <w:rFonts w:eastAsiaTheme="minorHAnsi" w:cs="Calibri"/>
          <w:iCs/>
          <w:lang w:eastAsia="en-AU"/>
        </w:rPr>
      </w:pPr>
      <w:r w:rsidRPr="00A75A81">
        <w:rPr>
          <w:rFonts w:eastAsiaTheme="minorHAnsi" w:cs="Calibri"/>
          <w:iCs/>
          <w:lang w:eastAsia="en-AU"/>
        </w:rPr>
        <w:t>statistical significance</w:t>
      </w:r>
    </w:p>
    <w:sectPr w:rsidR="008D0A7B" w:rsidRPr="00A75A81" w:rsidSect="000A3727">
      <w:headerReference w:type="default" r:id="rId10"/>
      <w:footerReference w:type="default" r:id="rId11"/>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647" w:rsidRDefault="005D7647" w:rsidP="00742128">
      <w:pPr>
        <w:spacing w:after="0" w:line="240" w:lineRule="auto"/>
      </w:pPr>
      <w:r>
        <w:separator/>
      </w:r>
    </w:p>
  </w:endnote>
  <w:endnote w:type="continuationSeparator" w:id="0">
    <w:p w:rsidR="005D7647" w:rsidRDefault="005D7647"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727" w:rsidRPr="000A3727" w:rsidRDefault="00314C8C" w:rsidP="000A3727">
    <w:pPr>
      <w:pStyle w:val="Footer"/>
      <w:tabs>
        <w:tab w:val="clear" w:pos="4513"/>
        <w:tab w:val="clear" w:pos="9026"/>
        <w:tab w:val="center" w:pos="4820"/>
        <w:tab w:val="right" w:pos="9639"/>
      </w:tabs>
      <w:rPr>
        <w:i/>
      </w:rPr>
    </w:pPr>
    <w:r w:rsidRPr="00314C8C">
      <w:rPr>
        <w:sz w:val="16"/>
      </w:rPr>
      <w:t>2016/15614</w:t>
    </w:r>
    <w:r w:rsidR="000A3727">
      <w:tab/>
    </w:r>
    <w:r w:rsidR="000A3727">
      <w:rPr>
        <w:i/>
        <w:sz w:val="16"/>
      </w:rPr>
      <w:t xml:space="preserve">Psychology </w:t>
    </w:r>
    <w:r w:rsidR="000A3727" w:rsidRPr="00C90E53">
      <w:rPr>
        <w:i/>
        <w:sz w:val="16"/>
      </w:rPr>
      <w:t>General Year 12: Externally set task content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727" w:rsidRPr="000A3727" w:rsidRDefault="000A3727" w:rsidP="000A3727">
    <w:pPr>
      <w:pStyle w:val="Footer"/>
      <w:tabs>
        <w:tab w:val="clear" w:pos="4513"/>
        <w:tab w:val="clear" w:pos="9026"/>
        <w:tab w:val="center" w:pos="4820"/>
        <w:tab w:val="right" w:pos="9639"/>
      </w:tabs>
      <w:rPr>
        <w:i/>
      </w:rPr>
    </w:pPr>
    <w:r>
      <w:tab/>
    </w:r>
    <w:r>
      <w:rPr>
        <w:i/>
        <w:sz w:val="16"/>
      </w:rPr>
      <w:t xml:space="preserve">Psychology </w:t>
    </w:r>
    <w:r w:rsidRPr="00C90E53">
      <w:rPr>
        <w:i/>
        <w:sz w:val="16"/>
      </w:rPr>
      <w:t>General Year 12: Externally set task content 2017</w:t>
    </w:r>
    <w:r>
      <w:rPr>
        <w:i/>
      </w:rPr>
      <w:tab/>
    </w:r>
    <w:r w:rsidRPr="000A3727">
      <w:rPr>
        <w:sz w:val="16"/>
      </w:rPr>
      <w:fldChar w:fldCharType="begin"/>
    </w:r>
    <w:r w:rsidRPr="000A3727">
      <w:rPr>
        <w:sz w:val="16"/>
      </w:rPr>
      <w:instrText xml:space="preserve"> PAGE   \* MERGEFORMAT </w:instrText>
    </w:r>
    <w:r w:rsidRPr="000A3727">
      <w:rPr>
        <w:sz w:val="16"/>
      </w:rPr>
      <w:fldChar w:fldCharType="separate"/>
    </w:r>
    <w:r w:rsidR="00453F7B">
      <w:rPr>
        <w:noProof/>
        <w:sz w:val="16"/>
      </w:rPr>
      <w:t>3</w:t>
    </w:r>
    <w:r w:rsidRPr="000A3727">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647" w:rsidRDefault="005D7647" w:rsidP="00742128">
      <w:pPr>
        <w:spacing w:after="0" w:line="240" w:lineRule="auto"/>
      </w:pPr>
      <w:r>
        <w:separator/>
      </w:r>
    </w:p>
  </w:footnote>
  <w:footnote w:type="continuationSeparator" w:id="0">
    <w:p w:rsidR="005D7647" w:rsidRDefault="005D7647"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727" w:rsidRDefault="000A3727">
    <w:pPr>
      <w:pStyle w:val="Header"/>
    </w:pPr>
    <w:r>
      <w:rPr>
        <w:noProof/>
        <w:lang w:eastAsia="en-AU"/>
      </w:rPr>
      <w:drawing>
        <wp:inline distT="0" distB="0" distL="0" distR="0">
          <wp:extent cx="6188710"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727" w:rsidRDefault="000A3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D842A7"/>
    <w:multiLevelType w:val="hybridMultilevel"/>
    <w:tmpl w:val="D5FCC402"/>
    <w:lvl w:ilvl="0" w:tplc="3668BDE2">
      <w:start w:val="1"/>
      <w:numFmt w:val="bullet"/>
      <w:lvlText w:val=""/>
      <w:lvlJc w:val="left"/>
      <w:pPr>
        <w:ind w:left="502" w:hanging="360"/>
      </w:pPr>
      <w:rPr>
        <w:rFonts w:ascii="Symbol" w:hAnsi="Symbol" w:hint="default"/>
        <w:b w:val="0"/>
        <w:i w:val="0"/>
        <w:color w:val="auto"/>
        <w:sz w:val="22"/>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nsid w:val="2B533B1F"/>
    <w:multiLevelType w:val="hybridMultilevel"/>
    <w:tmpl w:val="83A4A0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nsid w:val="39610278"/>
    <w:multiLevelType w:val="hybridMultilevel"/>
    <w:tmpl w:val="B68A7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D842F0F"/>
    <w:multiLevelType w:val="hybridMultilevel"/>
    <w:tmpl w:val="AB9CFAFC"/>
    <w:lvl w:ilvl="0" w:tplc="53D445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F9062E7"/>
    <w:multiLevelType w:val="hybridMultilevel"/>
    <w:tmpl w:val="2EF6123A"/>
    <w:lvl w:ilvl="0" w:tplc="89806C6E">
      <w:start w:val="1"/>
      <w:numFmt w:val="bullet"/>
      <w:lvlText w:val=""/>
      <w:lvlJc w:val="left"/>
      <w:pPr>
        <w:tabs>
          <w:tab w:val="num" w:pos="786"/>
        </w:tabs>
        <w:ind w:left="786" w:hanging="360"/>
      </w:pPr>
      <w:rPr>
        <w:rFonts w:ascii="Wingdings" w:hAnsi="Wingdings" w:hint="default"/>
        <w:strike w:val="0"/>
        <w:color w:val="auto"/>
        <w:sz w:val="20"/>
        <w:szCs w:val="20"/>
        <w:u w:val="none"/>
      </w:rPr>
    </w:lvl>
    <w:lvl w:ilvl="1" w:tplc="04090003">
      <w:start w:val="1"/>
      <w:numFmt w:val="bullet"/>
      <w:lvlText w:val="o"/>
      <w:lvlJc w:val="left"/>
      <w:pPr>
        <w:tabs>
          <w:tab w:val="num" w:pos="1440"/>
        </w:tabs>
        <w:ind w:left="1440" w:hanging="360"/>
      </w:pPr>
      <w:rPr>
        <w:rFonts w:ascii="Courier New" w:hAnsi="Courier New" w:cs="Courier New" w:hint="default"/>
        <w:color w:val="auto"/>
        <w:sz w:val="16"/>
        <w:szCs w:val="16"/>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CBF2513"/>
    <w:multiLevelType w:val="hybridMultilevel"/>
    <w:tmpl w:val="3412EB66"/>
    <w:lvl w:ilvl="0" w:tplc="2F10FF6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5"/>
  </w:num>
  <w:num w:numId="6">
    <w:abstractNumId w:val="4"/>
  </w:num>
  <w:num w:numId="7">
    <w:abstractNumId w:val="2"/>
  </w:num>
  <w:num w:numId="8">
    <w:abstractNumId w:val="7"/>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819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16517"/>
    <w:rsid w:val="00022F3C"/>
    <w:rsid w:val="0002336A"/>
    <w:rsid w:val="000365E9"/>
    <w:rsid w:val="00074F27"/>
    <w:rsid w:val="000841F0"/>
    <w:rsid w:val="0009024C"/>
    <w:rsid w:val="000A3727"/>
    <w:rsid w:val="000A6ABE"/>
    <w:rsid w:val="000B0A44"/>
    <w:rsid w:val="000C6ACF"/>
    <w:rsid w:val="000D3174"/>
    <w:rsid w:val="000E6C9B"/>
    <w:rsid w:val="000F3AD5"/>
    <w:rsid w:val="000F65F5"/>
    <w:rsid w:val="000F737A"/>
    <w:rsid w:val="00117B32"/>
    <w:rsid w:val="0013465E"/>
    <w:rsid w:val="00143DC5"/>
    <w:rsid w:val="00144452"/>
    <w:rsid w:val="001451B9"/>
    <w:rsid w:val="00151273"/>
    <w:rsid w:val="001567D0"/>
    <w:rsid w:val="00157E06"/>
    <w:rsid w:val="00160A6B"/>
    <w:rsid w:val="00161D4F"/>
    <w:rsid w:val="001779BF"/>
    <w:rsid w:val="00192605"/>
    <w:rsid w:val="0019340B"/>
    <w:rsid w:val="001A5C24"/>
    <w:rsid w:val="001C1C5E"/>
    <w:rsid w:val="001D4E53"/>
    <w:rsid w:val="001D76C5"/>
    <w:rsid w:val="00226D55"/>
    <w:rsid w:val="00241073"/>
    <w:rsid w:val="00243833"/>
    <w:rsid w:val="00252540"/>
    <w:rsid w:val="00270163"/>
    <w:rsid w:val="00285B26"/>
    <w:rsid w:val="002A471E"/>
    <w:rsid w:val="002B007E"/>
    <w:rsid w:val="002B6FEE"/>
    <w:rsid w:val="002C05E5"/>
    <w:rsid w:val="002D2F93"/>
    <w:rsid w:val="002E78F4"/>
    <w:rsid w:val="00304E41"/>
    <w:rsid w:val="00306C56"/>
    <w:rsid w:val="00314C8C"/>
    <w:rsid w:val="00333514"/>
    <w:rsid w:val="003372DA"/>
    <w:rsid w:val="003376DA"/>
    <w:rsid w:val="003566C9"/>
    <w:rsid w:val="0036440F"/>
    <w:rsid w:val="00370969"/>
    <w:rsid w:val="00374139"/>
    <w:rsid w:val="00392F69"/>
    <w:rsid w:val="003A73DB"/>
    <w:rsid w:val="003D2A82"/>
    <w:rsid w:val="003D3CBD"/>
    <w:rsid w:val="003D50A2"/>
    <w:rsid w:val="003F5430"/>
    <w:rsid w:val="00413C8C"/>
    <w:rsid w:val="00416C3D"/>
    <w:rsid w:val="00433F68"/>
    <w:rsid w:val="0043620D"/>
    <w:rsid w:val="004456DA"/>
    <w:rsid w:val="0044627A"/>
    <w:rsid w:val="0045224D"/>
    <w:rsid w:val="00453F7B"/>
    <w:rsid w:val="004574B1"/>
    <w:rsid w:val="00466D3C"/>
    <w:rsid w:val="004819A9"/>
    <w:rsid w:val="004925C6"/>
    <w:rsid w:val="00492C50"/>
    <w:rsid w:val="004A1CF7"/>
    <w:rsid w:val="004A41A8"/>
    <w:rsid w:val="004B7DB5"/>
    <w:rsid w:val="004C3AE3"/>
    <w:rsid w:val="004C53C4"/>
    <w:rsid w:val="004D0B2D"/>
    <w:rsid w:val="004D563A"/>
    <w:rsid w:val="004D68C7"/>
    <w:rsid w:val="00504046"/>
    <w:rsid w:val="0050454E"/>
    <w:rsid w:val="005155A2"/>
    <w:rsid w:val="00531562"/>
    <w:rsid w:val="00554AC8"/>
    <w:rsid w:val="005739DA"/>
    <w:rsid w:val="0058522A"/>
    <w:rsid w:val="005A0F57"/>
    <w:rsid w:val="005A1C74"/>
    <w:rsid w:val="005D5829"/>
    <w:rsid w:val="005D7647"/>
    <w:rsid w:val="005E0ECB"/>
    <w:rsid w:val="005E18DA"/>
    <w:rsid w:val="005E26A0"/>
    <w:rsid w:val="005E6287"/>
    <w:rsid w:val="005E7CC3"/>
    <w:rsid w:val="00605928"/>
    <w:rsid w:val="006151C3"/>
    <w:rsid w:val="00622483"/>
    <w:rsid w:val="00630C3D"/>
    <w:rsid w:val="00637F0D"/>
    <w:rsid w:val="00640F84"/>
    <w:rsid w:val="00666385"/>
    <w:rsid w:val="00666FEB"/>
    <w:rsid w:val="006748E6"/>
    <w:rsid w:val="006854CE"/>
    <w:rsid w:val="00691A72"/>
    <w:rsid w:val="00691F11"/>
    <w:rsid w:val="00693261"/>
    <w:rsid w:val="006A0DDE"/>
    <w:rsid w:val="006A3029"/>
    <w:rsid w:val="006C1DC9"/>
    <w:rsid w:val="006E1D80"/>
    <w:rsid w:val="006F7C1C"/>
    <w:rsid w:val="00711C93"/>
    <w:rsid w:val="00726E5A"/>
    <w:rsid w:val="00737E63"/>
    <w:rsid w:val="00742128"/>
    <w:rsid w:val="00746463"/>
    <w:rsid w:val="00753EA1"/>
    <w:rsid w:val="00793207"/>
    <w:rsid w:val="007F0E7B"/>
    <w:rsid w:val="0080272E"/>
    <w:rsid w:val="008079E9"/>
    <w:rsid w:val="008249AF"/>
    <w:rsid w:val="008324A6"/>
    <w:rsid w:val="00846AF5"/>
    <w:rsid w:val="008743F4"/>
    <w:rsid w:val="0088053A"/>
    <w:rsid w:val="008A2ECB"/>
    <w:rsid w:val="008A4FFE"/>
    <w:rsid w:val="008D0A7B"/>
    <w:rsid w:val="008E144B"/>
    <w:rsid w:val="008E32B1"/>
    <w:rsid w:val="008F6BB3"/>
    <w:rsid w:val="00904BFC"/>
    <w:rsid w:val="00923BD5"/>
    <w:rsid w:val="0093403F"/>
    <w:rsid w:val="0094007F"/>
    <w:rsid w:val="00945408"/>
    <w:rsid w:val="00952A49"/>
    <w:rsid w:val="009558DE"/>
    <w:rsid w:val="00955E93"/>
    <w:rsid w:val="00964696"/>
    <w:rsid w:val="009732C7"/>
    <w:rsid w:val="009909CD"/>
    <w:rsid w:val="009B2394"/>
    <w:rsid w:val="009C7960"/>
    <w:rsid w:val="009E1E00"/>
    <w:rsid w:val="00A24944"/>
    <w:rsid w:val="00A26119"/>
    <w:rsid w:val="00A4196B"/>
    <w:rsid w:val="00A64429"/>
    <w:rsid w:val="00A75A81"/>
    <w:rsid w:val="00A97B98"/>
    <w:rsid w:val="00AA0085"/>
    <w:rsid w:val="00AC2085"/>
    <w:rsid w:val="00AE0CDE"/>
    <w:rsid w:val="00AE57D9"/>
    <w:rsid w:val="00B04173"/>
    <w:rsid w:val="00B04D4C"/>
    <w:rsid w:val="00B11D1C"/>
    <w:rsid w:val="00B22F69"/>
    <w:rsid w:val="00B31A13"/>
    <w:rsid w:val="00B45B36"/>
    <w:rsid w:val="00B67EE0"/>
    <w:rsid w:val="00B76CE5"/>
    <w:rsid w:val="00B81380"/>
    <w:rsid w:val="00B9029E"/>
    <w:rsid w:val="00BB4454"/>
    <w:rsid w:val="00BC1F96"/>
    <w:rsid w:val="00BD0125"/>
    <w:rsid w:val="00BD5EE7"/>
    <w:rsid w:val="00C00627"/>
    <w:rsid w:val="00C01FE0"/>
    <w:rsid w:val="00C02D56"/>
    <w:rsid w:val="00C11C12"/>
    <w:rsid w:val="00C1764E"/>
    <w:rsid w:val="00C30D00"/>
    <w:rsid w:val="00C43A9A"/>
    <w:rsid w:val="00C51F9A"/>
    <w:rsid w:val="00C53F50"/>
    <w:rsid w:val="00C56468"/>
    <w:rsid w:val="00C57CDD"/>
    <w:rsid w:val="00C824C8"/>
    <w:rsid w:val="00CA2698"/>
    <w:rsid w:val="00CA51CE"/>
    <w:rsid w:val="00CC2910"/>
    <w:rsid w:val="00CD0FAA"/>
    <w:rsid w:val="00CE0E01"/>
    <w:rsid w:val="00CE6B7D"/>
    <w:rsid w:val="00D00BBA"/>
    <w:rsid w:val="00D018ED"/>
    <w:rsid w:val="00D12351"/>
    <w:rsid w:val="00D17A5D"/>
    <w:rsid w:val="00D2693E"/>
    <w:rsid w:val="00D27E3C"/>
    <w:rsid w:val="00D406B7"/>
    <w:rsid w:val="00D41433"/>
    <w:rsid w:val="00D64648"/>
    <w:rsid w:val="00DB0508"/>
    <w:rsid w:val="00DB1EC4"/>
    <w:rsid w:val="00DB4083"/>
    <w:rsid w:val="00DB4B3C"/>
    <w:rsid w:val="00DC1E93"/>
    <w:rsid w:val="00DC3A58"/>
    <w:rsid w:val="00DC66EF"/>
    <w:rsid w:val="00DD1D21"/>
    <w:rsid w:val="00DD51A8"/>
    <w:rsid w:val="00E167FE"/>
    <w:rsid w:val="00E25745"/>
    <w:rsid w:val="00E327A3"/>
    <w:rsid w:val="00E33E8B"/>
    <w:rsid w:val="00E41C0A"/>
    <w:rsid w:val="00E4353E"/>
    <w:rsid w:val="00E44502"/>
    <w:rsid w:val="00E449D0"/>
    <w:rsid w:val="00E5490A"/>
    <w:rsid w:val="00E54FC9"/>
    <w:rsid w:val="00E70FE0"/>
    <w:rsid w:val="00E721B6"/>
    <w:rsid w:val="00E81900"/>
    <w:rsid w:val="00E86986"/>
    <w:rsid w:val="00EA7315"/>
    <w:rsid w:val="00EB3C04"/>
    <w:rsid w:val="00ED3190"/>
    <w:rsid w:val="00ED3A00"/>
    <w:rsid w:val="00EE0075"/>
    <w:rsid w:val="00EE0DE1"/>
    <w:rsid w:val="00EF0533"/>
    <w:rsid w:val="00F01114"/>
    <w:rsid w:val="00F24EC9"/>
    <w:rsid w:val="00F33CCB"/>
    <w:rsid w:val="00F40210"/>
    <w:rsid w:val="00F4271F"/>
    <w:rsid w:val="00F45180"/>
    <w:rsid w:val="00F74AA1"/>
    <w:rsid w:val="00F77D72"/>
    <w:rsid w:val="00F81088"/>
    <w:rsid w:val="00F83152"/>
    <w:rsid w:val="00FC23D9"/>
    <w:rsid w:val="00FC2705"/>
    <w:rsid w:val="00FE3AAC"/>
    <w:rsid w:val="00FF5E63"/>
    <w:rsid w:val="00FF6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7FD2134-F757-4EEC-BC0B-19C4E688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691F11"/>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691F11"/>
    <w:rPr>
      <w:rFonts w:eastAsiaTheme="minorHAnsi" w:cs="Calibri"/>
      <w:lang w:eastAsia="en-AU"/>
    </w:rPr>
  </w:style>
  <w:style w:type="paragraph" w:customStyle="1" w:styleId="ListItem">
    <w:name w:val="List Item"/>
    <w:basedOn w:val="Normal"/>
    <w:link w:val="ListItemChar"/>
    <w:qFormat/>
    <w:rsid w:val="00691F11"/>
    <w:pPr>
      <w:spacing w:before="120" w:line="276" w:lineRule="auto"/>
    </w:pPr>
  </w:style>
  <w:style w:type="character" w:customStyle="1" w:styleId="ListItemChar">
    <w:name w:val="List Item Char"/>
    <w:basedOn w:val="DefaultParagraphFont"/>
    <w:link w:val="ListItem"/>
    <w:rsid w:val="00691F11"/>
  </w:style>
  <w:style w:type="paragraph" w:customStyle="1" w:styleId="Default">
    <w:name w:val="Default"/>
    <w:rsid w:val="00FF6041"/>
    <w:pPr>
      <w:widowControl w:val="0"/>
      <w:autoSpaceDE w:val="0"/>
      <w:autoSpaceDN w:val="0"/>
      <w:adjustRightInd w:val="0"/>
      <w:spacing w:after="0" w:line="240" w:lineRule="auto"/>
    </w:pPr>
    <w:rPr>
      <w:rFonts w:eastAsia="Times New Roman"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1C81C-D9E0-4C58-9A7D-A29B24AC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Terry Mitchelmore</cp:lastModifiedBy>
  <cp:revision>53</cp:revision>
  <cp:lastPrinted>2016-08-01T05:12:00Z</cp:lastPrinted>
  <dcterms:created xsi:type="dcterms:W3CDTF">2013-10-16T07:43:00Z</dcterms:created>
  <dcterms:modified xsi:type="dcterms:W3CDTF">2016-08-10T07:25:00Z</dcterms:modified>
</cp:coreProperties>
</file>