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F82CD" w14:textId="00B1541E" w:rsidR="003D3ED7" w:rsidRDefault="001D1CE6" w:rsidP="00CF0002">
      <w:pPr>
        <w:pStyle w:val="Heading1SyllabusChanges"/>
      </w:pPr>
      <w:r>
        <w:t>Mathematics</w:t>
      </w:r>
      <w:r w:rsidR="00681FEB">
        <w:t xml:space="preserve"> </w:t>
      </w:r>
      <w:r w:rsidR="005009A9">
        <w:t>Specialist</w:t>
      </w:r>
      <w:r>
        <w:t xml:space="preserve"> | ATAR</w:t>
      </w:r>
      <w:r w:rsidRPr="00871FC2">
        <w:t xml:space="preserve"> </w:t>
      </w:r>
      <w:r>
        <w:t>Year 1</w:t>
      </w:r>
      <w:r w:rsidR="00860522">
        <w:t>1</w:t>
      </w:r>
      <w:r>
        <w:t xml:space="preserve"> | </w:t>
      </w:r>
      <w:r w:rsidRPr="007C21BC">
        <w:t>S</w:t>
      </w:r>
      <w:r>
        <w:t>ummary of minor s</w:t>
      </w:r>
      <w:r w:rsidRPr="007C21BC">
        <w:t>yllabus changes</w:t>
      </w:r>
      <w:r>
        <w:t xml:space="preserve"> for 202</w:t>
      </w:r>
      <w:r w:rsidR="006754A1">
        <w:t>5</w:t>
      </w:r>
    </w:p>
    <w:p w14:paraId="629E9754" w14:textId="53223756" w:rsidR="001D1CE6" w:rsidRDefault="001D1CE6" w:rsidP="001D1CE6">
      <w:pPr>
        <w:tabs>
          <w:tab w:val="left" w:pos="360"/>
        </w:tabs>
        <w:spacing w:after="120"/>
      </w:pPr>
      <w:r w:rsidRPr="006B3D54">
        <w:t xml:space="preserve">The content identified by </w:t>
      </w:r>
      <w:r w:rsidRPr="006B3D54">
        <w:rPr>
          <w:strike/>
        </w:rPr>
        <w:t>strikethrough</w:t>
      </w:r>
      <w:r w:rsidRPr="006B3D54">
        <w:t xml:space="preserve"> has been deleted from the syllabus</w:t>
      </w:r>
      <w:r>
        <w:t>.</w:t>
      </w:r>
      <w:r w:rsidR="0009709A">
        <w:t xml:space="preserve"> The content in italics has been included.</w:t>
      </w:r>
    </w:p>
    <w:p w14:paraId="49376BF5" w14:textId="77777777" w:rsidR="005009A9" w:rsidRDefault="005009A9" w:rsidP="005009A9">
      <w:pPr>
        <w:pStyle w:val="Paragraph"/>
        <w:spacing w:before="0"/>
        <w:ind w:left="709" w:hanging="709"/>
        <w:rPr>
          <w:rFonts w:ascii="Calibri" w:hAnsi="Calibri" w:cs="Calibri"/>
          <w:color w:val="auto"/>
          <w:lang w:val="en"/>
        </w:rPr>
      </w:pPr>
      <w:r w:rsidRPr="001D0921">
        <w:rPr>
          <w:rFonts w:ascii="Calibri" w:hAnsi="Calibri" w:cs="Calibri"/>
          <w:color w:val="auto"/>
          <w:lang w:val="en"/>
        </w:rPr>
        <w:t>2.2.10</w:t>
      </w:r>
      <w:r w:rsidRPr="001D0921">
        <w:rPr>
          <w:rFonts w:ascii="Calibri" w:hAnsi="Calibri" w:cs="Calibri"/>
          <w:color w:val="auto"/>
          <w:lang w:val="en"/>
        </w:rPr>
        <w:tab/>
        <w:t xml:space="preserve">establish geometric results by matrix multiplications; for example: show that the combined effect of 2 </w:t>
      </w:r>
      <w:r w:rsidRPr="000D6419">
        <w:rPr>
          <w:rFonts w:ascii="Calibri" w:hAnsi="Calibri" w:cs="Calibri"/>
          <w:i/>
          <w:iCs/>
          <w:color w:val="auto"/>
          <w:lang w:val="en"/>
        </w:rPr>
        <w:t>successive</w:t>
      </w:r>
      <w:r>
        <w:rPr>
          <w:rFonts w:ascii="Calibri" w:hAnsi="Calibri" w:cs="Calibri"/>
          <w:color w:val="auto"/>
          <w:lang w:val="en"/>
        </w:rPr>
        <w:t xml:space="preserve"> </w:t>
      </w:r>
      <w:r w:rsidRPr="001D0921">
        <w:rPr>
          <w:rFonts w:ascii="Calibri" w:hAnsi="Calibri" w:cs="Calibri"/>
          <w:color w:val="auto"/>
          <w:lang w:val="en"/>
        </w:rPr>
        <w:t>reflections is a rotation</w:t>
      </w:r>
    </w:p>
    <w:p w14:paraId="77406298" w14:textId="6EAC1285" w:rsidR="005009A9" w:rsidRPr="001D0921" w:rsidRDefault="005009A9" w:rsidP="005009A9">
      <w:pPr>
        <w:pStyle w:val="Paragraph"/>
        <w:spacing w:before="0"/>
        <w:ind w:left="709" w:hanging="709"/>
        <w:rPr>
          <w:rFonts w:ascii="Calibri" w:hAnsi="Calibri" w:cs="Calibri"/>
          <w:color w:val="auto"/>
          <w:lang w:val="en"/>
        </w:rPr>
      </w:pPr>
      <w:r w:rsidRPr="001D0921">
        <w:rPr>
          <w:rFonts w:ascii="Calibri" w:hAnsi="Calibri" w:cs="Calibri"/>
          <w:color w:val="auto"/>
          <w:lang w:val="en"/>
        </w:rPr>
        <w:t>2.3.8</w:t>
      </w:r>
      <w:r w:rsidRPr="001D0921">
        <w:rPr>
          <w:rFonts w:ascii="Calibri" w:hAnsi="Calibri" w:cs="Calibri"/>
          <w:color w:val="auto"/>
          <w:lang w:val="en"/>
        </w:rPr>
        <w:tab/>
        <w:t xml:space="preserve">represent complex numbers in the rectangular </w:t>
      </w:r>
      <w:r>
        <w:rPr>
          <w:rFonts w:ascii="Calibri" w:hAnsi="Calibri" w:cs="Calibri"/>
          <w:color w:val="auto"/>
          <w:lang w:val="en"/>
        </w:rPr>
        <w:t xml:space="preserve">or </w:t>
      </w:r>
      <w:r w:rsidRPr="000D6419">
        <w:rPr>
          <w:rFonts w:ascii="Calibri" w:hAnsi="Calibri" w:cs="Calibri"/>
          <w:i/>
          <w:iCs/>
          <w:color w:val="auto"/>
          <w:lang w:val="en"/>
        </w:rPr>
        <w:t>Cartesian</w:t>
      </w:r>
      <w:r>
        <w:rPr>
          <w:rFonts w:ascii="Calibri" w:hAnsi="Calibri" w:cs="Calibri"/>
          <w:color w:val="auto"/>
          <w:lang w:val="en"/>
        </w:rPr>
        <w:t xml:space="preserve"> </w:t>
      </w:r>
      <w:r w:rsidRPr="001D0921">
        <w:rPr>
          <w:rFonts w:ascii="Calibri" w:hAnsi="Calibri" w:cs="Calibri"/>
          <w:color w:val="auto"/>
          <w:lang w:val="en"/>
        </w:rPr>
        <w:t>form</w:t>
      </w:r>
      <w:r w:rsidRPr="001D0921">
        <w:rPr>
          <w:rFonts w:ascii="Calibri" w:hAnsi="Calibri" w:cs="Calibri"/>
          <w:color w:val="auto"/>
          <w:bdr w:val="none" w:sz="0" w:space="0" w:color="auto" w:frame="1"/>
          <w:lang w:val="en"/>
        </w:rPr>
        <w:t>;</w:t>
      </w:r>
      <w:r w:rsidRPr="001D0921">
        <w:rPr>
          <w:rFonts w:ascii="Calibri" w:hAnsi="Calibri" w:cs="Calibri"/>
          <w:color w:val="auto"/>
          <w:lang w:val="en"/>
        </w:rPr>
        <w:t xml:space="preserve"> </w:t>
      </w:r>
      <w:r w:rsidRPr="001D0921">
        <w:rPr>
          <w:rFonts w:ascii="Calibri" w:hAnsi="Calibri" w:cs="Calibri"/>
          <w:i/>
          <w:iCs/>
          <w:color w:val="auto"/>
          <w:lang w:val="en"/>
        </w:rPr>
        <w:t>a</w:t>
      </w:r>
      <w:r w:rsidRPr="001D0921">
        <w:rPr>
          <w:rFonts w:ascii="Calibri" w:hAnsi="Calibri" w:cs="Calibri"/>
          <w:color w:val="auto"/>
          <w:lang w:val="en"/>
        </w:rPr>
        <w:t xml:space="preserve"> + </w:t>
      </w:r>
      <w:r w:rsidRPr="001D0921">
        <w:rPr>
          <w:rFonts w:ascii="Calibri" w:hAnsi="Calibri" w:cs="Calibri"/>
          <w:i/>
          <w:iCs/>
          <w:color w:val="auto"/>
          <w:lang w:val="en"/>
        </w:rPr>
        <w:t>bi</w:t>
      </w:r>
      <w:r w:rsidRPr="001D0921">
        <w:rPr>
          <w:rFonts w:ascii="Calibri" w:hAnsi="Calibri" w:cs="Calibri"/>
          <w:color w:val="auto"/>
          <w:lang w:val="en"/>
        </w:rPr>
        <w:t xml:space="preserve"> where </w:t>
      </w:r>
      <w:r w:rsidRPr="001D0921">
        <w:rPr>
          <w:rFonts w:ascii="Calibri" w:hAnsi="Calibri" w:cs="Calibri"/>
          <w:i/>
          <w:iCs/>
          <w:color w:val="auto"/>
          <w:lang w:val="en"/>
        </w:rPr>
        <w:t>a</w:t>
      </w:r>
      <w:r w:rsidRPr="001D0921">
        <w:rPr>
          <w:rFonts w:ascii="Calibri" w:hAnsi="Calibri" w:cs="Calibri"/>
          <w:color w:val="auto"/>
          <w:lang w:val="en"/>
        </w:rPr>
        <w:t xml:space="preserve"> and </w:t>
      </w:r>
      <w:r w:rsidRPr="001D0921">
        <w:rPr>
          <w:rFonts w:ascii="Calibri" w:hAnsi="Calibri" w:cs="Calibri"/>
          <w:i/>
          <w:iCs/>
          <w:color w:val="auto"/>
          <w:lang w:val="en"/>
        </w:rPr>
        <w:t>b</w:t>
      </w:r>
      <w:r w:rsidRPr="001D0921">
        <w:rPr>
          <w:rFonts w:ascii="Calibri" w:hAnsi="Calibri" w:cs="Calibri"/>
          <w:color w:val="auto"/>
          <w:lang w:val="en"/>
        </w:rPr>
        <w:t xml:space="preserve"> are the real and imaginary parts </w:t>
      </w:r>
    </w:p>
    <w:p w14:paraId="157E56A9" w14:textId="2A42E93E" w:rsidR="005009A9" w:rsidRPr="001D0921" w:rsidRDefault="005009A9" w:rsidP="00CF0002">
      <w:pPr>
        <w:pStyle w:val="Paragraph"/>
        <w:spacing w:before="0" w:after="240"/>
        <w:ind w:left="709" w:hanging="709"/>
        <w:rPr>
          <w:rFonts w:ascii="Calibri" w:hAnsi="Calibri" w:cs="Calibri"/>
          <w:color w:val="auto"/>
          <w:lang w:val="en"/>
        </w:rPr>
      </w:pPr>
      <w:r w:rsidRPr="001D0921">
        <w:rPr>
          <w:rFonts w:ascii="Calibri" w:hAnsi="Calibri" w:cs="Calibri"/>
          <w:color w:val="auto"/>
          <w:lang w:val="en"/>
        </w:rPr>
        <w:t>2.3.14</w:t>
      </w:r>
      <w:r w:rsidRPr="001D0921">
        <w:rPr>
          <w:rFonts w:ascii="Calibri" w:hAnsi="Calibri" w:cs="Calibri"/>
          <w:color w:val="auto"/>
          <w:lang w:val="en"/>
        </w:rPr>
        <w:tab/>
      </w:r>
      <w:r w:rsidRPr="005009A9">
        <w:rPr>
          <w:rFonts w:ascii="Calibri" w:hAnsi="Calibri" w:cs="Calibri"/>
          <w:strike/>
          <w:color w:val="auto"/>
          <w:lang w:val="en"/>
        </w:rPr>
        <w:t>use the general</w:t>
      </w:r>
      <w:r>
        <w:rPr>
          <w:rFonts w:ascii="Calibri" w:hAnsi="Calibri" w:cs="Calibri"/>
          <w:color w:val="auto"/>
          <w:lang w:val="en"/>
        </w:rPr>
        <w:t xml:space="preserve"> </w:t>
      </w:r>
      <w:r w:rsidRPr="000D6419">
        <w:rPr>
          <w:rFonts w:ascii="Calibri" w:hAnsi="Calibri" w:cs="Calibri"/>
          <w:i/>
          <w:iCs/>
          <w:color w:val="auto"/>
          <w:lang w:val="en"/>
        </w:rPr>
        <w:t>examine the nature</w:t>
      </w:r>
      <w:r w:rsidRPr="000D6419">
        <w:rPr>
          <w:rFonts w:ascii="Calibri" w:hAnsi="Calibri" w:cs="Calibri"/>
          <w:color w:val="auto"/>
          <w:lang w:val="en"/>
        </w:rPr>
        <w:t xml:space="preserve"> </w:t>
      </w:r>
      <w:r>
        <w:rPr>
          <w:rFonts w:ascii="Calibri" w:hAnsi="Calibri" w:cs="Calibri"/>
          <w:color w:val="auto"/>
          <w:lang w:val="en"/>
        </w:rPr>
        <w:t xml:space="preserve">of </w:t>
      </w:r>
      <w:r w:rsidRPr="001D0921">
        <w:rPr>
          <w:rFonts w:ascii="Calibri" w:hAnsi="Calibri" w:cs="Calibri"/>
          <w:color w:val="auto"/>
          <w:lang w:val="en"/>
        </w:rPr>
        <w:t>solution</w:t>
      </w:r>
      <w:r w:rsidRPr="000D6419">
        <w:rPr>
          <w:rFonts w:ascii="Calibri" w:hAnsi="Calibri" w:cs="Calibri"/>
          <w:i/>
          <w:iCs/>
          <w:color w:val="auto"/>
          <w:lang w:val="en"/>
        </w:rPr>
        <w:t>s</w:t>
      </w:r>
      <w:r w:rsidRPr="005009A9">
        <w:rPr>
          <w:rFonts w:ascii="Calibri" w:hAnsi="Calibri" w:cs="Calibri"/>
          <w:i/>
          <w:iCs/>
          <w:color w:val="FF0000"/>
          <w:lang w:val="en"/>
        </w:rPr>
        <w:t xml:space="preserve"> </w:t>
      </w:r>
      <w:r w:rsidRPr="001D0921">
        <w:rPr>
          <w:rFonts w:ascii="Calibri" w:hAnsi="Calibri" w:cs="Calibri"/>
          <w:color w:val="auto"/>
          <w:lang w:val="en"/>
        </w:rPr>
        <w:t>of real quadratic equations</w:t>
      </w:r>
    </w:p>
    <w:p w14:paraId="0FB4D157" w14:textId="46216D01" w:rsidR="003E0E13" w:rsidRPr="005404A9" w:rsidRDefault="003E0E13" w:rsidP="00CF0002">
      <w:pPr>
        <w:pStyle w:val="SyllabusHeading2"/>
      </w:pPr>
      <w:bookmarkStart w:id="0" w:name="_Toc359505483"/>
      <w:bookmarkStart w:id="1" w:name="_Toc359503791"/>
      <w:r w:rsidRPr="005404A9">
        <w:t>Assessment table</w:t>
      </w:r>
      <w:bookmarkEnd w:id="0"/>
      <w:bookmarkEnd w:id="1"/>
      <w:r w:rsidRPr="005404A9">
        <w:t xml:space="preserve"> – Year 1</w:t>
      </w:r>
      <w:r w:rsidR="00860522">
        <w:t>1</w:t>
      </w:r>
    </w:p>
    <w:tbl>
      <w:tblPr>
        <w:tblStyle w:val="SyllabusTable"/>
        <w:tblW w:w="5000" w:type="pct"/>
        <w:tblLayout w:type="fixed"/>
        <w:tblLook w:val="00A0" w:firstRow="1" w:lastRow="0" w:firstColumn="1" w:lastColumn="0" w:noHBand="0" w:noVBand="0"/>
      </w:tblPr>
      <w:tblGrid>
        <w:gridCol w:w="7451"/>
        <w:gridCol w:w="1565"/>
      </w:tblGrid>
      <w:tr w:rsidR="003E0E13" w:rsidRPr="00293088" w14:paraId="09D61739" w14:textId="77777777" w:rsidTr="00ED30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185" w:type="dxa"/>
            <w:vAlign w:val="center"/>
            <w:hideMark/>
          </w:tcPr>
          <w:p w14:paraId="26CFA404" w14:textId="77777777" w:rsidR="003E0E13" w:rsidRPr="00293088" w:rsidRDefault="003E0E13" w:rsidP="00ED302E">
            <w:pPr>
              <w:spacing w:line="240" w:lineRule="auto"/>
            </w:pPr>
            <w:r w:rsidRPr="00293088">
              <w:t>Type of assessment</w:t>
            </w:r>
          </w:p>
        </w:tc>
        <w:tc>
          <w:tcPr>
            <w:tcW w:w="1700" w:type="dxa"/>
            <w:vAlign w:val="center"/>
            <w:hideMark/>
          </w:tcPr>
          <w:p w14:paraId="06D3E3C8" w14:textId="77777777" w:rsidR="003E0E13" w:rsidRPr="00293088" w:rsidRDefault="003E0E13" w:rsidP="00ED302E">
            <w:pPr>
              <w:spacing w:line="240" w:lineRule="auto"/>
              <w:jc w:val="center"/>
            </w:pPr>
            <w:r w:rsidRPr="00293088">
              <w:t>Weighting</w:t>
            </w:r>
          </w:p>
        </w:tc>
      </w:tr>
      <w:tr w:rsidR="000D6419" w:rsidRPr="000D6419" w14:paraId="57A9A787" w14:textId="77777777" w:rsidTr="00A10C98">
        <w:tc>
          <w:tcPr>
            <w:tcW w:w="8185" w:type="dxa"/>
            <w:hideMark/>
          </w:tcPr>
          <w:p w14:paraId="75459595" w14:textId="77777777" w:rsidR="003E0E13" w:rsidRPr="000D6419" w:rsidRDefault="003E0E13" w:rsidP="00511B80">
            <w:pPr>
              <w:rPr>
                <w:b/>
                <w:bCs/>
                <w:szCs w:val="20"/>
              </w:rPr>
            </w:pPr>
            <w:r w:rsidRPr="000D6419">
              <w:rPr>
                <w:b/>
                <w:bCs/>
                <w:szCs w:val="20"/>
              </w:rPr>
              <w:t>Response</w:t>
            </w:r>
          </w:p>
          <w:p w14:paraId="511D7328" w14:textId="77777777" w:rsidR="003E0E13" w:rsidRPr="000D6419" w:rsidRDefault="003E0E13" w:rsidP="00A10C98">
            <w:pPr>
              <w:spacing w:after="120"/>
              <w:rPr>
                <w:bCs/>
                <w:strike/>
                <w:szCs w:val="20"/>
              </w:rPr>
            </w:pPr>
            <w:r w:rsidRPr="000D6419">
              <w:rPr>
                <w:strike/>
                <w:szCs w:val="20"/>
              </w:rPr>
              <w:t xml:space="preserve">Students respond using knowledge of mathematical facts, concepts and terminology, applying problem-solving skills and algorithms. Response tasks can </w:t>
            </w:r>
            <w:proofErr w:type="gramStart"/>
            <w:r w:rsidRPr="000D6419">
              <w:rPr>
                <w:strike/>
                <w:szCs w:val="20"/>
              </w:rPr>
              <w:t>include:</w:t>
            </w:r>
            <w:proofErr w:type="gramEnd"/>
            <w:r w:rsidRPr="000D6419">
              <w:rPr>
                <w:strike/>
                <w:szCs w:val="20"/>
              </w:rPr>
              <w:t xml:space="preserve"> tests, assignments, quizzes and observation checklists. Tests are administered under controlled and timed conditions.</w:t>
            </w:r>
          </w:p>
          <w:p w14:paraId="3B7C2734" w14:textId="0D7DC5A3" w:rsidR="003E0E13" w:rsidRPr="000D6419" w:rsidRDefault="003E0E13" w:rsidP="003E0E13">
            <w:pPr>
              <w:pStyle w:val="NoSpacing"/>
              <w:rPr>
                <w:b/>
                <w:bCs/>
                <w:i/>
                <w:iCs/>
              </w:rPr>
            </w:pPr>
            <w:r w:rsidRPr="000D6419">
              <w:rPr>
                <w:i/>
                <w:iCs/>
              </w:rPr>
              <w:t xml:space="preserve">Students apply mathematical knowledge and understanding of concepts, techniques and relationships to solve a mix of routine and non-routine questions, demonstrating their interpretation of concepts and results in applied and theoretical contexts. Response tasks can </w:t>
            </w:r>
            <w:proofErr w:type="gramStart"/>
            <w:r w:rsidRPr="000D6419">
              <w:rPr>
                <w:i/>
                <w:iCs/>
              </w:rPr>
              <w:t>include:</w:t>
            </w:r>
            <w:proofErr w:type="gramEnd"/>
            <w:r w:rsidRPr="000D6419">
              <w:rPr>
                <w:i/>
                <w:iCs/>
              </w:rPr>
              <w:t xml:space="preserve"> tests, assignments and multimedia representations.</w:t>
            </w:r>
          </w:p>
          <w:p w14:paraId="098877F5" w14:textId="37727360" w:rsidR="003E0E13" w:rsidRPr="000D6419" w:rsidRDefault="003E0E13" w:rsidP="00511B80">
            <w:pPr>
              <w:rPr>
                <w:b/>
                <w:i/>
                <w:szCs w:val="20"/>
              </w:rPr>
            </w:pPr>
          </w:p>
        </w:tc>
        <w:tc>
          <w:tcPr>
            <w:tcW w:w="1700" w:type="dxa"/>
            <w:vAlign w:val="center"/>
            <w:hideMark/>
          </w:tcPr>
          <w:p w14:paraId="536EAB2C" w14:textId="77777777" w:rsidR="003E0E13" w:rsidRPr="000D6419" w:rsidRDefault="003E0E13" w:rsidP="00A10C98">
            <w:pPr>
              <w:jc w:val="center"/>
              <w:rPr>
                <w:szCs w:val="20"/>
              </w:rPr>
            </w:pPr>
            <w:r w:rsidRPr="000D6419">
              <w:rPr>
                <w:rFonts w:cstheme="minorHAnsi"/>
                <w:szCs w:val="20"/>
              </w:rPr>
              <w:t>40%</w:t>
            </w:r>
          </w:p>
        </w:tc>
      </w:tr>
    </w:tbl>
    <w:p w14:paraId="7966378D" w14:textId="77777777" w:rsidR="003E0E13" w:rsidRPr="000D6419" w:rsidRDefault="003E0E13" w:rsidP="003E0E13">
      <w:pPr>
        <w:pStyle w:val="NormalWeb"/>
        <w:tabs>
          <w:tab w:val="right" w:pos="9930"/>
        </w:tabs>
        <w:spacing w:before="0" w:beforeAutospacing="0" w:after="120" w:afterAutospacing="0" w:line="276" w:lineRule="auto"/>
        <w:ind w:left="709" w:hanging="709"/>
        <w:rPr>
          <w:rFonts w:ascii="Calibri" w:hAnsi="Calibri" w:cstheme="minorHAnsi"/>
          <w:sz w:val="22"/>
          <w:szCs w:val="22"/>
          <w:lang w:val="en"/>
        </w:rPr>
      </w:pPr>
    </w:p>
    <w:p w14:paraId="3B477440" w14:textId="77777777" w:rsidR="00860522" w:rsidRPr="000D6419" w:rsidRDefault="00860522" w:rsidP="00860522">
      <w:pPr>
        <w:tabs>
          <w:tab w:val="left" w:pos="360"/>
        </w:tabs>
        <w:spacing w:after="120"/>
        <w:rPr>
          <w:rFonts w:ascii="Calibri" w:hAnsi="Calibri"/>
        </w:rPr>
      </w:pPr>
      <w:r w:rsidRPr="000D6419">
        <w:rPr>
          <w:rFonts w:ascii="Calibri" w:hAnsi="Calibri"/>
        </w:rPr>
        <w:t>Appendix 1 - Grade descriptions Year 11 have been reworded to improve clarity with no change in standard.</w:t>
      </w:r>
    </w:p>
    <w:sectPr w:rsidR="00860522" w:rsidRPr="000D6419" w:rsidSect="00A10C98">
      <w:headerReference w:type="default" r:id="rId7"/>
      <w:footerReference w:type="default" r:id="rId8"/>
      <w:pgSz w:w="11906" w:h="16838"/>
      <w:pgMar w:top="1440" w:right="1440" w:bottom="1440" w:left="1440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372FA" w14:textId="77777777" w:rsidR="002C3BFF" w:rsidRDefault="002C3BFF" w:rsidP="00A720A0">
      <w:r>
        <w:separator/>
      </w:r>
    </w:p>
  </w:endnote>
  <w:endnote w:type="continuationSeparator" w:id="0">
    <w:p w14:paraId="50047DF0" w14:textId="77777777" w:rsidR="002C3BFF" w:rsidRDefault="002C3BFF" w:rsidP="00A7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AE67A7" w14:textId="18D510BA" w:rsidR="00A720A0" w:rsidRPr="00A10C98" w:rsidRDefault="00A720A0" w:rsidP="00A10C98">
    <w:pPr>
      <w:pStyle w:val="Footereven"/>
    </w:pPr>
    <w:r w:rsidRPr="00A10C98">
      <w:t>202</w:t>
    </w:r>
    <w:r w:rsidR="0009075C" w:rsidRPr="00A10C98">
      <w:t>4</w:t>
    </w:r>
    <w:r w:rsidRPr="00A10C98">
      <w:t>/</w:t>
    </w:r>
    <w:r w:rsidR="0009075C" w:rsidRPr="00A10C98">
      <w:t>42039</w:t>
    </w:r>
    <w:r w:rsidR="00A10C98">
      <w:t>[v2]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38FDBF" w14:textId="77777777" w:rsidR="002C3BFF" w:rsidRDefault="002C3BFF" w:rsidP="00A720A0">
      <w:r>
        <w:separator/>
      </w:r>
    </w:p>
  </w:footnote>
  <w:footnote w:type="continuationSeparator" w:id="0">
    <w:p w14:paraId="055374DB" w14:textId="77777777" w:rsidR="002C3BFF" w:rsidRDefault="002C3BFF" w:rsidP="00A7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84B06" w14:textId="2E4696D6" w:rsidR="00A720A0" w:rsidRPr="00A720A0" w:rsidRDefault="00A720A0" w:rsidP="001D1CE6">
    <w:pPr>
      <w:spacing w:after="120" w:line="257" w:lineRule="auto"/>
      <w:rPr>
        <w:b/>
      </w:rPr>
    </w:pPr>
    <w:r w:rsidRPr="00871FC2">
      <w:rPr>
        <w:b/>
      </w:rPr>
      <w:t xml:space="preserve">School administrators, Heads of Learning Area – </w:t>
    </w:r>
    <w:r>
      <w:rPr>
        <w:b/>
      </w:rPr>
      <w:t>Mathematics</w:t>
    </w:r>
    <w:r w:rsidRPr="00871FC2">
      <w:rPr>
        <w:b/>
      </w:rPr>
      <w:t xml:space="preserve"> and teachers of </w:t>
    </w:r>
    <w:r>
      <w:rPr>
        <w:b/>
      </w:rPr>
      <w:t xml:space="preserve">Mathematics </w:t>
    </w:r>
    <w:r w:rsidR="005009A9">
      <w:rPr>
        <w:b/>
      </w:rPr>
      <w:t>Specialist</w:t>
    </w:r>
    <w:r>
      <w:rPr>
        <w:b/>
      </w:rPr>
      <w:t xml:space="preserve"> ATAR</w:t>
    </w:r>
    <w:r w:rsidRPr="00871FC2">
      <w:rPr>
        <w:b/>
      </w:rPr>
      <w:t xml:space="preserve"> </w:t>
    </w:r>
    <w:r>
      <w:rPr>
        <w:b/>
      </w:rPr>
      <w:t>Year 1</w:t>
    </w:r>
    <w:r w:rsidR="00860522">
      <w:rPr>
        <w:b/>
      </w:rPr>
      <w:t>1</w:t>
    </w:r>
    <w:r>
      <w:rPr>
        <w:b/>
      </w:rPr>
      <w:t xml:space="preserve"> </w:t>
    </w:r>
    <w:r w:rsidRPr="00871FC2">
      <w:rPr>
        <w:b/>
      </w:rPr>
      <w:t>are requested to note for 202</w:t>
    </w:r>
    <w:r w:rsidR="006754A1">
      <w:rPr>
        <w:b/>
      </w:rPr>
      <w:t>5</w:t>
    </w:r>
    <w:r w:rsidRPr="00871FC2">
      <w:rPr>
        <w:b/>
      </w:rPr>
      <w:t xml:space="preserve"> the following minor syllabus changes. The syllabus is labelled as ‘For teaching from 202</w:t>
    </w:r>
    <w:r w:rsidR="006754A1">
      <w:rPr>
        <w:b/>
      </w:rPr>
      <w:t>5</w:t>
    </w:r>
    <w:r w:rsidRPr="00871FC2">
      <w:rPr>
        <w:b/>
      </w:rPr>
      <w:t>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73120"/>
    <w:multiLevelType w:val="hybridMultilevel"/>
    <w:tmpl w:val="C0FADE1A"/>
    <w:lvl w:ilvl="0" w:tplc="7F08CC5C">
      <w:start w:val="1"/>
      <w:numFmt w:val="bullet"/>
      <w:pStyle w:val="ListParagraphSyllabusChang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E2F01F7"/>
    <w:multiLevelType w:val="multilevel"/>
    <w:tmpl w:val="1A4884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2C8696C"/>
    <w:multiLevelType w:val="multilevel"/>
    <w:tmpl w:val="60AE8AC8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7B860E41"/>
    <w:multiLevelType w:val="hybridMultilevel"/>
    <w:tmpl w:val="66C87B1A"/>
    <w:lvl w:ilvl="0" w:tplc="2DB6F6EC">
      <w:start w:val="1"/>
      <w:numFmt w:val="bullet"/>
      <w:pStyle w:val="ContentDescripti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4010904">
    <w:abstractNumId w:val="1"/>
  </w:num>
  <w:num w:numId="2" w16cid:durableId="2095321502">
    <w:abstractNumId w:val="3"/>
  </w:num>
  <w:num w:numId="3" w16cid:durableId="1337264660">
    <w:abstractNumId w:val="2"/>
  </w:num>
  <w:num w:numId="4" w16cid:durableId="19101169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ED7"/>
    <w:rsid w:val="000818D5"/>
    <w:rsid w:val="0009075C"/>
    <w:rsid w:val="0009709A"/>
    <w:rsid w:val="000A297C"/>
    <w:rsid w:val="000C1C0F"/>
    <w:rsid w:val="000D6419"/>
    <w:rsid w:val="001464C2"/>
    <w:rsid w:val="00174B25"/>
    <w:rsid w:val="001864B4"/>
    <w:rsid w:val="001A13BD"/>
    <w:rsid w:val="001B1F40"/>
    <w:rsid w:val="001B2BE2"/>
    <w:rsid w:val="001D1CE6"/>
    <w:rsid w:val="001E06F4"/>
    <w:rsid w:val="001F2FD8"/>
    <w:rsid w:val="00223480"/>
    <w:rsid w:val="00272F4C"/>
    <w:rsid w:val="00281A7E"/>
    <w:rsid w:val="002B2EAC"/>
    <w:rsid w:val="002C3BFF"/>
    <w:rsid w:val="002D74DA"/>
    <w:rsid w:val="002F6372"/>
    <w:rsid w:val="003153D1"/>
    <w:rsid w:val="00336D7F"/>
    <w:rsid w:val="003C62C7"/>
    <w:rsid w:val="003D3ED7"/>
    <w:rsid w:val="003E0E13"/>
    <w:rsid w:val="003E2D84"/>
    <w:rsid w:val="00432626"/>
    <w:rsid w:val="00486B20"/>
    <w:rsid w:val="004D71B5"/>
    <w:rsid w:val="005009A9"/>
    <w:rsid w:val="005A0780"/>
    <w:rsid w:val="00622952"/>
    <w:rsid w:val="006641C2"/>
    <w:rsid w:val="006754A1"/>
    <w:rsid w:val="00681FEB"/>
    <w:rsid w:val="006E12D1"/>
    <w:rsid w:val="007075C0"/>
    <w:rsid w:val="00777C4D"/>
    <w:rsid w:val="007C21BC"/>
    <w:rsid w:val="007F28CE"/>
    <w:rsid w:val="00860522"/>
    <w:rsid w:val="0089280D"/>
    <w:rsid w:val="00897F0A"/>
    <w:rsid w:val="00954C61"/>
    <w:rsid w:val="009A03CD"/>
    <w:rsid w:val="009A25DD"/>
    <w:rsid w:val="009D77B3"/>
    <w:rsid w:val="00A022B2"/>
    <w:rsid w:val="00A03A4A"/>
    <w:rsid w:val="00A10C98"/>
    <w:rsid w:val="00A532C4"/>
    <w:rsid w:val="00A720A0"/>
    <w:rsid w:val="00B249BC"/>
    <w:rsid w:val="00BD742E"/>
    <w:rsid w:val="00C22FDE"/>
    <w:rsid w:val="00C44B5A"/>
    <w:rsid w:val="00CD5471"/>
    <w:rsid w:val="00CF0002"/>
    <w:rsid w:val="00D00D3C"/>
    <w:rsid w:val="00D01B48"/>
    <w:rsid w:val="00DA6953"/>
    <w:rsid w:val="00EA3C47"/>
    <w:rsid w:val="00ED302E"/>
    <w:rsid w:val="00F370B0"/>
    <w:rsid w:val="00F651DF"/>
    <w:rsid w:val="00FD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B9DBF7"/>
  <w15:chartTrackingRefBased/>
  <w15:docId w15:val="{01543544-7216-41F8-8E52-7728FC6DB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002"/>
  </w:style>
  <w:style w:type="paragraph" w:styleId="Heading4">
    <w:name w:val="heading 4"/>
    <w:basedOn w:val="NoSpacing"/>
    <w:next w:val="Normal"/>
    <w:link w:val="Heading4Char"/>
    <w:uiPriority w:val="9"/>
    <w:unhideWhenUsed/>
    <w:qFormat/>
    <w:rsid w:val="0009709A"/>
    <w:pPr>
      <w:spacing w:before="120" w:after="120" w:line="276" w:lineRule="auto"/>
      <w:outlineLvl w:val="3"/>
    </w:pPr>
    <w:rPr>
      <w:rFonts w:ascii="Calibri" w:eastAsia="Calibri" w:hAnsi="Calibri" w:cs="Calibri"/>
      <w:b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D3ED7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3D3ED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720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20A0"/>
  </w:style>
  <w:style w:type="paragraph" w:styleId="Footer">
    <w:name w:val="footer"/>
    <w:basedOn w:val="Normal"/>
    <w:link w:val="FooterChar"/>
    <w:uiPriority w:val="99"/>
    <w:unhideWhenUsed/>
    <w:rsid w:val="00A720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20A0"/>
  </w:style>
  <w:style w:type="paragraph" w:customStyle="1" w:styleId="ContentDescription">
    <w:name w:val="Content Description"/>
    <w:basedOn w:val="Normal"/>
    <w:qFormat/>
    <w:rsid w:val="00486B20"/>
    <w:pPr>
      <w:numPr>
        <w:numId w:val="2"/>
      </w:numPr>
      <w:spacing w:before="120" w:after="120" w:line="276" w:lineRule="auto"/>
    </w:pPr>
    <w:rPr>
      <w:rFonts w:eastAsia="Times New Roman" w:cs="Arial"/>
      <w:iCs/>
      <w:lang w:eastAsia="en-AU"/>
    </w:rPr>
  </w:style>
  <w:style w:type="table" w:styleId="LightList-Accent4">
    <w:name w:val="Light List Accent 4"/>
    <w:aliases w:val="Syllabus tables"/>
    <w:basedOn w:val="TableNormal"/>
    <w:uiPriority w:val="61"/>
    <w:rsid w:val="00EA3C47"/>
    <w:rPr>
      <w:rFonts w:ascii="Arial" w:eastAsiaTheme="minorEastAsia" w:hAnsi="Arial"/>
      <w:sz w:val="18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shd w:val="clear" w:color="auto" w:fill="FFC000" w:themeFill="accent4"/>
        <w:vAlign w:val="center"/>
      </w:tcPr>
    </w:tblStylePr>
    <w:tblStylePr w:type="lastRow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Arial" w:hAnsi="Arial"/>
        <w:b/>
        <w:bCs/>
        <w:sz w:val="20"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18"/>
      </w:rPr>
      <w:tblPr/>
      <w:tcPr>
        <w:vAlign w:val="center"/>
      </w:tcPr>
    </w:tblStylePr>
    <w:tblStylePr w:type="lastCol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Arial" w:hAnsi="Arial"/>
        <w:b/>
        <w:bCs/>
        <w:sz w:val="20"/>
      </w:rPr>
      <w:tblPr/>
      <w:tcPr>
        <w:vAlign w:val="center"/>
      </w:tcPr>
    </w:tblStylePr>
    <w:tblStylePr w:type="band1Vert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Vert">
      <w:pPr>
        <w:wordWrap/>
        <w:spacing w:beforeLines="0" w:before="40" w:beforeAutospacing="0" w:afterLines="0" w:after="40" w:afterAutospacing="0" w:line="240" w:lineRule="auto"/>
        <w:jc w:val="left"/>
      </w:pPr>
    </w:tblStylePr>
    <w:tblStylePr w:type="band1Horz">
      <w:pPr>
        <w:wordWrap/>
        <w:spacing w:beforeLines="0" w:before="40" w:beforeAutospacing="0" w:afterLines="0" w:after="40" w:afterAutospacing="0" w:line="240" w:lineRule="auto"/>
        <w:jc w:val="left"/>
      </w:p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2Horz">
      <w:pPr>
        <w:wordWrap/>
        <w:spacing w:beforeLines="0" w:before="40" w:beforeAutospacing="0" w:afterLines="0" w:after="40" w:afterAutospacing="0" w:line="240" w:lineRule="auto"/>
        <w:jc w:val="left"/>
      </w:pPr>
    </w:tblStylePr>
  </w:style>
  <w:style w:type="paragraph" w:customStyle="1" w:styleId="SyllabusHeading2">
    <w:name w:val="Syllabus Heading 2"/>
    <w:basedOn w:val="Normal"/>
    <w:qFormat/>
    <w:rsid w:val="00EA3C47"/>
    <w:pPr>
      <w:spacing w:before="240" w:after="120" w:line="276" w:lineRule="auto"/>
      <w:outlineLvl w:val="1"/>
    </w:pPr>
    <w:rPr>
      <w:rFonts w:ascii="Calibri" w:eastAsiaTheme="minorEastAsia" w:hAnsi="Calibri"/>
      <w:b/>
      <w:color w:val="595959" w:themeColor="text1" w:themeTint="A6"/>
      <w:sz w:val="32"/>
    </w:rPr>
  </w:style>
  <w:style w:type="paragraph" w:customStyle="1" w:styleId="SyllabusHeading3">
    <w:name w:val="Syllabus Heading 3"/>
    <w:basedOn w:val="Normal"/>
    <w:qFormat/>
    <w:rsid w:val="0009709A"/>
    <w:pPr>
      <w:spacing w:before="120" w:after="120" w:line="276" w:lineRule="auto"/>
      <w:outlineLvl w:val="2"/>
    </w:pPr>
    <w:rPr>
      <w:rFonts w:ascii="Calibri" w:eastAsiaTheme="minorEastAsia" w:hAnsi="Calibri"/>
      <w:b/>
      <w:color w:val="595959" w:themeColor="text1" w:themeTint="A6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709A"/>
    <w:rPr>
      <w:rFonts w:ascii="Calibri" w:eastAsia="Calibri" w:hAnsi="Calibri" w:cs="Calibri"/>
      <w:b/>
      <w:lang w:val="en"/>
    </w:rPr>
  </w:style>
  <w:style w:type="paragraph" w:styleId="NoSpacing">
    <w:name w:val="No Spacing"/>
    <w:uiPriority w:val="1"/>
    <w:qFormat/>
    <w:rsid w:val="0009709A"/>
  </w:style>
  <w:style w:type="paragraph" w:styleId="NormalWeb">
    <w:name w:val="Normal (Web)"/>
    <w:basedOn w:val="Normal"/>
    <w:uiPriority w:val="99"/>
    <w:unhideWhenUsed/>
    <w:rsid w:val="003E0E1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Paragraph">
    <w:name w:val="Paragraph"/>
    <w:basedOn w:val="Normal"/>
    <w:link w:val="ParagraphChar"/>
    <w:qFormat/>
    <w:rsid w:val="005009A9"/>
    <w:pPr>
      <w:spacing w:before="120" w:after="120" w:line="276" w:lineRule="auto"/>
    </w:pPr>
    <w:rPr>
      <w:rFonts w:ascii="Arial" w:hAnsi="Arial" w:cs="Arial"/>
      <w:color w:val="595959" w:themeColor="text1" w:themeTint="A6"/>
      <w:lang w:eastAsia="en-AU"/>
    </w:rPr>
  </w:style>
  <w:style w:type="character" w:customStyle="1" w:styleId="ParagraphChar">
    <w:name w:val="Paragraph Char"/>
    <w:basedOn w:val="DefaultParagraphFont"/>
    <w:link w:val="Paragraph"/>
    <w:locked/>
    <w:rsid w:val="005009A9"/>
    <w:rPr>
      <w:rFonts w:ascii="Arial" w:hAnsi="Arial" w:cs="Arial"/>
      <w:color w:val="595959" w:themeColor="text1" w:themeTint="A6"/>
      <w:lang w:eastAsia="en-AU"/>
    </w:rPr>
  </w:style>
  <w:style w:type="character" w:customStyle="1" w:styleId="code">
    <w:name w:val="code"/>
    <w:basedOn w:val="DefaultParagraphFont"/>
    <w:rsid w:val="005009A9"/>
    <w:rPr>
      <w:color w:val="ABABAB"/>
    </w:rPr>
  </w:style>
  <w:style w:type="paragraph" w:customStyle="1" w:styleId="Heading1SyllabusChanges">
    <w:name w:val="Heading 1_Syllabus Changes"/>
    <w:qFormat/>
    <w:rsid w:val="00CF0002"/>
    <w:pPr>
      <w:spacing w:after="120" w:line="276" w:lineRule="auto"/>
      <w:outlineLvl w:val="0"/>
    </w:pPr>
    <w:rPr>
      <w:rFonts w:ascii="Calibri" w:hAnsi="Calibri" w:cs="Calibri"/>
      <w:b/>
      <w:bCs/>
      <w:kern w:val="2"/>
      <w:lang w:val="en-US"/>
      <w14:ligatures w14:val="standardContextual"/>
    </w:rPr>
  </w:style>
  <w:style w:type="paragraph" w:customStyle="1" w:styleId="Heading2SyllabusChanges">
    <w:name w:val="Heading 2_Syllabus Changes"/>
    <w:basedOn w:val="Heading1SyllabusChanges"/>
    <w:qFormat/>
    <w:rsid w:val="00CF0002"/>
    <w:pPr>
      <w:outlineLvl w:val="1"/>
    </w:pPr>
    <w:rPr>
      <w:bCs w:val="0"/>
    </w:rPr>
  </w:style>
  <w:style w:type="paragraph" w:customStyle="1" w:styleId="Heading3SyllabusChanges">
    <w:name w:val="Heading 3_Syllabus Changes"/>
    <w:basedOn w:val="Heading2SyllabusChanges"/>
    <w:qFormat/>
    <w:rsid w:val="00CF0002"/>
  </w:style>
  <w:style w:type="paragraph" w:customStyle="1" w:styleId="ListParagraphSyllabusChanges">
    <w:name w:val="List Paragraph_Syllabus Changes"/>
    <w:basedOn w:val="Normal"/>
    <w:qFormat/>
    <w:rsid w:val="00CF0002"/>
    <w:pPr>
      <w:numPr>
        <w:numId w:val="4"/>
      </w:numPr>
      <w:spacing w:after="120" w:line="276" w:lineRule="auto"/>
    </w:pPr>
    <w:rPr>
      <w:rFonts w:ascii="Calibri" w:hAnsi="Calibri"/>
      <w:kern w:val="2"/>
      <w:lang w:val="en-US"/>
      <w14:ligatures w14:val="standardContextual"/>
    </w:rPr>
  </w:style>
  <w:style w:type="paragraph" w:customStyle="1" w:styleId="SubHeading1SyllabusChanges">
    <w:name w:val="SubHeading 1_Syllabus Changes"/>
    <w:basedOn w:val="Heading3SyllabusChanges"/>
    <w:qFormat/>
    <w:rsid w:val="00CF0002"/>
    <w:pPr>
      <w:outlineLvl w:val="2"/>
    </w:pPr>
    <w:rPr>
      <w:bCs/>
    </w:rPr>
  </w:style>
  <w:style w:type="paragraph" w:customStyle="1" w:styleId="SubHeading2SyllabusChanges">
    <w:name w:val="SubHeading 2_Syllabus Changes"/>
    <w:basedOn w:val="SubHeading1SyllabusChanges"/>
    <w:qFormat/>
    <w:rsid w:val="00CF0002"/>
    <w:pPr>
      <w:spacing w:before="120"/>
      <w:outlineLvl w:val="3"/>
    </w:pPr>
    <w:rPr>
      <w:bCs w:val="0"/>
    </w:rPr>
  </w:style>
  <w:style w:type="paragraph" w:customStyle="1" w:styleId="SubHeading3SyllabusChanges">
    <w:name w:val="SubHeading 3_Syllabus Changes"/>
    <w:basedOn w:val="SubHeading2SyllabusChanges"/>
    <w:qFormat/>
    <w:rsid w:val="00CF0002"/>
    <w:pPr>
      <w:outlineLvl w:val="4"/>
    </w:pPr>
    <w:rPr>
      <w:bCs/>
    </w:rPr>
  </w:style>
  <w:style w:type="table" w:customStyle="1" w:styleId="SyllabusTable">
    <w:name w:val="Syllabus Table"/>
    <w:basedOn w:val="TableNormal"/>
    <w:uiPriority w:val="99"/>
    <w:rsid w:val="00A10C98"/>
    <w:pPr>
      <w:spacing w:line="276" w:lineRule="auto"/>
    </w:pPr>
    <w:rPr>
      <w:rFonts w:ascii="Calibri" w:eastAsiaTheme="minorEastAsia" w:hAnsi="Calibri"/>
      <w:sz w:val="20"/>
    </w:rPr>
    <w:tblPr>
      <w:tblBorders>
        <w:top w:val="single" w:sz="4" w:space="0" w:color="9983B5"/>
        <w:left w:val="single" w:sz="4" w:space="0" w:color="9983B5"/>
        <w:bottom w:val="single" w:sz="4" w:space="0" w:color="9983B5"/>
        <w:right w:val="single" w:sz="4" w:space="0" w:color="9983B5"/>
        <w:insideH w:val="single" w:sz="4" w:space="0" w:color="9983B5"/>
        <w:insideV w:val="single" w:sz="4" w:space="0" w:color="9983B5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b/>
        <w:color w:val="FFFFFF" w:themeColor="background1"/>
      </w:rPr>
      <w:tblPr/>
      <w:trPr>
        <w:cantSplit/>
        <w:tblHeader/>
      </w:trPr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9983B5"/>
      </w:tcPr>
    </w:tblStylePr>
  </w:style>
  <w:style w:type="paragraph" w:customStyle="1" w:styleId="Footereven">
    <w:name w:val="Footer even"/>
    <w:basedOn w:val="Normal"/>
    <w:qFormat/>
    <w:rsid w:val="00A10C98"/>
    <w:pPr>
      <w:pBdr>
        <w:top w:val="single" w:sz="4" w:space="4" w:color="580F8B"/>
      </w:pBdr>
    </w:pPr>
    <w:rPr>
      <w:rFonts w:eastAsiaTheme="minorEastAsia" w:cs="Times New Roman"/>
      <w:b/>
      <w:noProof/>
      <w:color w:val="580F8B"/>
      <w:sz w:val="18"/>
      <w:szCs w:val="18"/>
      <w:lang w:eastAsia="en-AU"/>
    </w:rPr>
  </w:style>
  <w:style w:type="paragraph" w:customStyle="1" w:styleId="Footerodd">
    <w:name w:val="Footer odd"/>
    <w:basedOn w:val="Normal"/>
    <w:qFormat/>
    <w:rsid w:val="00A10C98"/>
    <w:pPr>
      <w:pBdr>
        <w:top w:val="single" w:sz="4" w:space="4" w:color="580F8B"/>
      </w:pBdr>
      <w:jc w:val="right"/>
    </w:pPr>
    <w:rPr>
      <w:rFonts w:eastAsiaTheme="minorEastAsia" w:cs="Times New Roman"/>
      <w:b/>
      <w:noProof/>
      <w:color w:val="580F8B"/>
      <w:sz w:val="18"/>
      <w:szCs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Hudson</dc:creator>
  <cp:keywords/>
  <dc:description/>
  <cp:lastModifiedBy>Iyleen Vickers</cp:lastModifiedBy>
  <cp:revision>9</cp:revision>
  <cp:lastPrinted>2024-07-23T06:56:00Z</cp:lastPrinted>
  <dcterms:created xsi:type="dcterms:W3CDTF">2024-06-12T07:55:00Z</dcterms:created>
  <dcterms:modified xsi:type="dcterms:W3CDTF">2024-07-23T07:01:00Z</dcterms:modified>
</cp:coreProperties>
</file>