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F82CD" w14:textId="774441D6" w:rsidR="003D3ED7" w:rsidRDefault="001D1CE6" w:rsidP="004776E3">
      <w:pPr>
        <w:pStyle w:val="Heading1SyllabusChanges"/>
      </w:pPr>
      <w:r>
        <w:t>Mathematics</w:t>
      </w:r>
      <w:r w:rsidR="00681FEB">
        <w:t xml:space="preserve"> </w:t>
      </w:r>
      <w:r w:rsidR="00331F1C">
        <w:t>Specialist</w:t>
      </w:r>
      <w:r>
        <w:t xml:space="preserve"> | ATAR</w:t>
      </w:r>
      <w:r w:rsidRPr="00871FC2">
        <w:t xml:space="preserve"> </w:t>
      </w:r>
      <w:r>
        <w:t>Year 1</w:t>
      </w:r>
      <w:r w:rsidR="00D00D3C">
        <w:t>2</w:t>
      </w:r>
      <w:r>
        <w:t xml:space="preserve"> | </w:t>
      </w:r>
      <w:r w:rsidRPr="007C21BC">
        <w:t>S</w:t>
      </w:r>
      <w:r>
        <w:t>ummary of minor s</w:t>
      </w:r>
      <w:r w:rsidRPr="007C21BC">
        <w:t>yllabus changes</w:t>
      </w:r>
      <w:r>
        <w:t xml:space="preserve"> for 202</w:t>
      </w:r>
      <w:r w:rsidR="006754A1">
        <w:t>5</w:t>
      </w:r>
    </w:p>
    <w:p w14:paraId="629E9754" w14:textId="756777F1" w:rsidR="001D1CE6" w:rsidRDefault="001D1CE6" w:rsidP="001D1CE6">
      <w:pPr>
        <w:tabs>
          <w:tab w:val="left" w:pos="360"/>
        </w:tabs>
        <w:spacing w:after="120"/>
      </w:pPr>
      <w:r w:rsidRPr="006B3D54">
        <w:t xml:space="preserve">The content identified by </w:t>
      </w:r>
      <w:r w:rsidRPr="006B3D54">
        <w:rPr>
          <w:strike/>
        </w:rPr>
        <w:t>strikethrough</w:t>
      </w:r>
      <w:r w:rsidRPr="006B3D54">
        <w:t xml:space="preserve"> has been deleted from the syllabus</w:t>
      </w:r>
      <w:r>
        <w:t>.</w:t>
      </w:r>
      <w:r w:rsidR="0009709A">
        <w:t xml:space="preserve"> The content in italics has been included.</w:t>
      </w:r>
    </w:p>
    <w:p w14:paraId="101EED2D" w14:textId="2A271ACC" w:rsidR="00946324" w:rsidRDefault="00946324" w:rsidP="004776E3">
      <w:pPr>
        <w:spacing w:after="120" w:line="276" w:lineRule="auto"/>
        <w:ind w:left="709" w:hanging="709"/>
        <w:rPr>
          <w:rFonts w:eastAsia="Times New Roman" w:cs="Calibri"/>
          <w:color w:val="000000" w:themeColor="text1"/>
          <w:lang w:val="en" w:eastAsia="en-AU"/>
        </w:rPr>
      </w:pPr>
      <w:r>
        <w:rPr>
          <w:rFonts w:eastAsia="Times New Roman" w:cs="Calibri"/>
          <w:color w:val="000000" w:themeColor="text1"/>
          <w:lang w:val="en" w:eastAsia="en-AU"/>
        </w:rPr>
        <w:t>3.1.7</w:t>
      </w:r>
      <w:r>
        <w:rPr>
          <w:rFonts w:eastAsia="Times New Roman" w:cs="Calibri"/>
          <w:color w:val="000000" w:themeColor="text1"/>
          <w:lang w:val="en" w:eastAsia="en-AU"/>
        </w:rPr>
        <w:tab/>
        <w:t xml:space="preserve">prove and use de Moivre’s theorem </w:t>
      </w:r>
      <w:r w:rsidRPr="00946324">
        <w:rPr>
          <w:rFonts w:eastAsia="Times New Roman" w:cs="Calibri"/>
          <w:strike/>
          <w:color w:val="000000" w:themeColor="text1"/>
          <w:lang w:val="en" w:eastAsia="en-AU"/>
        </w:rPr>
        <w:t>for integral powers</w:t>
      </w:r>
    </w:p>
    <w:p w14:paraId="4BF0B566" w14:textId="7E64542D" w:rsidR="00946324" w:rsidRDefault="00946324" w:rsidP="004776E3">
      <w:pPr>
        <w:spacing w:after="120" w:line="276" w:lineRule="auto"/>
        <w:ind w:left="709" w:hanging="709"/>
        <w:rPr>
          <w:rFonts w:eastAsia="Times New Roman" w:cs="Calibri"/>
          <w:color w:val="000000" w:themeColor="text1"/>
          <w:lang w:val="en" w:eastAsia="en-AU"/>
        </w:rPr>
      </w:pPr>
      <w:r>
        <w:rPr>
          <w:rFonts w:eastAsia="Times New Roman" w:cs="Calibri"/>
          <w:color w:val="000000" w:themeColor="text1"/>
          <w:lang w:val="en" w:eastAsia="en-AU"/>
        </w:rPr>
        <w:t>3.1.14</w:t>
      </w:r>
      <w:r>
        <w:rPr>
          <w:rFonts w:eastAsia="Times New Roman" w:cs="Calibri"/>
          <w:color w:val="000000" w:themeColor="text1"/>
          <w:lang w:val="en" w:eastAsia="en-AU"/>
        </w:rPr>
        <w:tab/>
      </w:r>
      <w:r w:rsidRPr="00946324">
        <w:rPr>
          <w:rFonts w:eastAsia="Times New Roman" w:cs="Calibri"/>
          <w:strike/>
          <w:color w:val="000000" w:themeColor="text1"/>
          <w:lang w:val="en" w:eastAsia="en-AU"/>
        </w:rPr>
        <w:t>consider</w:t>
      </w:r>
      <w:r>
        <w:rPr>
          <w:rFonts w:eastAsia="Times New Roman" w:cs="Calibri"/>
          <w:color w:val="000000" w:themeColor="text1"/>
          <w:lang w:val="en" w:eastAsia="en-AU"/>
        </w:rPr>
        <w:t xml:space="preserve"> </w:t>
      </w:r>
      <w:r w:rsidRPr="00AA7F5F">
        <w:rPr>
          <w:rFonts w:eastAsia="Times New Roman" w:cs="Calibri"/>
          <w:i/>
          <w:iCs/>
          <w:lang w:val="en" w:eastAsia="en-AU"/>
        </w:rPr>
        <w:t>determine and use</w:t>
      </w:r>
      <w:r w:rsidRPr="00AA7F5F">
        <w:rPr>
          <w:rFonts w:eastAsia="Times New Roman" w:cs="Calibri"/>
          <w:lang w:val="en" w:eastAsia="en-AU"/>
        </w:rPr>
        <w:t xml:space="preserve"> </w:t>
      </w:r>
      <w:r>
        <w:rPr>
          <w:rFonts w:eastAsia="Times New Roman" w:cs="Calibri"/>
          <w:color w:val="000000" w:themeColor="text1"/>
          <w:lang w:val="en" w:eastAsia="en-AU"/>
        </w:rPr>
        <w:t>conjugate roots for polynomials with real coefficients</w:t>
      </w:r>
    </w:p>
    <w:p w14:paraId="08A41F7F" w14:textId="7FDA28BA" w:rsidR="00946324" w:rsidRDefault="00946324" w:rsidP="004776E3">
      <w:pPr>
        <w:spacing w:after="120" w:line="276" w:lineRule="auto"/>
        <w:ind w:left="709" w:hanging="709"/>
        <w:rPr>
          <w:rFonts w:eastAsia="Times New Roman" w:cs="Calibri"/>
          <w:color w:val="000000" w:themeColor="text1"/>
          <w:lang w:val="en" w:eastAsia="en-AU"/>
        </w:rPr>
      </w:pPr>
      <w:r>
        <w:rPr>
          <w:rFonts w:eastAsia="Times New Roman" w:cs="Calibri"/>
          <w:color w:val="000000" w:themeColor="text1"/>
          <w:lang w:val="en" w:eastAsia="en-AU"/>
        </w:rPr>
        <w:t>3.3.4</w:t>
      </w:r>
      <w:r>
        <w:rPr>
          <w:rFonts w:eastAsia="Times New Roman" w:cs="Calibri"/>
          <w:color w:val="000000" w:themeColor="text1"/>
          <w:lang w:val="en" w:eastAsia="en-AU"/>
        </w:rPr>
        <w:tab/>
        <w:t>use vector equations of curves in two or three dimensions involving a parameter and determine ‘</w:t>
      </w:r>
      <w:r w:rsidRPr="00946324">
        <w:rPr>
          <w:rFonts w:eastAsia="Times New Roman" w:cs="Calibri"/>
          <w:strike/>
          <w:color w:val="000000" w:themeColor="text1"/>
          <w:lang w:val="en" w:eastAsia="en-AU"/>
        </w:rPr>
        <w:t>a corresponding</w:t>
      </w:r>
      <w:r>
        <w:rPr>
          <w:rFonts w:eastAsia="Times New Roman" w:cs="Calibri"/>
          <w:strike/>
          <w:color w:val="000000" w:themeColor="text1"/>
          <w:lang w:val="en" w:eastAsia="en-AU"/>
        </w:rPr>
        <w:t>’</w:t>
      </w:r>
      <w:r w:rsidRPr="00946324">
        <w:rPr>
          <w:rFonts w:eastAsia="Times New Roman" w:cs="Calibri"/>
          <w:strike/>
          <w:color w:val="000000" w:themeColor="text1"/>
          <w:lang w:val="en" w:eastAsia="en-AU"/>
        </w:rPr>
        <w:t xml:space="preserve"> </w:t>
      </w:r>
      <w:r w:rsidRPr="00AA7F5F">
        <w:rPr>
          <w:rFonts w:eastAsia="Times New Roman" w:cs="Calibri"/>
          <w:i/>
          <w:iCs/>
          <w:lang w:val="en" w:eastAsia="en-AU"/>
        </w:rPr>
        <w:t>an equivalent</w:t>
      </w:r>
      <w:r w:rsidRPr="00AA7F5F">
        <w:rPr>
          <w:rFonts w:eastAsia="Times New Roman" w:cs="Calibri"/>
          <w:lang w:val="en" w:eastAsia="en-AU"/>
        </w:rPr>
        <w:t xml:space="preserve"> </w:t>
      </w:r>
      <w:r>
        <w:rPr>
          <w:rFonts w:eastAsia="Times New Roman" w:cs="Calibri"/>
          <w:color w:val="000000" w:themeColor="text1"/>
          <w:lang w:val="en" w:eastAsia="en-AU"/>
        </w:rPr>
        <w:t>Cartesian equation in the two-dimensional case</w:t>
      </w:r>
    </w:p>
    <w:p w14:paraId="4A2B202F" w14:textId="272B1D60" w:rsidR="00946324" w:rsidRDefault="00946324" w:rsidP="004776E3">
      <w:pPr>
        <w:spacing w:after="120" w:line="276" w:lineRule="auto"/>
        <w:ind w:left="709" w:hanging="709"/>
        <w:rPr>
          <w:rFonts w:eastAsia="Times New Roman" w:cs="Calibri"/>
          <w:color w:val="000000" w:themeColor="text1"/>
          <w:lang w:val="en" w:eastAsia="en-AU"/>
        </w:rPr>
      </w:pPr>
      <w:r>
        <w:rPr>
          <w:rFonts w:eastAsia="Times New Roman" w:cs="Calibri"/>
          <w:color w:val="000000" w:themeColor="text1"/>
          <w:lang w:val="en" w:eastAsia="en-AU"/>
        </w:rPr>
        <w:t>3.3.6</w:t>
      </w:r>
      <w:r>
        <w:rPr>
          <w:rFonts w:eastAsia="Times New Roman" w:cs="Calibri"/>
          <w:color w:val="000000" w:themeColor="text1"/>
          <w:lang w:val="en" w:eastAsia="en-AU"/>
        </w:rPr>
        <w:tab/>
        <w:t>examine the position</w:t>
      </w:r>
      <w:r w:rsidRPr="00AA7F5F">
        <w:rPr>
          <w:rFonts w:eastAsia="Times New Roman" w:cs="Calibri"/>
          <w:i/>
          <w:iCs/>
          <w:lang w:val="en" w:eastAsia="en-AU"/>
        </w:rPr>
        <w:t>s</w:t>
      </w:r>
      <w:r>
        <w:rPr>
          <w:rFonts w:eastAsia="Times New Roman" w:cs="Calibri"/>
          <w:color w:val="000000" w:themeColor="text1"/>
          <w:lang w:val="en" w:eastAsia="en-AU"/>
        </w:rPr>
        <w:t xml:space="preserve"> of two particles, each described as </w:t>
      </w:r>
      <w:r w:rsidRPr="00946324">
        <w:rPr>
          <w:rFonts w:eastAsia="Times New Roman" w:cs="Calibri"/>
          <w:strike/>
          <w:color w:val="000000" w:themeColor="text1"/>
          <w:lang w:val="en" w:eastAsia="en-AU"/>
        </w:rPr>
        <w:t>a</w:t>
      </w:r>
      <w:r>
        <w:rPr>
          <w:rFonts w:eastAsia="Times New Roman" w:cs="Calibri"/>
          <w:color w:val="000000" w:themeColor="text1"/>
          <w:lang w:val="en" w:eastAsia="en-AU"/>
        </w:rPr>
        <w:t xml:space="preserve"> vector function</w:t>
      </w:r>
      <w:r w:rsidRPr="00AA7F5F">
        <w:rPr>
          <w:rFonts w:eastAsia="Times New Roman" w:cs="Calibri"/>
          <w:i/>
          <w:iCs/>
          <w:lang w:val="en" w:eastAsia="en-AU"/>
        </w:rPr>
        <w:t>s</w:t>
      </w:r>
      <w:r w:rsidRPr="00AA7F5F">
        <w:rPr>
          <w:rFonts w:eastAsia="Times New Roman" w:cs="Calibri"/>
          <w:lang w:val="en" w:eastAsia="en-AU"/>
        </w:rPr>
        <w:t xml:space="preserve"> </w:t>
      </w:r>
      <w:r>
        <w:rPr>
          <w:rFonts w:eastAsia="Times New Roman" w:cs="Calibri"/>
          <w:color w:val="000000" w:themeColor="text1"/>
          <w:lang w:val="en" w:eastAsia="en-AU"/>
        </w:rPr>
        <w:t>of time, and determine if their paths cross or if the particles meet</w:t>
      </w:r>
    </w:p>
    <w:p w14:paraId="448EDB6D" w14:textId="739A21B6" w:rsidR="00946324" w:rsidRDefault="00946324" w:rsidP="004776E3">
      <w:pPr>
        <w:spacing w:after="120" w:line="276" w:lineRule="auto"/>
        <w:ind w:left="709" w:hanging="709"/>
        <w:rPr>
          <w:rFonts w:cs="Calibri"/>
        </w:rPr>
      </w:pPr>
      <w:r>
        <w:rPr>
          <w:rFonts w:cs="Calibri"/>
        </w:rPr>
        <w:t>3.3.10</w:t>
      </w:r>
      <w:r>
        <w:rPr>
          <w:rFonts w:cs="Calibri"/>
        </w:rPr>
        <w:tab/>
        <w:t xml:space="preserve">examine the three cases for solutions of systems of equations – a unique solution, no solution, and infinitely many solutions – and the geometric interpretation of </w:t>
      </w:r>
      <w:r w:rsidRPr="00946324">
        <w:rPr>
          <w:rFonts w:cs="Calibri"/>
          <w:strike/>
        </w:rPr>
        <w:t>a</w:t>
      </w:r>
      <w:r w:rsidRPr="00946324">
        <w:rPr>
          <w:rFonts w:cs="Calibri"/>
          <w:i/>
          <w:iCs/>
          <w:color w:val="FF0000"/>
        </w:rPr>
        <w:t xml:space="preserve"> </w:t>
      </w:r>
      <w:r w:rsidRPr="00AA7F5F">
        <w:rPr>
          <w:rFonts w:cs="Calibri"/>
          <w:i/>
          <w:iCs/>
        </w:rPr>
        <w:t>the</w:t>
      </w:r>
      <w:r w:rsidRPr="00946324">
        <w:rPr>
          <w:rFonts w:cs="Calibri"/>
          <w:color w:val="FF0000"/>
        </w:rPr>
        <w:t xml:space="preserve"> </w:t>
      </w:r>
      <w:r>
        <w:rPr>
          <w:rFonts w:cs="Calibri"/>
        </w:rPr>
        <w:t>solution of a system of equations with three variables</w:t>
      </w:r>
    </w:p>
    <w:p w14:paraId="75D065F1" w14:textId="2B504901" w:rsidR="003E0E13" w:rsidRPr="00946324" w:rsidRDefault="00946324" w:rsidP="004776E3">
      <w:pPr>
        <w:spacing w:after="120" w:line="276" w:lineRule="auto"/>
        <w:ind w:left="709" w:hanging="709"/>
        <w:rPr>
          <w:rFonts w:cs="Calibri"/>
          <w:color w:val="000000"/>
        </w:rPr>
      </w:pPr>
      <w:r>
        <w:rPr>
          <w:rFonts w:cs="Calibri"/>
          <w:color w:val="000000"/>
        </w:rPr>
        <w:t>4.3.5</w:t>
      </w:r>
      <w:r>
        <w:rPr>
          <w:rFonts w:eastAsia="Times New Roman" w:cs="Calibri"/>
          <w:color w:val="000000" w:themeColor="text1"/>
          <w:lang w:val="en" w:eastAsia="en-AU"/>
        </w:rPr>
        <w:tab/>
      </w:r>
      <w:r w:rsidRPr="00AA7F5F">
        <w:rPr>
          <w:rFonts w:cs="Calibri"/>
          <w:i/>
          <w:iCs/>
        </w:rPr>
        <w:t>use</w:t>
      </w:r>
      <w:r>
        <w:rPr>
          <w:rFonts w:cs="Calibri"/>
          <w:color w:val="000000"/>
        </w:rPr>
        <w:t xml:space="preserve"> </w:t>
      </w:r>
      <w:r w:rsidRPr="00946324">
        <w:rPr>
          <w:rFonts w:cs="Calibri"/>
          <w:strike/>
          <w:color w:val="000000"/>
        </w:rPr>
        <w:t>examine</w:t>
      </w:r>
      <w:r>
        <w:rPr>
          <w:rFonts w:cs="Calibri"/>
          <w:color w:val="000000"/>
        </w:rPr>
        <w:t xml:space="preserve"> the approximate confidence </w:t>
      </w:r>
      <w:r w:rsidR="00DA5CF8" w:rsidRPr="007B785C">
        <w:rPr>
          <w:rFonts w:cs="Calibri"/>
          <w:color w:val="000000"/>
        </w:rPr>
        <w:t xml:space="preserve">interval </w:t>
      </w:r>
      <m:oMath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noProof/>
                  </w:rPr>
                </m:ctrlPr>
              </m:barPr>
              <m:e>
                <m:r>
                  <w:rPr>
                    <w:rFonts w:ascii="Cambria Math"/>
                    <w:noProof/>
                  </w:rPr>
                  <m:t>x</m:t>
                </m:r>
              </m:e>
            </m:bar>
            <m:r>
              <w:rPr>
                <w:rFonts w:ascii="Cambria Math"/>
                <w:noProof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/>
                    <w:noProof/>
                  </w:rPr>
                  <m:t>zs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noProof/>
                      </w:rPr>
                      <m:t>n</m:t>
                    </m:r>
                  </m:e>
                </m:rad>
              </m:den>
            </m:f>
            <m:r>
              <w:rPr>
                <w:rFonts w:ascii="Cambria Math"/>
                <w:noProof/>
              </w:rPr>
              <m:t>,</m:t>
            </m:r>
            <m:bar>
              <m:barPr>
                <m:pos m:val="top"/>
                <m:ctrlPr>
                  <w:rPr>
                    <w:rFonts w:ascii="Cambria Math" w:hAnsi="Cambria Math"/>
                    <w:i/>
                    <w:noProof/>
                  </w:rPr>
                </m:ctrlPr>
              </m:barPr>
              <m:e>
                <m:r>
                  <w:rPr>
                    <w:rFonts w:ascii="Cambria Math"/>
                    <w:noProof/>
                  </w:rPr>
                  <m:t>x</m:t>
                </m:r>
              </m:e>
            </m:bar>
            <m:r>
              <w:rPr>
                <w:rFonts w:ascii="Cambria Math"/>
                <w:noProof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noProof/>
                  </w:rPr>
                </m:ctrlPr>
              </m:fPr>
              <m:num>
                <m:r>
                  <w:rPr>
                    <w:rFonts w:ascii="Cambria Math"/>
                    <w:noProof/>
                  </w:rPr>
                  <m:t>zs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noProof/>
                      </w:rPr>
                    </m:ctrlPr>
                  </m:radPr>
                  <m:deg/>
                  <m:e>
                    <m:r>
                      <w:rPr>
                        <w:rFonts w:ascii="Cambria Math"/>
                        <w:noProof/>
                      </w:rPr>
                      <m:t>n</m:t>
                    </m:r>
                  </m:e>
                </m:rad>
              </m:den>
            </m:f>
          </m:e>
        </m:d>
      </m:oMath>
      <w:r>
        <w:rPr>
          <w:rFonts w:cs="Calibri"/>
          <w:color w:val="000000"/>
        </w:rPr>
        <w:t xml:space="preserve"> as an interval estimate for the population mean </w:t>
      </w:r>
      <w:r>
        <w:rPr>
          <w:rFonts w:ascii="Calibri" w:eastAsiaTheme="minorEastAsia" w:hAnsi="Calibri" w:cs="Calibri"/>
          <w:noProof/>
          <w:color w:val="000000"/>
          <w:position w:val="-10"/>
        </w:rPr>
        <w:object w:dxaOrig="225" w:dyaOrig="255" w14:anchorId="10E2B13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" style="width:11.35pt;height:12.3pt;mso-width-percent:0;mso-height-percent:0;mso-width-percent:0;mso-height-percent:0" o:ole="">
            <v:imagedata r:id="rId7" o:title=""/>
          </v:shape>
          <o:OLEObject Type="Embed" ProgID="Equation.DSMT4" ShapeID="_x0000_i1026" DrawAspect="Content" ObjectID="_1785742878" r:id="rId8"/>
        </w:object>
      </w:r>
      <w:r>
        <w:rPr>
          <w:rFonts w:cs="Calibri"/>
          <w:color w:val="000000"/>
        </w:rPr>
        <w:t xml:space="preserve">, where </w:t>
      </w:r>
      <w:r>
        <w:rPr>
          <w:rFonts w:cs="Calibri"/>
          <w:i/>
          <w:color w:val="000000"/>
        </w:rPr>
        <w:t>z</w:t>
      </w:r>
      <w:r>
        <w:rPr>
          <w:rFonts w:cs="Calibri"/>
          <w:color w:val="000000"/>
        </w:rPr>
        <w:t xml:space="preserve"> is the appropriate quantile for the standard normal distribution</w:t>
      </w:r>
    </w:p>
    <w:p w14:paraId="0FB4D157" w14:textId="77777777" w:rsidR="003E0E13" w:rsidRPr="005404A9" w:rsidRDefault="003E0E13" w:rsidP="004776E3">
      <w:pPr>
        <w:pStyle w:val="SyllabusHeading2"/>
      </w:pPr>
      <w:bookmarkStart w:id="0" w:name="_Toc359505483"/>
      <w:bookmarkStart w:id="1" w:name="_Toc359503791"/>
      <w:r w:rsidRPr="005404A9">
        <w:t>Assessment table</w:t>
      </w:r>
      <w:bookmarkEnd w:id="0"/>
      <w:bookmarkEnd w:id="1"/>
      <w:r w:rsidRPr="005404A9">
        <w:t xml:space="preserve"> – Year 12</w:t>
      </w:r>
    </w:p>
    <w:tbl>
      <w:tblPr>
        <w:tblStyle w:val="SyllabusTable"/>
        <w:tblW w:w="5000" w:type="pct"/>
        <w:tblLayout w:type="fixed"/>
        <w:tblLook w:val="00A0" w:firstRow="1" w:lastRow="0" w:firstColumn="1" w:lastColumn="0" w:noHBand="0" w:noVBand="0"/>
      </w:tblPr>
      <w:tblGrid>
        <w:gridCol w:w="7451"/>
        <w:gridCol w:w="1565"/>
      </w:tblGrid>
      <w:tr w:rsidR="003E0E13" w:rsidRPr="00293088" w14:paraId="09D61739" w14:textId="77777777" w:rsidTr="004776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443" w:type="dxa"/>
            <w:hideMark/>
          </w:tcPr>
          <w:p w14:paraId="26CFA404" w14:textId="77777777" w:rsidR="003E0E13" w:rsidRPr="00293088" w:rsidRDefault="003E0E13" w:rsidP="00511B80">
            <w:r w:rsidRPr="00293088">
              <w:t>Type of assessment</w:t>
            </w:r>
          </w:p>
        </w:tc>
        <w:tc>
          <w:tcPr>
            <w:tcW w:w="1563" w:type="dxa"/>
            <w:hideMark/>
          </w:tcPr>
          <w:p w14:paraId="06D3E3C8" w14:textId="77777777" w:rsidR="003E0E13" w:rsidRPr="00293088" w:rsidRDefault="003E0E13" w:rsidP="00511B80">
            <w:pPr>
              <w:jc w:val="center"/>
            </w:pPr>
            <w:r w:rsidRPr="00293088">
              <w:t>Weighting</w:t>
            </w:r>
          </w:p>
        </w:tc>
      </w:tr>
      <w:tr w:rsidR="003E0E13" w:rsidRPr="00293088" w14:paraId="57A9A787" w14:textId="77777777" w:rsidTr="004776E3">
        <w:tc>
          <w:tcPr>
            <w:tcW w:w="7443" w:type="dxa"/>
            <w:hideMark/>
          </w:tcPr>
          <w:p w14:paraId="75459595" w14:textId="77777777" w:rsidR="003E0E13" w:rsidRPr="004776E3" w:rsidRDefault="003E0E13" w:rsidP="00511B80">
            <w:pPr>
              <w:rPr>
                <w:b/>
                <w:bCs/>
                <w:szCs w:val="20"/>
              </w:rPr>
            </w:pPr>
            <w:r w:rsidRPr="004776E3">
              <w:rPr>
                <w:b/>
                <w:bCs/>
                <w:szCs w:val="20"/>
              </w:rPr>
              <w:t>Response</w:t>
            </w:r>
          </w:p>
          <w:p w14:paraId="511D7328" w14:textId="77777777" w:rsidR="003E0E13" w:rsidRPr="003E0E13" w:rsidRDefault="003E0E13" w:rsidP="004776E3">
            <w:pPr>
              <w:spacing w:after="120"/>
              <w:rPr>
                <w:bCs/>
                <w:strike/>
                <w:szCs w:val="20"/>
              </w:rPr>
            </w:pPr>
            <w:r w:rsidRPr="003E0E13">
              <w:rPr>
                <w:strike/>
                <w:szCs w:val="20"/>
              </w:rPr>
              <w:t>Students respond using knowledge of mathematical facts, concepts and terminology, applying problem-solving skills and algorithms. Response tasks can include: tests, assignments, quizzes and observation checklists. Tests are administered under controlled and timed conditions.</w:t>
            </w:r>
          </w:p>
          <w:p w14:paraId="098877F5" w14:textId="55F639CB" w:rsidR="003E0E13" w:rsidRPr="004776E3" w:rsidRDefault="003E0E13" w:rsidP="004776E3">
            <w:pPr>
              <w:pStyle w:val="NoSpacing"/>
              <w:spacing w:after="120"/>
              <w:rPr>
                <w:b/>
                <w:bCs/>
                <w:i/>
                <w:iCs/>
                <w:color w:val="FF0000"/>
              </w:rPr>
            </w:pPr>
            <w:r w:rsidRPr="00AA7F5F">
              <w:rPr>
                <w:i/>
                <w:iCs/>
              </w:rPr>
              <w:t>Students apply mathematical knowledge and understanding of concepts, techniques and relationships to solve a mix of routine and non-routine questions, demonstrating their interpretation of concepts and results in applied and theoretical contexts. Response tasks can include: tests, assignments and multimedia representations.</w:t>
            </w:r>
          </w:p>
        </w:tc>
        <w:tc>
          <w:tcPr>
            <w:tcW w:w="1563" w:type="dxa"/>
            <w:vAlign w:val="center"/>
            <w:hideMark/>
          </w:tcPr>
          <w:p w14:paraId="536EAB2C" w14:textId="77777777" w:rsidR="003E0E13" w:rsidRPr="00734179" w:rsidRDefault="003E0E13" w:rsidP="004776E3">
            <w:pPr>
              <w:jc w:val="center"/>
              <w:rPr>
                <w:szCs w:val="20"/>
              </w:rPr>
            </w:pPr>
            <w:r w:rsidRPr="00734179">
              <w:rPr>
                <w:rFonts w:cstheme="minorHAnsi"/>
                <w:szCs w:val="20"/>
              </w:rPr>
              <w:t>40%</w:t>
            </w:r>
          </w:p>
        </w:tc>
      </w:tr>
    </w:tbl>
    <w:p w14:paraId="7966378D" w14:textId="77777777" w:rsidR="003E0E13" w:rsidRDefault="003E0E13" w:rsidP="004776E3">
      <w:pPr>
        <w:pStyle w:val="NormalWeb"/>
        <w:tabs>
          <w:tab w:val="right" w:pos="9930"/>
        </w:tabs>
        <w:spacing w:before="0" w:beforeAutospacing="0" w:after="120" w:afterAutospacing="0" w:line="276" w:lineRule="auto"/>
        <w:ind w:left="709" w:hanging="709"/>
        <w:rPr>
          <w:rFonts w:ascii="Calibri" w:hAnsi="Calibri" w:cstheme="minorHAnsi"/>
          <w:sz w:val="22"/>
          <w:szCs w:val="22"/>
          <w:lang w:val="en"/>
        </w:rPr>
      </w:pPr>
    </w:p>
    <w:sectPr w:rsidR="003E0E13" w:rsidSect="004776E3">
      <w:headerReference w:type="default" r:id="rId9"/>
      <w:footerReference w:type="default" r:id="rId10"/>
      <w:pgSz w:w="11906" w:h="16838"/>
      <w:pgMar w:top="1440" w:right="1440" w:bottom="1440" w:left="1440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D0DE0" w14:textId="77777777" w:rsidR="002B441A" w:rsidRDefault="002B441A" w:rsidP="00A720A0">
      <w:r>
        <w:separator/>
      </w:r>
    </w:p>
  </w:endnote>
  <w:endnote w:type="continuationSeparator" w:id="0">
    <w:p w14:paraId="57389BE4" w14:textId="77777777" w:rsidR="002B441A" w:rsidRDefault="002B441A" w:rsidP="00A72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E67A7" w14:textId="05DCAC69" w:rsidR="00A720A0" w:rsidRPr="00A720A0" w:rsidRDefault="00A720A0" w:rsidP="004776E3">
    <w:pPr>
      <w:pStyle w:val="Footereven"/>
    </w:pPr>
    <w:r w:rsidRPr="00A720A0">
      <w:t>202</w:t>
    </w:r>
    <w:r w:rsidR="002C78F9">
      <w:t>4</w:t>
    </w:r>
    <w:r w:rsidRPr="00A720A0">
      <w:t>/</w:t>
    </w:r>
    <w:r w:rsidR="002C78F9">
      <w:t>42044</w:t>
    </w:r>
    <w:r w:rsidR="004776E3">
      <w:t>[v2]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A44129" w14:textId="77777777" w:rsidR="002B441A" w:rsidRDefault="002B441A" w:rsidP="00A720A0">
      <w:r>
        <w:separator/>
      </w:r>
    </w:p>
  </w:footnote>
  <w:footnote w:type="continuationSeparator" w:id="0">
    <w:p w14:paraId="33A81411" w14:textId="77777777" w:rsidR="002B441A" w:rsidRDefault="002B441A" w:rsidP="00A72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84B06" w14:textId="485D22DB" w:rsidR="00A720A0" w:rsidRPr="00A720A0" w:rsidRDefault="00A720A0" w:rsidP="001D1CE6">
    <w:pPr>
      <w:spacing w:after="120" w:line="257" w:lineRule="auto"/>
      <w:rPr>
        <w:b/>
      </w:rPr>
    </w:pPr>
    <w:r w:rsidRPr="00871FC2">
      <w:rPr>
        <w:b/>
      </w:rPr>
      <w:t xml:space="preserve">School administrators, Heads of Learning Area – </w:t>
    </w:r>
    <w:r>
      <w:rPr>
        <w:b/>
      </w:rPr>
      <w:t>Mathematics</w:t>
    </w:r>
    <w:r w:rsidRPr="00871FC2">
      <w:rPr>
        <w:b/>
      </w:rPr>
      <w:t xml:space="preserve"> and teachers of </w:t>
    </w:r>
    <w:r>
      <w:rPr>
        <w:b/>
      </w:rPr>
      <w:t xml:space="preserve">Mathematics </w:t>
    </w:r>
    <w:r w:rsidR="00331F1C">
      <w:rPr>
        <w:b/>
      </w:rPr>
      <w:t>Specialist</w:t>
    </w:r>
    <w:r>
      <w:rPr>
        <w:b/>
      </w:rPr>
      <w:t xml:space="preserve"> ATAR</w:t>
    </w:r>
    <w:r w:rsidRPr="00871FC2">
      <w:rPr>
        <w:b/>
      </w:rPr>
      <w:t xml:space="preserve"> </w:t>
    </w:r>
    <w:r>
      <w:rPr>
        <w:b/>
      </w:rPr>
      <w:t>Year 1</w:t>
    </w:r>
    <w:r w:rsidR="00D00D3C">
      <w:rPr>
        <w:b/>
      </w:rPr>
      <w:t>2</w:t>
    </w:r>
    <w:r>
      <w:rPr>
        <w:b/>
      </w:rPr>
      <w:t xml:space="preserve"> </w:t>
    </w:r>
    <w:r w:rsidRPr="00871FC2">
      <w:rPr>
        <w:b/>
      </w:rPr>
      <w:t>are requested to note for 202</w:t>
    </w:r>
    <w:r w:rsidR="006754A1">
      <w:rPr>
        <w:b/>
      </w:rPr>
      <w:t>5</w:t>
    </w:r>
    <w:r w:rsidRPr="00871FC2">
      <w:rPr>
        <w:b/>
      </w:rPr>
      <w:t xml:space="preserve"> the following minor syllabus changes. The syllabus is labelled as ‘For teaching from 202</w:t>
    </w:r>
    <w:r w:rsidR="006754A1">
      <w:rPr>
        <w:b/>
      </w:rPr>
      <w:t>5</w:t>
    </w:r>
    <w:r w:rsidRPr="00871FC2">
      <w:rPr>
        <w:b/>
      </w:rPr>
      <w:t>’.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73120"/>
    <w:multiLevelType w:val="hybridMultilevel"/>
    <w:tmpl w:val="C0FADE1A"/>
    <w:lvl w:ilvl="0" w:tplc="7F08CC5C">
      <w:start w:val="1"/>
      <w:numFmt w:val="bullet"/>
      <w:pStyle w:val="ListParagraphSyllabusChange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2F01F7"/>
    <w:multiLevelType w:val="multilevel"/>
    <w:tmpl w:val="1A4884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62C8696C"/>
    <w:multiLevelType w:val="multilevel"/>
    <w:tmpl w:val="60AE8AC8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7B860E41"/>
    <w:multiLevelType w:val="hybridMultilevel"/>
    <w:tmpl w:val="66C87B1A"/>
    <w:lvl w:ilvl="0" w:tplc="2DB6F6EC">
      <w:start w:val="1"/>
      <w:numFmt w:val="bullet"/>
      <w:pStyle w:val="ContentDescriptio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010904">
    <w:abstractNumId w:val="1"/>
  </w:num>
  <w:num w:numId="2" w16cid:durableId="2095321502">
    <w:abstractNumId w:val="3"/>
  </w:num>
  <w:num w:numId="3" w16cid:durableId="1337264660">
    <w:abstractNumId w:val="2"/>
  </w:num>
  <w:num w:numId="4" w16cid:durableId="1664426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ED7"/>
    <w:rsid w:val="000818D5"/>
    <w:rsid w:val="0009709A"/>
    <w:rsid w:val="000C1C0F"/>
    <w:rsid w:val="001464C2"/>
    <w:rsid w:val="00174B25"/>
    <w:rsid w:val="0017615E"/>
    <w:rsid w:val="001B1F40"/>
    <w:rsid w:val="001B2BE2"/>
    <w:rsid w:val="001D1CE6"/>
    <w:rsid w:val="001E06F4"/>
    <w:rsid w:val="001F2FD8"/>
    <w:rsid w:val="00255406"/>
    <w:rsid w:val="00272F4C"/>
    <w:rsid w:val="00281A7E"/>
    <w:rsid w:val="002B2EAC"/>
    <w:rsid w:val="002B441A"/>
    <w:rsid w:val="002C17A9"/>
    <w:rsid w:val="002C78F9"/>
    <w:rsid w:val="002D74DA"/>
    <w:rsid w:val="002F6372"/>
    <w:rsid w:val="003153D1"/>
    <w:rsid w:val="00331F1C"/>
    <w:rsid w:val="00336D7F"/>
    <w:rsid w:val="003C62C7"/>
    <w:rsid w:val="003D3ED7"/>
    <w:rsid w:val="003E0E13"/>
    <w:rsid w:val="003E2D84"/>
    <w:rsid w:val="00432626"/>
    <w:rsid w:val="0044175E"/>
    <w:rsid w:val="004776E3"/>
    <w:rsid w:val="00486B20"/>
    <w:rsid w:val="004D71B5"/>
    <w:rsid w:val="00550779"/>
    <w:rsid w:val="005A0780"/>
    <w:rsid w:val="005A2F50"/>
    <w:rsid w:val="006641C2"/>
    <w:rsid w:val="006754A1"/>
    <w:rsid w:val="00681FEB"/>
    <w:rsid w:val="006E12D1"/>
    <w:rsid w:val="007075C0"/>
    <w:rsid w:val="00777C4D"/>
    <w:rsid w:val="00795065"/>
    <w:rsid w:val="007A7DF1"/>
    <w:rsid w:val="007C21BC"/>
    <w:rsid w:val="007F28CE"/>
    <w:rsid w:val="0089280D"/>
    <w:rsid w:val="00897F0A"/>
    <w:rsid w:val="00946324"/>
    <w:rsid w:val="009A25DD"/>
    <w:rsid w:val="009D77B3"/>
    <w:rsid w:val="00A022B2"/>
    <w:rsid w:val="00A565BD"/>
    <w:rsid w:val="00A720A0"/>
    <w:rsid w:val="00AA7F5F"/>
    <w:rsid w:val="00B249BC"/>
    <w:rsid w:val="00B37373"/>
    <w:rsid w:val="00B50882"/>
    <w:rsid w:val="00BD742E"/>
    <w:rsid w:val="00BE5AB8"/>
    <w:rsid w:val="00C22FDE"/>
    <w:rsid w:val="00CD5471"/>
    <w:rsid w:val="00D00D3C"/>
    <w:rsid w:val="00D01B48"/>
    <w:rsid w:val="00DA5CF8"/>
    <w:rsid w:val="00E02930"/>
    <w:rsid w:val="00E51F00"/>
    <w:rsid w:val="00EA3C47"/>
    <w:rsid w:val="00EA6608"/>
    <w:rsid w:val="00EF6775"/>
    <w:rsid w:val="00F1692F"/>
    <w:rsid w:val="00F30658"/>
    <w:rsid w:val="00F370B0"/>
    <w:rsid w:val="00FD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7DB9DBF7"/>
  <w15:chartTrackingRefBased/>
  <w15:docId w15:val="{01543544-7216-41F8-8E52-7728FC6D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Spacing"/>
    <w:next w:val="Normal"/>
    <w:link w:val="Heading4Char"/>
    <w:uiPriority w:val="9"/>
    <w:unhideWhenUsed/>
    <w:qFormat/>
    <w:rsid w:val="0009709A"/>
    <w:pPr>
      <w:spacing w:before="120" w:after="120" w:line="276" w:lineRule="auto"/>
      <w:outlineLvl w:val="3"/>
    </w:pPr>
    <w:rPr>
      <w:rFonts w:ascii="Calibri" w:eastAsia="Calibri" w:hAnsi="Calibri" w:cs="Calibri"/>
      <w:b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3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ED7"/>
    <w:pPr>
      <w:spacing w:after="160" w:line="256" w:lineRule="auto"/>
      <w:ind w:left="720"/>
      <w:contextualSpacing/>
    </w:pPr>
  </w:style>
  <w:style w:type="paragraph" w:customStyle="1" w:styleId="Default">
    <w:name w:val="Default"/>
    <w:rsid w:val="003D3ED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720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0A0"/>
  </w:style>
  <w:style w:type="paragraph" w:styleId="Footer">
    <w:name w:val="footer"/>
    <w:basedOn w:val="Normal"/>
    <w:link w:val="FooterChar"/>
    <w:uiPriority w:val="99"/>
    <w:unhideWhenUsed/>
    <w:rsid w:val="00A720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0A0"/>
  </w:style>
  <w:style w:type="paragraph" w:customStyle="1" w:styleId="ContentDescription">
    <w:name w:val="Content Description"/>
    <w:basedOn w:val="Normal"/>
    <w:qFormat/>
    <w:rsid w:val="00486B20"/>
    <w:pPr>
      <w:numPr>
        <w:numId w:val="2"/>
      </w:numPr>
      <w:spacing w:before="120" w:after="120" w:line="276" w:lineRule="auto"/>
    </w:pPr>
    <w:rPr>
      <w:rFonts w:eastAsia="Times New Roman" w:cs="Arial"/>
      <w:iCs/>
      <w:lang w:eastAsia="en-AU"/>
    </w:rPr>
  </w:style>
  <w:style w:type="table" w:styleId="LightList-Accent4">
    <w:name w:val="Light List Accent 4"/>
    <w:aliases w:val="Syllabus tables"/>
    <w:basedOn w:val="TableNormal"/>
    <w:uiPriority w:val="61"/>
    <w:rsid w:val="00EA3C47"/>
    <w:rPr>
      <w:rFonts w:ascii="Arial" w:eastAsiaTheme="minorEastAsia" w:hAnsi="Arial"/>
      <w:sz w:val="18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FFC000" w:themeFill="accent4"/>
        <w:vAlign w:val="center"/>
      </w:tcPr>
    </w:tblStylePr>
    <w:tblStylePr w:type="lastRow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Arial" w:hAnsi="Arial"/>
        <w:b/>
        <w:bCs/>
        <w:sz w:val="20"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Arial" w:hAnsi="Arial"/>
        <w:b/>
        <w:bCs/>
        <w:sz w:val="18"/>
      </w:rPr>
      <w:tblPr/>
      <w:tcPr>
        <w:vAlign w:val="center"/>
      </w:tcPr>
    </w:tblStylePr>
    <w:tblStylePr w:type="lastCol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Arial" w:hAnsi="Arial"/>
        <w:b/>
        <w:bCs/>
        <w:sz w:val="20"/>
      </w:rPr>
      <w:tblPr/>
      <w:tcPr>
        <w:vAlign w:val="center"/>
      </w:tcPr>
    </w:tblStylePr>
    <w:tblStylePr w:type="band1Vert">
      <w:pPr>
        <w:wordWrap/>
        <w:spacing w:beforeLines="0" w:before="40" w:beforeAutospacing="0" w:afterLines="0" w:after="40" w:afterAutospacing="0" w:line="240" w:lineRule="auto"/>
        <w:jc w:val="left"/>
      </w:p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2Vert">
      <w:pPr>
        <w:wordWrap/>
        <w:spacing w:beforeLines="0" w:before="40" w:beforeAutospacing="0" w:afterLines="0" w:after="40" w:afterAutospacing="0" w:line="240" w:lineRule="auto"/>
        <w:jc w:val="left"/>
      </w:pPr>
    </w:tblStylePr>
    <w:tblStylePr w:type="band1Horz">
      <w:pPr>
        <w:wordWrap/>
        <w:spacing w:beforeLines="0" w:before="40" w:beforeAutospacing="0" w:afterLines="0" w:after="40" w:afterAutospacing="0" w:line="240" w:lineRule="auto"/>
        <w:jc w:val="left"/>
      </w:p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2Horz">
      <w:pPr>
        <w:wordWrap/>
        <w:spacing w:beforeLines="0" w:before="40" w:beforeAutospacing="0" w:afterLines="0" w:after="40" w:afterAutospacing="0" w:line="240" w:lineRule="auto"/>
        <w:jc w:val="left"/>
      </w:pPr>
    </w:tblStylePr>
  </w:style>
  <w:style w:type="paragraph" w:customStyle="1" w:styleId="SyllabusHeading2">
    <w:name w:val="Syllabus Heading 2"/>
    <w:basedOn w:val="Normal"/>
    <w:qFormat/>
    <w:rsid w:val="00EA3C47"/>
    <w:pPr>
      <w:spacing w:before="240" w:after="120" w:line="276" w:lineRule="auto"/>
      <w:outlineLvl w:val="1"/>
    </w:pPr>
    <w:rPr>
      <w:rFonts w:ascii="Calibri" w:eastAsiaTheme="minorEastAsia" w:hAnsi="Calibri"/>
      <w:b/>
      <w:color w:val="595959" w:themeColor="text1" w:themeTint="A6"/>
      <w:sz w:val="32"/>
    </w:rPr>
  </w:style>
  <w:style w:type="paragraph" w:customStyle="1" w:styleId="SyllabusHeading3">
    <w:name w:val="Syllabus Heading 3"/>
    <w:basedOn w:val="Normal"/>
    <w:qFormat/>
    <w:rsid w:val="0009709A"/>
    <w:pPr>
      <w:spacing w:before="120" w:after="120" w:line="276" w:lineRule="auto"/>
      <w:outlineLvl w:val="2"/>
    </w:pPr>
    <w:rPr>
      <w:rFonts w:ascii="Calibri" w:eastAsiaTheme="minorEastAsia" w:hAnsi="Calibri"/>
      <w:b/>
      <w:color w:val="595959" w:themeColor="text1" w:themeTint="A6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9709A"/>
    <w:rPr>
      <w:rFonts w:ascii="Calibri" w:eastAsia="Calibri" w:hAnsi="Calibri" w:cs="Calibri"/>
      <w:b/>
      <w:lang w:val="en"/>
    </w:rPr>
  </w:style>
  <w:style w:type="paragraph" w:styleId="NoSpacing">
    <w:name w:val="No Spacing"/>
    <w:uiPriority w:val="1"/>
    <w:qFormat/>
    <w:rsid w:val="0009709A"/>
  </w:style>
  <w:style w:type="paragraph" w:styleId="NormalWeb">
    <w:name w:val="Normal (Web)"/>
    <w:basedOn w:val="Normal"/>
    <w:uiPriority w:val="99"/>
    <w:unhideWhenUsed/>
    <w:rsid w:val="003E0E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ootereven">
    <w:name w:val="Footer even"/>
    <w:basedOn w:val="Normal"/>
    <w:qFormat/>
    <w:rsid w:val="004776E3"/>
    <w:pPr>
      <w:pBdr>
        <w:top w:val="single" w:sz="4" w:space="4" w:color="580F8B"/>
      </w:pBdr>
      <w:spacing w:after="120"/>
    </w:pPr>
    <w:rPr>
      <w:rFonts w:eastAsiaTheme="minorEastAsia" w:cs="Times New Roman"/>
      <w:b/>
      <w:noProof/>
      <w:color w:val="580F8B"/>
      <w:sz w:val="18"/>
      <w:szCs w:val="18"/>
      <w:lang w:eastAsia="en-AU"/>
    </w:rPr>
  </w:style>
  <w:style w:type="paragraph" w:customStyle="1" w:styleId="Footerodd">
    <w:name w:val="Footer odd"/>
    <w:basedOn w:val="Normal"/>
    <w:qFormat/>
    <w:rsid w:val="004776E3"/>
    <w:pPr>
      <w:pBdr>
        <w:top w:val="single" w:sz="4" w:space="4" w:color="580F8B"/>
      </w:pBdr>
      <w:spacing w:after="120"/>
      <w:jc w:val="right"/>
    </w:pPr>
    <w:rPr>
      <w:rFonts w:eastAsiaTheme="minorEastAsia" w:cs="Times New Roman"/>
      <w:b/>
      <w:noProof/>
      <w:color w:val="580F8B"/>
      <w:sz w:val="18"/>
      <w:szCs w:val="18"/>
      <w:lang w:eastAsia="en-AU"/>
    </w:rPr>
  </w:style>
  <w:style w:type="paragraph" w:customStyle="1" w:styleId="Heading1SyllabusChanges">
    <w:name w:val="Heading 1_Syllabus Changes"/>
    <w:qFormat/>
    <w:rsid w:val="004776E3"/>
    <w:pPr>
      <w:spacing w:after="120" w:line="276" w:lineRule="auto"/>
      <w:outlineLvl w:val="0"/>
    </w:pPr>
    <w:rPr>
      <w:rFonts w:ascii="Calibri" w:hAnsi="Calibri" w:cs="Calibri"/>
      <w:b/>
      <w:bCs/>
      <w:kern w:val="2"/>
      <w:lang w:val="en-US"/>
      <w14:ligatures w14:val="standardContextual"/>
    </w:rPr>
  </w:style>
  <w:style w:type="paragraph" w:customStyle="1" w:styleId="Heading2SyllabusChanges">
    <w:name w:val="Heading 2_Syllabus Changes"/>
    <w:basedOn w:val="Heading1SyllabusChanges"/>
    <w:qFormat/>
    <w:rsid w:val="004776E3"/>
    <w:pPr>
      <w:outlineLvl w:val="1"/>
    </w:pPr>
    <w:rPr>
      <w:bCs w:val="0"/>
    </w:rPr>
  </w:style>
  <w:style w:type="paragraph" w:customStyle="1" w:styleId="Heading3SyllabusChanges">
    <w:name w:val="Heading 3_Syllabus Changes"/>
    <w:basedOn w:val="Heading2SyllabusChanges"/>
    <w:qFormat/>
    <w:rsid w:val="004776E3"/>
  </w:style>
  <w:style w:type="paragraph" w:customStyle="1" w:styleId="ListParagraphSyllabusChanges">
    <w:name w:val="List Paragraph_Syllabus Changes"/>
    <w:basedOn w:val="Normal"/>
    <w:qFormat/>
    <w:rsid w:val="004776E3"/>
    <w:pPr>
      <w:numPr>
        <w:numId w:val="4"/>
      </w:numPr>
      <w:spacing w:after="120" w:line="276" w:lineRule="auto"/>
    </w:pPr>
    <w:rPr>
      <w:rFonts w:ascii="Calibri" w:hAnsi="Calibri"/>
      <w:kern w:val="2"/>
      <w:lang w:val="en-US"/>
      <w14:ligatures w14:val="standardContextual"/>
    </w:rPr>
  </w:style>
  <w:style w:type="paragraph" w:customStyle="1" w:styleId="SubHeading1SyllabusChanges">
    <w:name w:val="SubHeading 1_Syllabus Changes"/>
    <w:basedOn w:val="Heading3SyllabusChanges"/>
    <w:qFormat/>
    <w:rsid w:val="004776E3"/>
    <w:pPr>
      <w:outlineLvl w:val="2"/>
    </w:pPr>
    <w:rPr>
      <w:bCs/>
    </w:rPr>
  </w:style>
  <w:style w:type="paragraph" w:customStyle="1" w:styleId="SubHeading2SyllabusChanges">
    <w:name w:val="SubHeading 2_Syllabus Changes"/>
    <w:basedOn w:val="SubHeading1SyllabusChanges"/>
    <w:qFormat/>
    <w:rsid w:val="004776E3"/>
    <w:pPr>
      <w:spacing w:before="120"/>
      <w:outlineLvl w:val="3"/>
    </w:pPr>
    <w:rPr>
      <w:bCs w:val="0"/>
    </w:rPr>
  </w:style>
  <w:style w:type="paragraph" w:customStyle="1" w:styleId="SubHeading3SyllabusChanges">
    <w:name w:val="SubHeading 3_Syllabus Changes"/>
    <w:basedOn w:val="SubHeading2SyllabusChanges"/>
    <w:qFormat/>
    <w:rsid w:val="004776E3"/>
    <w:pPr>
      <w:outlineLvl w:val="4"/>
    </w:pPr>
    <w:rPr>
      <w:bCs/>
    </w:rPr>
  </w:style>
  <w:style w:type="table" w:customStyle="1" w:styleId="SyllabusTable">
    <w:name w:val="Syllabus Table"/>
    <w:basedOn w:val="TableNormal"/>
    <w:uiPriority w:val="99"/>
    <w:rsid w:val="004776E3"/>
    <w:pPr>
      <w:spacing w:line="276" w:lineRule="auto"/>
    </w:pPr>
    <w:rPr>
      <w:rFonts w:ascii="Calibri" w:eastAsiaTheme="minorEastAsia" w:hAnsi="Calibri"/>
      <w:sz w:val="20"/>
    </w:rPr>
    <w:tblPr>
      <w:tblBorders>
        <w:top w:val="single" w:sz="4" w:space="0" w:color="9983B5"/>
        <w:left w:val="single" w:sz="4" w:space="0" w:color="9983B5"/>
        <w:bottom w:val="single" w:sz="4" w:space="0" w:color="9983B5"/>
        <w:right w:val="single" w:sz="4" w:space="0" w:color="9983B5"/>
        <w:insideH w:val="single" w:sz="4" w:space="0" w:color="9983B5"/>
        <w:insideV w:val="single" w:sz="4" w:space="0" w:color="9983B5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rPr>
        <w:b/>
        <w:color w:val="FFFFFF" w:themeColor="background1"/>
      </w:rPr>
      <w:tblPr/>
      <w:trPr>
        <w:cantSplit/>
        <w:tblHeader/>
      </w:trPr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9983B5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0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Hudson</dc:creator>
  <cp:keywords/>
  <dc:description/>
  <cp:lastModifiedBy>Suzie Harman</cp:lastModifiedBy>
  <cp:revision>10</cp:revision>
  <dcterms:created xsi:type="dcterms:W3CDTF">2024-06-12T07:47:00Z</dcterms:created>
  <dcterms:modified xsi:type="dcterms:W3CDTF">2024-08-21T02:54:00Z</dcterms:modified>
</cp:coreProperties>
</file>