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B17ACBC" w:rsidR="00A93F91" w:rsidRPr="00A218D7" w:rsidRDefault="00103478" w:rsidP="006A0F1C">
      <w:pPr>
        <w:pStyle w:val="SCSATitle1"/>
        <w:ind w:right="-57"/>
        <w:rPr>
          <w:rFonts w:ascii="Calibri" w:hAnsi="Calibri"/>
          <w:sz w:val="55"/>
          <w:szCs w:val="55"/>
        </w:rPr>
      </w:pPr>
      <w:r w:rsidRPr="00A218D7">
        <w:rPr>
          <w:noProof/>
          <w:sz w:val="55"/>
          <w:szCs w:val="55"/>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D584B" w:rsidRPr="00A218D7">
        <w:rPr>
          <w:noProof/>
          <w:sz w:val="55"/>
          <w:szCs w:val="55"/>
        </w:rPr>
        <w:t>A</w:t>
      </w:r>
      <w:r w:rsidR="00A218D7" w:rsidRPr="00A218D7">
        <w:rPr>
          <w:noProof/>
          <w:sz w:val="55"/>
          <w:szCs w:val="55"/>
        </w:rPr>
        <w:t xml:space="preserve">utomotive Engineering and </w:t>
      </w:r>
      <w:r w:rsidR="00DD584B" w:rsidRPr="00A218D7">
        <w:rPr>
          <w:noProof/>
          <w:sz w:val="55"/>
          <w:szCs w:val="55"/>
        </w:rPr>
        <w:t>Technology</w:t>
      </w:r>
    </w:p>
    <w:p w14:paraId="48A9D027" w14:textId="02E0C96B" w:rsidR="00AA2B0D" w:rsidRPr="00A93F91" w:rsidRDefault="00041B44" w:rsidP="00227D40">
      <w:pPr>
        <w:pStyle w:val="SCSATitle2"/>
      </w:pPr>
      <w:r>
        <w:t>General</w:t>
      </w:r>
      <w:r w:rsidR="00AA2B0D" w:rsidRPr="00A93F91">
        <w:t xml:space="preserve"> course</w:t>
      </w:r>
    </w:p>
    <w:p w14:paraId="48E1D5DD" w14:textId="5901D466" w:rsidR="001F2E53" w:rsidRDefault="00326EAC" w:rsidP="00227D40">
      <w:pPr>
        <w:pStyle w:val="SCSATitle3"/>
      </w:pPr>
      <w:r w:rsidRPr="00B41296">
        <w:t xml:space="preserve">Year </w:t>
      </w:r>
      <w:r w:rsidR="00516F12">
        <w:t>1</w:t>
      </w:r>
      <w:r w:rsidR="002D5147">
        <w:t>2</w:t>
      </w:r>
      <w:r w:rsidR="00041B44">
        <w:t xml:space="preserve"> </w:t>
      </w:r>
      <w:r w:rsidR="00FC77F4">
        <w:t>s</w:t>
      </w:r>
      <w:r w:rsidRPr="00B41296">
        <w:t xml:space="preserve">yllabus </w:t>
      </w:r>
      <w:r w:rsidR="00FE6119">
        <w:t xml:space="preserve">– What’s changing: General capabilities </w:t>
      </w:r>
    </w:p>
    <w:p w14:paraId="35A356C3" w14:textId="76DEEE83" w:rsidR="002C05E5" w:rsidRPr="00B41296" w:rsidRDefault="001F2E53" w:rsidP="00227D40">
      <w:pPr>
        <w:pStyle w:val="SCSATitle3"/>
      </w:pPr>
      <w:bookmarkStart w:id="0" w:name="_Hlk197502329"/>
      <w:r>
        <w:t xml:space="preserve">For teaching in </w:t>
      </w:r>
      <w:bookmarkEnd w:id="0"/>
      <w:r w:rsidR="00516F12">
        <w:t>202</w:t>
      </w:r>
      <w:r w:rsidR="00E02E4A">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58F769B" w14:textId="77777777" w:rsidR="005C5137" w:rsidRPr="00B46658" w:rsidRDefault="005C5137" w:rsidP="005C5137">
      <w:pPr>
        <w:rPr>
          <w:rFonts w:cstheme="minorHAnsi"/>
          <w:b/>
          <w:bCs/>
        </w:rPr>
      </w:pPr>
      <w:r w:rsidRPr="00B46658">
        <w:rPr>
          <w:rFonts w:cstheme="minorHAnsi"/>
          <w:b/>
          <w:bCs/>
        </w:rPr>
        <w:t>Background</w:t>
      </w:r>
    </w:p>
    <w:p w14:paraId="1BC60C73" w14:textId="77777777" w:rsidR="005C5137" w:rsidRPr="00B46658" w:rsidRDefault="005C5137" w:rsidP="005C5137">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17D8603C" w14:textId="77777777" w:rsidR="005C5137" w:rsidRPr="00B46658" w:rsidRDefault="005C5137" w:rsidP="005C5137">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62F0AA12" w14:textId="77777777" w:rsidR="005C5137" w:rsidRPr="00B46658" w:rsidRDefault="005C5137" w:rsidP="005C5137">
      <w:pPr>
        <w:rPr>
          <w:rFonts w:cstheme="minorHAnsi"/>
          <w:b/>
          <w:bCs/>
          <w:sz w:val="20"/>
          <w:szCs w:val="20"/>
        </w:rPr>
      </w:pPr>
      <w:r w:rsidRPr="00B46658">
        <w:rPr>
          <w:rFonts w:cstheme="minorHAnsi"/>
          <w:b/>
          <w:bCs/>
          <w:sz w:val="20"/>
          <w:szCs w:val="20"/>
        </w:rPr>
        <w:t>Important information</w:t>
      </w:r>
    </w:p>
    <w:p w14:paraId="45B9714B" w14:textId="77777777" w:rsidR="005C5137" w:rsidRPr="00B46658" w:rsidRDefault="005C5137" w:rsidP="005C5137">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63C34A4" w14:textId="77777777" w:rsidR="005C5137" w:rsidRPr="00B46658" w:rsidRDefault="005C5137" w:rsidP="005C5137">
      <w:pPr>
        <w:rPr>
          <w:rFonts w:cstheme="minorHAnsi"/>
          <w:sz w:val="20"/>
          <w:szCs w:val="20"/>
        </w:rPr>
      </w:pPr>
      <w:r w:rsidRPr="00B46658">
        <w:rPr>
          <w:rFonts w:cstheme="minorHAnsi"/>
          <w:sz w:val="20"/>
          <w:szCs w:val="20"/>
        </w:rPr>
        <w:t>This document contains information that will be included in the syllabus effective from 1 January 2027.</w:t>
      </w:r>
    </w:p>
    <w:p w14:paraId="7EBC7514" w14:textId="77777777" w:rsidR="005C5137" w:rsidRPr="00B46658" w:rsidRDefault="005C5137" w:rsidP="005C5137">
      <w:pPr>
        <w:rPr>
          <w:rFonts w:cstheme="minorHAnsi"/>
          <w:sz w:val="20"/>
          <w:szCs w:val="20"/>
        </w:rPr>
      </w:pPr>
      <w:r w:rsidRPr="00B46658">
        <w:rPr>
          <w:rFonts w:cstheme="minorHAnsi"/>
          <w:sz w:val="20"/>
          <w:szCs w:val="20"/>
        </w:rPr>
        <w:t>Users of the syllabus are responsible for checking its currency.</w:t>
      </w:r>
    </w:p>
    <w:p w14:paraId="1EE48A10" w14:textId="77777777" w:rsidR="005C5137" w:rsidRPr="00B46658" w:rsidRDefault="005C5137" w:rsidP="005C5137">
      <w:pPr>
        <w:rPr>
          <w:rFonts w:cstheme="minorHAnsi"/>
          <w:sz w:val="20"/>
          <w:szCs w:val="20"/>
        </w:rPr>
      </w:pPr>
      <w:r w:rsidRPr="00B46658">
        <w:rPr>
          <w:rFonts w:cstheme="minorHAnsi"/>
          <w:sz w:val="20"/>
          <w:szCs w:val="20"/>
        </w:rPr>
        <w:t>Syllabuses are formally reviewed by the Authority on a cyclical basis, typically every five years.</w:t>
      </w:r>
    </w:p>
    <w:p w14:paraId="40913CC9" w14:textId="77777777" w:rsidR="005C5137" w:rsidRPr="00B46658" w:rsidRDefault="005C5137" w:rsidP="005C5137">
      <w:pPr>
        <w:jc w:val="both"/>
        <w:rPr>
          <w:rFonts w:cstheme="minorHAnsi"/>
          <w:b/>
          <w:sz w:val="20"/>
          <w:szCs w:val="20"/>
        </w:rPr>
      </w:pPr>
      <w:r w:rsidRPr="00B46658">
        <w:rPr>
          <w:rFonts w:cstheme="minorHAnsi"/>
          <w:b/>
          <w:sz w:val="20"/>
          <w:szCs w:val="20"/>
        </w:rPr>
        <w:t>Copyright</w:t>
      </w:r>
    </w:p>
    <w:p w14:paraId="1ED5D4F8" w14:textId="77777777" w:rsidR="005C5137" w:rsidRPr="00B46658" w:rsidRDefault="005C5137" w:rsidP="005C5137">
      <w:pPr>
        <w:jc w:val="both"/>
        <w:rPr>
          <w:rFonts w:cstheme="minorHAnsi"/>
          <w:sz w:val="20"/>
          <w:szCs w:val="20"/>
          <w:lang w:val="en-GB"/>
        </w:rPr>
      </w:pPr>
      <w:r w:rsidRPr="00B46658">
        <w:rPr>
          <w:rFonts w:cstheme="minorHAnsi"/>
          <w:sz w:val="20"/>
          <w:szCs w:val="20"/>
          <w:lang w:val="en-GB"/>
        </w:rPr>
        <w:t>© School Curriculum and Standards Authority, 2025</w:t>
      </w:r>
    </w:p>
    <w:p w14:paraId="0C5801CB" w14:textId="77777777" w:rsidR="005C5137" w:rsidRPr="00B46658" w:rsidRDefault="005C5137" w:rsidP="005C5137">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749781A" w14:textId="77777777" w:rsidR="005C5137" w:rsidRPr="00B46658" w:rsidRDefault="005C5137" w:rsidP="005C5137">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535F62F0" w:rsidR="007E1AFD" w:rsidRPr="005D1726" w:rsidRDefault="005C5137"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6A0F1C">
          <w:footerReference w:type="even" r:id="rId10"/>
          <w:pgSz w:w="11906" w:h="16838"/>
          <w:pgMar w:top="1644" w:right="1418" w:bottom="1276" w:left="1418" w:header="680" w:footer="567" w:gutter="0"/>
          <w:cols w:space="708"/>
          <w:titlePg/>
          <w:docGrid w:linePitch="360"/>
        </w:sectPr>
      </w:pPr>
    </w:p>
    <w:p w14:paraId="1404858C" w14:textId="7AE6152C" w:rsidR="00CB0B33" w:rsidRPr="006054A2" w:rsidRDefault="00CB0B33" w:rsidP="0046580A">
      <w:pPr>
        <w:pStyle w:val="SCSAHeading2"/>
        <w:spacing w:after="100" w:line="264" w:lineRule="auto"/>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2E223D">
        <w:t xml:space="preserve"> </w:t>
      </w:r>
    </w:p>
    <w:p w14:paraId="2524049B" w14:textId="2CA466E9" w:rsidR="006054A2" w:rsidRPr="009C3CBD" w:rsidRDefault="008C61A4" w:rsidP="0046580A">
      <w:pPr>
        <w:spacing w:after="100" w:line="264" w:lineRule="auto"/>
      </w:pPr>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9C3CBD">
        <w:t xml:space="preserve"> Teachers should find opportunities to incorporate the following capabilit</w:t>
      </w:r>
      <w:r w:rsidR="00E02E4A">
        <w:t>y</w:t>
      </w:r>
      <w:r w:rsidR="006054A2" w:rsidRPr="009C3CBD">
        <w:t xml:space="preserve"> into the teaching and learning program for the </w:t>
      </w:r>
      <w:bookmarkStart w:id="4" w:name="_Hlk197498480"/>
      <w:r w:rsidR="002E223D" w:rsidRPr="002E223D">
        <w:t xml:space="preserve">Automotive Engineering and Technology </w:t>
      </w:r>
      <w:r w:rsidR="002E223D">
        <w:t>General</w:t>
      </w:r>
      <w:r w:rsidR="006054A2" w:rsidRPr="009C3CBD">
        <w:t xml:space="preserve"> </w:t>
      </w:r>
      <w:bookmarkEnd w:id="4"/>
      <w:r w:rsidR="006054A2" w:rsidRPr="009C3CBD">
        <w:t>course. The general capabilities are not assessed unless they are identified within the specified unit content.</w:t>
      </w:r>
    </w:p>
    <w:p w14:paraId="3F8850AC" w14:textId="75ED2151" w:rsidR="00426B9A" w:rsidRPr="009C3CBD" w:rsidRDefault="00426B9A" w:rsidP="0046580A">
      <w:pPr>
        <w:pStyle w:val="SCSAHeading3"/>
        <w:spacing w:after="100" w:line="264" w:lineRule="auto"/>
      </w:pPr>
      <w:r w:rsidRPr="009C3CBD">
        <w:t>Literacy</w:t>
      </w:r>
    </w:p>
    <w:p w14:paraId="6CC59D60" w14:textId="1C3DB6E8" w:rsidR="002E223D" w:rsidRPr="00733A56" w:rsidRDefault="002E223D" w:rsidP="0046580A">
      <w:pPr>
        <w:spacing w:after="100" w:line="264" w:lineRule="auto"/>
      </w:pPr>
      <w:r w:rsidRPr="00733A56">
        <w:t>The Automotive</w:t>
      </w:r>
      <w:r w:rsidR="00E02E4A" w:rsidRPr="00733A56">
        <w:t xml:space="preserve"> Engineering and Technology</w:t>
      </w:r>
      <w:r w:rsidRPr="00733A56">
        <w:t xml:space="preserve"> </w:t>
      </w:r>
      <w:r w:rsidR="00EF1805" w:rsidRPr="00733A56">
        <w:t xml:space="preserve">General </w:t>
      </w:r>
      <w:r w:rsidR="00E02E4A" w:rsidRPr="00733A56">
        <w:t>course</w:t>
      </w:r>
      <w:r w:rsidRPr="00733A56">
        <w:t xml:space="preserve"> develops </w:t>
      </w:r>
      <w:r w:rsidR="00F07F61" w:rsidRPr="00733A56">
        <w:t>l</w:t>
      </w:r>
      <w:r w:rsidRPr="00733A56">
        <w:t>iteracy skills, particularly in reading and viewing</w:t>
      </w:r>
      <w:r w:rsidR="00E01DE7">
        <w:t>,</w:t>
      </w:r>
      <w:r w:rsidRPr="00733A56">
        <w:t xml:space="preserve"> and writing, by engaging students with technical documentation, workplace communication and practical reporting. In reading and viewing, students interpret workshop manuals, safety guidelines, technical diagrams and vehicle specifications to understand repair procedures and diagnose faults. They also analyse warning labels, manufacturer instructions and workplace policies to ensure compliance with industry standards. In writing, students complete service reports, job sheets and maintenance records, accurately documenting vehicle inspections, repairs and parts replacements. They also develop written responses in theory assessments, explaining mechanical concepts, safety procedures and troubleshooting techniques.</w:t>
      </w:r>
    </w:p>
    <w:bookmarkEnd w:id="2"/>
    <w:p w14:paraId="25660E66" w14:textId="4B178D2E" w:rsidR="00866046" w:rsidRDefault="00866046" w:rsidP="0046580A">
      <w:pPr>
        <w:pStyle w:val="SCSAHeading3"/>
        <w:spacing w:after="100" w:line="264" w:lineRule="auto"/>
      </w:pPr>
      <w:r>
        <w:t>Addressing the other general capabilities</w:t>
      </w:r>
    </w:p>
    <w:p w14:paraId="574326AF" w14:textId="72A8E682" w:rsidR="00866046" w:rsidRDefault="00866046" w:rsidP="0046580A">
      <w:pPr>
        <w:spacing w:after="100" w:line="264" w:lineRule="auto"/>
      </w:pPr>
      <w:r>
        <w:t xml:space="preserve">Although the following general capabilities have not been identified as a focus in the Automotive Engineering and Technology General </w:t>
      </w:r>
      <w:r w:rsidR="00663846">
        <w:t xml:space="preserve">Year 12 </w:t>
      </w:r>
      <w:r w:rsidR="005974F2">
        <w:t>syllabus</w:t>
      </w:r>
      <w:r>
        <w:t>, teachers may find opportunities to incorporate these capabilities in the teaching and learning program.</w:t>
      </w:r>
    </w:p>
    <w:p w14:paraId="74FE9D99" w14:textId="0AC950F7" w:rsidR="00663846" w:rsidDel="005974F2" w:rsidRDefault="00663846" w:rsidP="0046580A">
      <w:pPr>
        <w:pStyle w:val="ListParagraph"/>
        <w:numPr>
          <w:ilvl w:val="0"/>
          <w:numId w:val="20"/>
        </w:numPr>
        <w:spacing w:after="100" w:line="264" w:lineRule="auto"/>
      </w:pPr>
      <w:r w:rsidDel="005974F2">
        <w:t>Critical and creative thinking</w:t>
      </w:r>
    </w:p>
    <w:p w14:paraId="39A1C63F" w14:textId="77777777" w:rsidR="00866046" w:rsidRDefault="00866046" w:rsidP="0046580A">
      <w:pPr>
        <w:pStyle w:val="ListParagraph"/>
        <w:numPr>
          <w:ilvl w:val="0"/>
          <w:numId w:val="20"/>
        </w:numPr>
        <w:spacing w:after="100" w:line="264" w:lineRule="auto"/>
      </w:pPr>
      <w:r>
        <w:t>Digital literacy</w:t>
      </w:r>
    </w:p>
    <w:p w14:paraId="1CE73F01" w14:textId="77777777" w:rsidR="00663846" w:rsidRDefault="00663846" w:rsidP="0046580A">
      <w:pPr>
        <w:pStyle w:val="ListParagraph"/>
        <w:numPr>
          <w:ilvl w:val="0"/>
          <w:numId w:val="20"/>
        </w:numPr>
        <w:spacing w:after="100" w:line="264" w:lineRule="auto"/>
      </w:pPr>
      <w:r w:rsidDel="005974F2">
        <w:t>Ethical understanding</w:t>
      </w:r>
    </w:p>
    <w:p w14:paraId="1C9547B6" w14:textId="75B7F660" w:rsidR="00D276E9" w:rsidDel="005974F2" w:rsidRDefault="00D276E9" w:rsidP="0046580A">
      <w:pPr>
        <w:pStyle w:val="ListParagraph"/>
        <w:numPr>
          <w:ilvl w:val="0"/>
          <w:numId w:val="20"/>
        </w:numPr>
        <w:spacing w:after="100" w:line="264" w:lineRule="auto"/>
      </w:pPr>
      <w:bookmarkStart w:id="5" w:name="_Hlk206511626"/>
      <w:r>
        <w:t>Intercultural understanding</w:t>
      </w:r>
    </w:p>
    <w:bookmarkEnd w:id="5"/>
    <w:p w14:paraId="770053AE" w14:textId="34ED325B" w:rsidR="00663846" w:rsidRDefault="00663846" w:rsidP="0046580A">
      <w:pPr>
        <w:pStyle w:val="ListParagraph"/>
        <w:numPr>
          <w:ilvl w:val="0"/>
          <w:numId w:val="20"/>
        </w:numPr>
        <w:spacing w:after="100" w:line="264" w:lineRule="auto"/>
      </w:pPr>
      <w:r w:rsidDel="005974F2">
        <w:t>Numeracy</w:t>
      </w:r>
    </w:p>
    <w:p w14:paraId="268D75FE" w14:textId="77777777" w:rsidR="00866046" w:rsidRDefault="00866046" w:rsidP="0046580A">
      <w:pPr>
        <w:pStyle w:val="ListParagraph"/>
        <w:numPr>
          <w:ilvl w:val="0"/>
          <w:numId w:val="20"/>
        </w:numPr>
        <w:spacing w:after="100" w:line="264" w:lineRule="auto"/>
      </w:pPr>
      <w:r>
        <w:t>Personal and social capability</w:t>
      </w:r>
    </w:p>
    <w:p w14:paraId="05E44114" w14:textId="4229F174" w:rsidR="00733A56" w:rsidRDefault="00866046" w:rsidP="0046580A">
      <w:pPr>
        <w:spacing w:after="100" w:line="264" w:lineRule="auto"/>
      </w:pPr>
      <w:r>
        <w:t>Such opportunities may occur through the application of different contexts, pedagogical practices and/or assessment strategies that relate to the syllabus as part of the teaching and learning program.</w:t>
      </w:r>
    </w:p>
    <w:p w14:paraId="20A15EE1" w14:textId="7D85C68F" w:rsidR="00866046" w:rsidRDefault="00866046" w:rsidP="0046580A">
      <w:pPr>
        <w:pStyle w:val="SCSAHeading3"/>
        <w:spacing w:after="100" w:line="264" w:lineRule="auto"/>
      </w:pPr>
      <w:r>
        <w:t xml:space="preserve">Summary representation of the general capabilities in the Automotive Engineering and Technology General course </w:t>
      </w:r>
    </w:p>
    <w:p w14:paraId="69C1A392" w14:textId="0BE5A86F" w:rsidR="00866046" w:rsidRDefault="00E3199E" w:rsidP="0046580A">
      <w:pPr>
        <w:spacing w:after="100" w:line="264" w:lineRule="auto"/>
      </w:pPr>
      <w:r w:rsidRPr="005D03F0">
        <w:t>A representation of the general capabilities for the two years</w:t>
      </w:r>
      <w:r>
        <w:t xml:space="preserve"> of the </w:t>
      </w:r>
      <w:r w:rsidRPr="00F95D8B">
        <w:t>Automotive Engineering and Technology</w:t>
      </w:r>
      <w:r>
        <w:t xml:space="preserve"> General </w:t>
      </w:r>
      <w:r w:rsidRPr="009C3CBD">
        <w:t>course</w:t>
      </w:r>
      <w:r w:rsidRPr="005D03F0">
        <w:t xml:space="preserve"> is summarised in the table below</w:t>
      </w:r>
      <w:r>
        <w:t>.</w:t>
      </w:r>
    </w:p>
    <w:tbl>
      <w:tblPr>
        <w:tblStyle w:val="SCSATableclearstyle"/>
        <w:tblW w:w="5000" w:type="pct"/>
        <w:tblLook w:val="04A0" w:firstRow="1" w:lastRow="0" w:firstColumn="1" w:lastColumn="0" w:noHBand="0" w:noVBand="1"/>
      </w:tblPr>
      <w:tblGrid>
        <w:gridCol w:w="997"/>
        <w:gridCol w:w="3111"/>
        <w:gridCol w:w="870"/>
        <w:gridCol w:w="603"/>
        <w:gridCol w:w="603"/>
        <w:gridCol w:w="604"/>
        <w:gridCol w:w="603"/>
        <w:gridCol w:w="604"/>
        <w:gridCol w:w="603"/>
        <w:gridCol w:w="604"/>
      </w:tblGrid>
      <w:tr w:rsidR="002F789B" w:rsidRPr="006A76EA" w14:paraId="4186C571" w14:textId="77777777" w:rsidTr="0046580A">
        <w:trPr>
          <w:cnfStyle w:val="100000000000" w:firstRow="1" w:lastRow="0" w:firstColumn="0" w:lastColumn="0" w:oddVBand="0" w:evenVBand="0" w:oddHBand="0" w:evenHBand="0" w:firstRowFirstColumn="0" w:firstRowLastColumn="0" w:lastRowFirstColumn="0" w:lastRowLastColumn="0"/>
          <w:trHeight w:val="261"/>
        </w:trPr>
        <w:tc>
          <w:tcPr>
            <w:tcW w:w="997" w:type="dxa"/>
            <w:vMerge w:val="restart"/>
          </w:tcPr>
          <w:p w14:paraId="59619957" w14:textId="77777777" w:rsidR="002F789B" w:rsidRPr="006A76EA" w:rsidRDefault="002F789B" w:rsidP="0046580A">
            <w:pPr>
              <w:spacing w:line="240" w:lineRule="auto"/>
              <w:rPr>
                <w:b w:val="0"/>
                <w:bCs/>
              </w:rPr>
            </w:pPr>
            <w:r w:rsidRPr="006A76EA">
              <w:rPr>
                <w:bCs/>
              </w:rPr>
              <w:t>Year</w:t>
            </w:r>
          </w:p>
        </w:tc>
        <w:tc>
          <w:tcPr>
            <w:tcW w:w="3111" w:type="dxa"/>
            <w:vMerge w:val="restart"/>
          </w:tcPr>
          <w:p w14:paraId="10447E38" w14:textId="77777777" w:rsidR="002F789B" w:rsidRPr="006A76EA" w:rsidRDefault="002F789B" w:rsidP="0046580A">
            <w:pPr>
              <w:spacing w:line="240" w:lineRule="auto"/>
              <w:rPr>
                <w:b w:val="0"/>
                <w:bCs/>
              </w:rPr>
            </w:pPr>
            <w:r w:rsidRPr="006A76EA">
              <w:rPr>
                <w:bCs/>
              </w:rPr>
              <w:t>Course</w:t>
            </w:r>
          </w:p>
        </w:tc>
        <w:tc>
          <w:tcPr>
            <w:tcW w:w="870" w:type="dxa"/>
            <w:vMerge w:val="restart"/>
          </w:tcPr>
          <w:p w14:paraId="2EAAD521" w14:textId="77777777" w:rsidR="002F789B" w:rsidRPr="006A76EA" w:rsidRDefault="002F789B" w:rsidP="0046580A">
            <w:pPr>
              <w:spacing w:line="240" w:lineRule="auto"/>
              <w:rPr>
                <w:b w:val="0"/>
                <w:bCs/>
              </w:rPr>
            </w:pPr>
            <w:r w:rsidRPr="006A76EA">
              <w:rPr>
                <w:bCs/>
              </w:rPr>
              <w:t xml:space="preserve">Course </w:t>
            </w:r>
            <w:r>
              <w:rPr>
                <w:bCs/>
              </w:rPr>
              <w:t>t</w:t>
            </w:r>
            <w:r w:rsidRPr="006A76EA">
              <w:rPr>
                <w:bCs/>
              </w:rPr>
              <w:t>ype</w:t>
            </w:r>
          </w:p>
        </w:tc>
        <w:tc>
          <w:tcPr>
            <w:tcW w:w="4224" w:type="dxa"/>
            <w:gridSpan w:val="7"/>
          </w:tcPr>
          <w:p w14:paraId="6ABF21F6" w14:textId="77777777" w:rsidR="002F789B" w:rsidRPr="006A76EA" w:rsidRDefault="002F789B" w:rsidP="0046580A">
            <w:pPr>
              <w:spacing w:line="240" w:lineRule="auto"/>
              <w:jc w:val="center"/>
              <w:rPr>
                <w:b w:val="0"/>
                <w:bCs/>
              </w:rPr>
            </w:pPr>
            <w:r w:rsidRPr="006A76EA">
              <w:rPr>
                <w:bCs/>
              </w:rPr>
              <w:t xml:space="preserve">General </w:t>
            </w:r>
            <w:r>
              <w:rPr>
                <w:bCs/>
              </w:rPr>
              <w:t>c</w:t>
            </w:r>
            <w:r w:rsidRPr="006A76EA">
              <w:rPr>
                <w:bCs/>
              </w:rPr>
              <w:t>apabilities</w:t>
            </w:r>
          </w:p>
        </w:tc>
      </w:tr>
      <w:tr w:rsidR="002F789B" w:rsidRPr="006A76EA" w14:paraId="6FE7348E" w14:textId="77777777" w:rsidTr="0046580A">
        <w:trPr>
          <w:trHeight w:val="142"/>
        </w:trPr>
        <w:tc>
          <w:tcPr>
            <w:tcW w:w="997" w:type="dxa"/>
            <w:vMerge/>
          </w:tcPr>
          <w:p w14:paraId="6A51492E" w14:textId="77777777" w:rsidR="002F789B" w:rsidRPr="006A76EA" w:rsidRDefault="002F789B" w:rsidP="0046580A">
            <w:pPr>
              <w:spacing w:line="240" w:lineRule="auto"/>
              <w:rPr>
                <w:b/>
                <w:bCs/>
              </w:rPr>
            </w:pPr>
          </w:p>
        </w:tc>
        <w:tc>
          <w:tcPr>
            <w:tcW w:w="3111" w:type="dxa"/>
            <w:vMerge/>
          </w:tcPr>
          <w:p w14:paraId="4B714E57" w14:textId="77777777" w:rsidR="002F789B" w:rsidRPr="006A76EA" w:rsidRDefault="002F789B" w:rsidP="0046580A">
            <w:pPr>
              <w:spacing w:line="240" w:lineRule="auto"/>
              <w:rPr>
                <w:b/>
                <w:bCs/>
              </w:rPr>
            </w:pPr>
          </w:p>
        </w:tc>
        <w:tc>
          <w:tcPr>
            <w:tcW w:w="870" w:type="dxa"/>
            <w:vMerge/>
          </w:tcPr>
          <w:p w14:paraId="54D73745" w14:textId="77777777" w:rsidR="002F789B" w:rsidRPr="006A76EA" w:rsidRDefault="002F789B" w:rsidP="0046580A">
            <w:pPr>
              <w:spacing w:line="240" w:lineRule="auto"/>
              <w:rPr>
                <w:b/>
                <w:bCs/>
              </w:rPr>
            </w:pPr>
          </w:p>
        </w:tc>
        <w:tc>
          <w:tcPr>
            <w:tcW w:w="603" w:type="dxa"/>
          </w:tcPr>
          <w:p w14:paraId="5F703FD6" w14:textId="77777777" w:rsidR="002F789B" w:rsidRPr="006A76EA" w:rsidRDefault="002F789B" w:rsidP="0046580A">
            <w:pPr>
              <w:spacing w:line="240" w:lineRule="auto"/>
              <w:jc w:val="center"/>
              <w:rPr>
                <w:b/>
                <w:bCs/>
              </w:rPr>
            </w:pPr>
            <w:r>
              <w:rPr>
                <w:b/>
                <w:bCs/>
              </w:rPr>
              <w:t>CCT</w:t>
            </w:r>
          </w:p>
        </w:tc>
        <w:tc>
          <w:tcPr>
            <w:tcW w:w="603" w:type="dxa"/>
            <w:tcBorders>
              <w:bottom w:val="single" w:sz="4" w:space="0" w:color="BD9FCF"/>
            </w:tcBorders>
          </w:tcPr>
          <w:p w14:paraId="704DD28D" w14:textId="77777777" w:rsidR="002F789B" w:rsidRPr="006A76EA" w:rsidRDefault="002F789B" w:rsidP="0046580A">
            <w:pPr>
              <w:spacing w:line="240" w:lineRule="auto"/>
              <w:jc w:val="center"/>
              <w:rPr>
                <w:b/>
                <w:bCs/>
              </w:rPr>
            </w:pPr>
            <w:r>
              <w:rPr>
                <w:b/>
                <w:bCs/>
              </w:rPr>
              <w:t>DL</w:t>
            </w:r>
          </w:p>
        </w:tc>
        <w:tc>
          <w:tcPr>
            <w:tcW w:w="604" w:type="dxa"/>
            <w:tcBorders>
              <w:bottom w:val="single" w:sz="4" w:space="0" w:color="BD9FCF"/>
            </w:tcBorders>
          </w:tcPr>
          <w:p w14:paraId="749354F2" w14:textId="77777777" w:rsidR="002F789B" w:rsidRPr="006A76EA" w:rsidRDefault="002F789B" w:rsidP="0046580A">
            <w:pPr>
              <w:spacing w:line="240" w:lineRule="auto"/>
              <w:jc w:val="center"/>
              <w:rPr>
                <w:b/>
                <w:bCs/>
              </w:rPr>
            </w:pPr>
            <w:r>
              <w:rPr>
                <w:b/>
                <w:bCs/>
              </w:rPr>
              <w:t>EU</w:t>
            </w:r>
          </w:p>
        </w:tc>
        <w:tc>
          <w:tcPr>
            <w:tcW w:w="603" w:type="dxa"/>
            <w:tcBorders>
              <w:bottom w:val="single" w:sz="4" w:space="0" w:color="BD9FCF"/>
            </w:tcBorders>
          </w:tcPr>
          <w:p w14:paraId="532EAD24" w14:textId="77777777" w:rsidR="002F789B" w:rsidRPr="006A76EA" w:rsidRDefault="002F789B" w:rsidP="0046580A">
            <w:pPr>
              <w:spacing w:line="240" w:lineRule="auto"/>
              <w:jc w:val="center"/>
              <w:rPr>
                <w:b/>
                <w:bCs/>
              </w:rPr>
            </w:pPr>
            <w:r>
              <w:rPr>
                <w:b/>
                <w:bCs/>
              </w:rPr>
              <w:t>IU</w:t>
            </w:r>
          </w:p>
        </w:tc>
        <w:tc>
          <w:tcPr>
            <w:tcW w:w="604" w:type="dxa"/>
            <w:tcBorders>
              <w:bottom w:val="single" w:sz="4" w:space="0" w:color="BD9FCF"/>
            </w:tcBorders>
          </w:tcPr>
          <w:p w14:paraId="40B52734" w14:textId="77777777" w:rsidR="002F789B" w:rsidRPr="006A76EA" w:rsidRDefault="002F789B" w:rsidP="0046580A">
            <w:pPr>
              <w:spacing w:line="240" w:lineRule="auto"/>
              <w:jc w:val="center"/>
              <w:rPr>
                <w:b/>
                <w:bCs/>
              </w:rPr>
            </w:pPr>
            <w:r>
              <w:rPr>
                <w:b/>
                <w:bCs/>
              </w:rPr>
              <w:t>L</w:t>
            </w:r>
          </w:p>
        </w:tc>
        <w:tc>
          <w:tcPr>
            <w:tcW w:w="603" w:type="dxa"/>
            <w:tcBorders>
              <w:bottom w:val="single" w:sz="4" w:space="0" w:color="BD9FCF"/>
            </w:tcBorders>
          </w:tcPr>
          <w:p w14:paraId="00ADC9AA" w14:textId="77777777" w:rsidR="002F789B" w:rsidRPr="006A76EA" w:rsidRDefault="002F789B" w:rsidP="0046580A">
            <w:pPr>
              <w:spacing w:line="240" w:lineRule="auto"/>
              <w:jc w:val="center"/>
              <w:rPr>
                <w:b/>
                <w:bCs/>
              </w:rPr>
            </w:pPr>
            <w:r>
              <w:rPr>
                <w:b/>
                <w:bCs/>
              </w:rPr>
              <w:t>N</w:t>
            </w:r>
          </w:p>
        </w:tc>
        <w:tc>
          <w:tcPr>
            <w:tcW w:w="604" w:type="dxa"/>
            <w:tcBorders>
              <w:bottom w:val="single" w:sz="4" w:space="0" w:color="BD9FCF"/>
            </w:tcBorders>
          </w:tcPr>
          <w:p w14:paraId="261E3515" w14:textId="77777777" w:rsidR="002F789B" w:rsidRPr="006A76EA" w:rsidRDefault="002F789B" w:rsidP="0046580A">
            <w:pPr>
              <w:spacing w:line="240" w:lineRule="auto"/>
              <w:jc w:val="center"/>
              <w:rPr>
                <w:b/>
                <w:bCs/>
              </w:rPr>
            </w:pPr>
            <w:r>
              <w:rPr>
                <w:b/>
                <w:bCs/>
              </w:rPr>
              <w:t>PSC</w:t>
            </w:r>
          </w:p>
        </w:tc>
      </w:tr>
      <w:tr w:rsidR="002F789B" w14:paraId="3CD5464C" w14:textId="77777777" w:rsidTr="00CE5424">
        <w:trPr>
          <w:trHeight w:val="261"/>
        </w:trPr>
        <w:tc>
          <w:tcPr>
            <w:tcW w:w="997" w:type="dxa"/>
          </w:tcPr>
          <w:p w14:paraId="13D80D55" w14:textId="77777777" w:rsidR="002F789B" w:rsidRDefault="002F789B" w:rsidP="0046580A">
            <w:pPr>
              <w:spacing w:line="240" w:lineRule="auto"/>
            </w:pPr>
            <w:r>
              <w:t>Year 11</w:t>
            </w:r>
          </w:p>
        </w:tc>
        <w:tc>
          <w:tcPr>
            <w:tcW w:w="3111" w:type="dxa"/>
          </w:tcPr>
          <w:p w14:paraId="62843ABC" w14:textId="77777777" w:rsidR="002F789B" w:rsidRDefault="002F789B" w:rsidP="0046580A">
            <w:pPr>
              <w:spacing w:line="240" w:lineRule="auto"/>
            </w:pPr>
            <w:r w:rsidRPr="00453590">
              <w:rPr>
                <w:rFonts w:cs="Calibri"/>
              </w:rPr>
              <w:t xml:space="preserve">Automotive Engineering and Technology </w:t>
            </w:r>
            <w:r>
              <w:rPr>
                <w:rFonts w:cs="Calibri"/>
              </w:rPr>
              <w:t>(GEAET, G1AET, G2AET)</w:t>
            </w:r>
          </w:p>
        </w:tc>
        <w:tc>
          <w:tcPr>
            <w:tcW w:w="870" w:type="dxa"/>
          </w:tcPr>
          <w:p w14:paraId="05CE3BBB" w14:textId="77777777" w:rsidR="002F789B" w:rsidRDefault="002F789B" w:rsidP="0046580A">
            <w:pPr>
              <w:spacing w:line="240" w:lineRule="auto"/>
            </w:pPr>
            <w:r>
              <w:t>General</w:t>
            </w:r>
          </w:p>
        </w:tc>
        <w:tc>
          <w:tcPr>
            <w:tcW w:w="603" w:type="dxa"/>
            <w:shd w:val="clear" w:color="auto" w:fill="FFFFFF" w:themeFill="background2" w:themeFillTint="33"/>
            <w:vAlign w:val="center"/>
          </w:tcPr>
          <w:p w14:paraId="53D62AF5" w14:textId="10D6B862" w:rsidR="002F789B" w:rsidRPr="00F95D8B" w:rsidRDefault="002F789B" w:rsidP="0046580A">
            <w:pPr>
              <w:spacing w:line="240" w:lineRule="auto"/>
              <w:jc w:val="center"/>
            </w:pPr>
          </w:p>
        </w:tc>
        <w:tc>
          <w:tcPr>
            <w:tcW w:w="603" w:type="dxa"/>
            <w:shd w:val="clear" w:color="auto" w:fill="DECFE8" w:themeFill="accent5"/>
            <w:vAlign w:val="center"/>
          </w:tcPr>
          <w:p w14:paraId="5A3AD16B" w14:textId="77777777" w:rsidR="002F789B" w:rsidRPr="008D46F9" w:rsidRDefault="002F789B" w:rsidP="0046580A">
            <w:pPr>
              <w:spacing w:line="240" w:lineRule="auto"/>
              <w:jc w:val="center"/>
              <w:rPr>
                <w:highlight w:val="yellow"/>
              </w:rPr>
            </w:pPr>
          </w:p>
        </w:tc>
        <w:tc>
          <w:tcPr>
            <w:tcW w:w="604" w:type="dxa"/>
            <w:shd w:val="clear" w:color="auto" w:fill="DECFE8" w:themeFill="accent5"/>
            <w:vAlign w:val="center"/>
          </w:tcPr>
          <w:p w14:paraId="1D80DC9A" w14:textId="77777777" w:rsidR="002F789B" w:rsidRPr="008D46F9" w:rsidRDefault="002F789B" w:rsidP="0046580A">
            <w:pPr>
              <w:spacing w:line="240" w:lineRule="auto"/>
              <w:jc w:val="center"/>
              <w:rPr>
                <w:highlight w:val="yellow"/>
              </w:rPr>
            </w:pPr>
          </w:p>
        </w:tc>
        <w:tc>
          <w:tcPr>
            <w:tcW w:w="603" w:type="dxa"/>
            <w:shd w:val="clear" w:color="auto" w:fill="DECFE8" w:themeFill="accent5"/>
            <w:vAlign w:val="center"/>
          </w:tcPr>
          <w:p w14:paraId="739BB48B" w14:textId="77777777" w:rsidR="002F789B" w:rsidRPr="008D46F9" w:rsidRDefault="002F789B" w:rsidP="0046580A">
            <w:pPr>
              <w:spacing w:line="240" w:lineRule="auto"/>
              <w:jc w:val="center"/>
              <w:rPr>
                <w:highlight w:val="yellow"/>
              </w:rPr>
            </w:pPr>
          </w:p>
        </w:tc>
        <w:tc>
          <w:tcPr>
            <w:tcW w:w="604" w:type="dxa"/>
            <w:vAlign w:val="center"/>
          </w:tcPr>
          <w:p w14:paraId="376A25F8" w14:textId="77777777" w:rsidR="002F789B" w:rsidRDefault="002F789B" w:rsidP="0046580A">
            <w:pPr>
              <w:spacing w:line="240" w:lineRule="auto"/>
              <w:jc w:val="center"/>
            </w:pPr>
            <w:r w:rsidRPr="00F95D8B">
              <w:sym w:font="Wingdings" w:char="F0FC"/>
            </w:r>
          </w:p>
        </w:tc>
        <w:tc>
          <w:tcPr>
            <w:tcW w:w="603" w:type="dxa"/>
            <w:shd w:val="clear" w:color="auto" w:fill="DECFE8" w:themeFill="accent5"/>
            <w:vAlign w:val="center"/>
          </w:tcPr>
          <w:p w14:paraId="7E3F5D1A" w14:textId="77777777" w:rsidR="002F789B" w:rsidRDefault="002F789B" w:rsidP="0046580A">
            <w:pPr>
              <w:spacing w:line="240" w:lineRule="auto"/>
              <w:jc w:val="center"/>
            </w:pPr>
          </w:p>
        </w:tc>
        <w:tc>
          <w:tcPr>
            <w:tcW w:w="604" w:type="dxa"/>
            <w:shd w:val="clear" w:color="auto" w:fill="DECFE8" w:themeFill="accent5"/>
            <w:vAlign w:val="center"/>
          </w:tcPr>
          <w:p w14:paraId="5FE3AF9F" w14:textId="77777777" w:rsidR="002F789B" w:rsidRDefault="002F789B" w:rsidP="0046580A">
            <w:pPr>
              <w:spacing w:line="240" w:lineRule="auto"/>
              <w:jc w:val="center"/>
            </w:pPr>
          </w:p>
        </w:tc>
      </w:tr>
      <w:tr w:rsidR="002F789B" w14:paraId="22EFDB77" w14:textId="77777777" w:rsidTr="00CE5424">
        <w:trPr>
          <w:trHeight w:val="261"/>
        </w:trPr>
        <w:tc>
          <w:tcPr>
            <w:tcW w:w="997" w:type="dxa"/>
          </w:tcPr>
          <w:p w14:paraId="5CF69BC9" w14:textId="77777777" w:rsidR="002F789B" w:rsidRDefault="002F789B" w:rsidP="0046580A">
            <w:pPr>
              <w:spacing w:line="240" w:lineRule="auto"/>
            </w:pPr>
            <w:r>
              <w:t>Year 12</w:t>
            </w:r>
          </w:p>
        </w:tc>
        <w:tc>
          <w:tcPr>
            <w:tcW w:w="3111" w:type="dxa"/>
          </w:tcPr>
          <w:p w14:paraId="7BC3677A" w14:textId="77777777" w:rsidR="002F789B" w:rsidRDefault="002F789B" w:rsidP="0046580A">
            <w:pPr>
              <w:spacing w:line="240" w:lineRule="auto"/>
            </w:pPr>
            <w:r w:rsidRPr="00453590">
              <w:rPr>
                <w:rFonts w:cs="Calibri"/>
              </w:rPr>
              <w:t xml:space="preserve">Automotive Engineering and Technology </w:t>
            </w:r>
            <w:r>
              <w:rPr>
                <w:rFonts w:cs="Calibri"/>
              </w:rPr>
              <w:t>(GTAET)</w:t>
            </w:r>
          </w:p>
        </w:tc>
        <w:tc>
          <w:tcPr>
            <w:tcW w:w="870" w:type="dxa"/>
          </w:tcPr>
          <w:p w14:paraId="12659E05" w14:textId="77777777" w:rsidR="002F789B" w:rsidRDefault="002F789B" w:rsidP="0046580A">
            <w:pPr>
              <w:spacing w:line="240" w:lineRule="auto"/>
            </w:pPr>
            <w:r>
              <w:t>General</w:t>
            </w:r>
          </w:p>
        </w:tc>
        <w:tc>
          <w:tcPr>
            <w:tcW w:w="603" w:type="dxa"/>
            <w:shd w:val="clear" w:color="auto" w:fill="FFFFFF" w:themeFill="background2" w:themeFillTint="33"/>
            <w:vAlign w:val="center"/>
          </w:tcPr>
          <w:p w14:paraId="5F6BF277" w14:textId="77777777" w:rsidR="002F789B" w:rsidRPr="00F95D8B" w:rsidRDefault="002F789B" w:rsidP="0046580A">
            <w:pPr>
              <w:spacing w:line="240" w:lineRule="auto"/>
              <w:jc w:val="center"/>
            </w:pPr>
          </w:p>
        </w:tc>
        <w:tc>
          <w:tcPr>
            <w:tcW w:w="603" w:type="dxa"/>
            <w:shd w:val="clear" w:color="auto" w:fill="DECFE8" w:themeFill="accent5"/>
            <w:vAlign w:val="center"/>
          </w:tcPr>
          <w:p w14:paraId="4B41B877" w14:textId="77777777" w:rsidR="002F789B" w:rsidRPr="008D46F9" w:rsidRDefault="002F789B" w:rsidP="0046580A">
            <w:pPr>
              <w:spacing w:line="240" w:lineRule="auto"/>
              <w:jc w:val="center"/>
              <w:rPr>
                <w:highlight w:val="yellow"/>
              </w:rPr>
            </w:pPr>
          </w:p>
        </w:tc>
        <w:tc>
          <w:tcPr>
            <w:tcW w:w="604" w:type="dxa"/>
            <w:shd w:val="clear" w:color="auto" w:fill="DECFE8" w:themeFill="accent5"/>
            <w:vAlign w:val="center"/>
          </w:tcPr>
          <w:p w14:paraId="334E8306" w14:textId="77777777" w:rsidR="002F789B" w:rsidRPr="008D46F9" w:rsidRDefault="002F789B" w:rsidP="0046580A">
            <w:pPr>
              <w:spacing w:line="240" w:lineRule="auto"/>
              <w:jc w:val="center"/>
              <w:rPr>
                <w:highlight w:val="yellow"/>
              </w:rPr>
            </w:pPr>
          </w:p>
        </w:tc>
        <w:tc>
          <w:tcPr>
            <w:tcW w:w="603" w:type="dxa"/>
            <w:shd w:val="clear" w:color="auto" w:fill="DECFE8" w:themeFill="accent5"/>
            <w:vAlign w:val="center"/>
          </w:tcPr>
          <w:p w14:paraId="66055631" w14:textId="77777777" w:rsidR="002F789B" w:rsidRPr="008D46F9" w:rsidRDefault="002F789B" w:rsidP="0046580A">
            <w:pPr>
              <w:spacing w:line="240" w:lineRule="auto"/>
              <w:jc w:val="center"/>
              <w:rPr>
                <w:highlight w:val="yellow"/>
              </w:rPr>
            </w:pPr>
          </w:p>
        </w:tc>
        <w:tc>
          <w:tcPr>
            <w:tcW w:w="604" w:type="dxa"/>
            <w:vAlign w:val="center"/>
          </w:tcPr>
          <w:p w14:paraId="75C88DE8" w14:textId="77777777" w:rsidR="002F789B" w:rsidRDefault="002F789B" w:rsidP="0046580A">
            <w:pPr>
              <w:spacing w:line="240" w:lineRule="auto"/>
              <w:jc w:val="center"/>
            </w:pPr>
            <w:r w:rsidRPr="00F95D8B">
              <w:sym w:font="Wingdings" w:char="F0FC"/>
            </w:r>
          </w:p>
        </w:tc>
        <w:tc>
          <w:tcPr>
            <w:tcW w:w="603" w:type="dxa"/>
            <w:shd w:val="clear" w:color="auto" w:fill="DECFE8" w:themeFill="accent5"/>
            <w:vAlign w:val="center"/>
          </w:tcPr>
          <w:p w14:paraId="29F90401" w14:textId="77777777" w:rsidR="002F789B" w:rsidRDefault="002F789B" w:rsidP="0046580A">
            <w:pPr>
              <w:spacing w:line="240" w:lineRule="auto"/>
              <w:jc w:val="center"/>
            </w:pPr>
          </w:p>
        </w:tc>
        <w:tc>
          <w:tcPr>
            <w:tcW w:w="604" w:type="dxa"/>
            <w:shd w:val="clear" w:color="auto" w:fill="DECFE8" w:themeFill="accent5"/>
            <w:vAlign w:val="center"/>
          </w:tcPr>
          <w:p w14:paraId="511B649E" w14:textId="77777777" w:rsidR="002F789B" w:rsidRDefault="002F789B" w:rsidP="0046580A">
            <w:pPr>
              <w:spacing w:line="240" w:lineRule="auto"/>
              <w:jc w:val="center"/>
            </w:pPr>
          </w:p>
        </w:tc>
      </w:tr>
    </w:tbl>
    <w:p w14:paraId="53F7B6BB" w14:textId="77777777" w:rsidR="00866046" w:rsidRDefault="00866046" w:rsidP="0046580A">
      <w:pPr>
        <w:spacing w:after="0" w:line="264" w:lineRule="auto"/>
        <w:rPr>
          <w:b/>
          <w:bCs/>
        </w:rPr>
      </w:pPr>
      <w:r>
        <w:rPr>
          <w:b/>
          <w:bCs/>
        </w:rPr>
        <w:t>Key</w:t>
      </w:r>
    </w:p>
    <w:p w14:paraId="6129FE4C" w14:textId="1CEC254B" w:rsidR="00866046" w:rsidRPr="0046580A" w:rsidRDefault="00663846" w:rsidP="0046580A">
      <w:pPr>
        <w:spacing w:line="264" w:lineRule="auto"/>
      </w:pPr>
      <w:bookmarkStart w:id="6" w:name="_Hlk206510884"/>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6"/>
    </w:p>
    <w:sectPr w:rsidR="00866046" w:rsidRPr="0046580A"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0427" w14:textId="77777777" w:rsidR="001441C9" w:rsidRDefault="001441C9" w:rsidP="00742128">
      <w:pPr>
        <w:spacing w:after="0" w:line="240" w:lineRule="auto"/>
      </w:pPr>
      <w:r>
        <w:separator/>
      </w:r>
    </w:p>
  </w:endnote>
  <w:endnote w:type="continuationSeparator" w:id="0">
    <w:p w14:paraId="521CB353" w14:textId="77777777" w:rsidR="001441C9" w:rsidRDefault="001441C9"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37F8CF5" w:rsidR="00F86F26" w:rsidRPr="00E409C6" w:rsidRDefault="00E409C6" w:rsidP="00733A56">
    <w:pPr>
      <w:pStyle w:val="SCSAFootereven"/>
    </w:pPr>
    <w:r w:rsidRPr="00E409C6">
      <w:rPr>
        <w:noProof/>
      </w:rPr>
      <w:t>2025/32828</w:t>
    </w:r>
    <w:r w:rsidR="00733A56">
      <w:rPr>
        <w:noProof/>
      </w:rPr>
      <w:t>[v</w:t>
    </w:r>
    <w:r w:rsidR="001A3460">
      <w:rPr>
        <w:noProof/>
      </w:rPr>
      <w:t>4</w:t>
    </w:r>
    <w:r w:rsidR="00733A56">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4558D70" w:rsidR="00F86F26" w:rsidRPr="00777AF3" w:rsidRDefault="00A218D7" w:rsidP="00227D40">
    <w:pPr>
      <w:pStyle w:val="SCSAFootereven"/>
    </w:pPr>
    <w:r>
      <w:rPr>
        <w:noProof/>
      </w:rPr>
      <w:t xml:space="preserve">Automotive Engineering and </w:t>
    </w:r>
    <w:r w:rsidR="00DD584B">
      <w:rPr>
        <w:noProof/>
      </w:rPr>
      <w:t>Technology</w:t>
    </w:r>
    <w:r w:rsidR="00733A56">
      <w:rPr>
        <w:noProof/>
      </w:rPr>
      <w:t xml:space="preserve"> </w:t>
    </w:r>
    <w:r w:rsidR="00777AF3">
      <w:rPr>
        <w:noProof/>
      </w:rPr>
      <w:t xml:space="preserve">| </w:t>
    </w:r>
    <w:r w:rsidR="00041B44">
      <w:rPr>
        <w:noProof/>
      </w:rPr>
      <w:t>General</w:t>
    </w:r>
    <w:r w:rsidR="0021493D">
      <w:rPr>
        <w:noProof/>
      </w:rPr>
      <w:t xml:space="preserve"> </w:t>
    </w:r>
    <w:r w:rsidR="00777AF3">
      <w:rPr>
        <w:noProof/>
      </w:rPr>
      <w:t xml:space="preserve">| Year </w:t>
    </w:r>
    <w:r w:rsidR="00516F12">
      <w:rPr>
        <w:noProof/>
      </w:rPr>
      <w:t>1</w:t>
    </w:r>
    <w:r w:rsidR="0034256B">
      <w:rPr>
        <w:noProof/>
      </w:rPr>
      <w:t>2</w:t>
    </w:r>
    <w:r w:rsidR="006835FB">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D8CDFA3" w:rsidR="00F86F26" w:rsidRPr="00AA2B0D" w:rsidRDefault="00DD584B" w:rsidP="00227D40">
    <w:pPr>
      <w:pStyle w:val="SCSAFooterodd"/>
    </w:pPr>
    <w:r>
      <w:rPr>
        <w:noProof/>
      </w:rPr>
      <w:t>A</w:t>
    </w:r>
    <w:r w:rsidR="00A218D7">
      <w:rPr>
        <w:noProof/>
      </w:rPr>
      <w:t>utomotive Engineering and Technology</w:t>
    </w:r>
    <w:r w:rsidR="00733A56">
      <w:rPr>
        <w:noProof/>
      </w:rPr>
      <w:t xml:space="preserve"> </w:t>
    </w:r>
    <w:r w:rsidR="00F86F26">
      <w:rPr>
        <w:noProof/>
      </w:rPr>
      <w:t xml:space="preserve">| </w:t>
    </w:r>
    <w:r w:rsidR="00041B44">
      <w:rPr>
        <w:noProof/>
      </w:rPr>
      <w:t>General</w:t>
    </w:r>
    <w:r w:rsidR="000E7B34">
      <w:rPr>
        <w:noProof/>
      </w:rPr>
      <w:t xml:space="preserve"> </w:t>
    </w:r>
    <w:r w:rsidR="00F86F26">
      <w:rPr>
        <w:noProof/>
      </w:rPr>
      <w:t xml:space="preserve">| Year </w:t>
    </w:r>
    <w:r w:rsidR="00516F12">
      <w:rPr>
        <w:noProof/>
      </w:rPr>
      <w:t>1</w:t>
    </w:r>
    <w:r w:rsidR="0034256B">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7301" w14:textId="77777777" w:rsidR="001441C9" w:rsidRDefault="001441C9" w:rsidP="00742128">
      <w:pPr>
        <w:spacing w:after="0" w:line="240" w:lineRule="auto"/>
      </w:pPr>
      <w:r>
        <w:separator/>
      </w:r>
    </w:p>
  </w:footnote>
  <w:footnote w:type="continuationSeparator" w:id="0">
    <w:p w14:paraId="71993631" w14:textId="77777777" w:rsidR="001441C9" w:rsidRDefault="001441C9"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 w:numId="20" w16cid:durableId="61139655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3751"/>
    <w:rsid w:val="000358C4"/>
    <w:rsid w:val="00036500"/>
    <w:rsid w:val="00041B44"/>
    <w:rsid w:val="00044FDD"/>
    <w:rsid w:val="00047063"/>
    <w:rsid w:val="00053A6C"/>
    <w:rsid w:val="000555D3"/>
    <w:rsid w:val="000577DF"/>
    <w:rsid w:val="00066145"/>
    <w:rsid w:val="0009024C"/>
    <w:rsid w:val="0009076A"/>
    <w:rsid w:val="000926C3"/>
    <w:rsid w:val="00094E92"/>
    <w:rsid w:val="000A1938"/>
    <w:rsid w:val="000A3D77"/>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E7B34"/>
    <w:rsid w:val="000F0C90"/>
    <w:rsid w:val="000F404F"/>
    <w:rsid w:val="000F6AA8"/>
    <w:rsid w:val="00101A1D"/>
    <w:rsid w:val="00103478"/>
    <w:rsid w:val="00105D81"/>
    <w:rsid w:val="001072D5"/>
    <w:rsid w:val="00111DB8"/>
    <w:rsid w:val="00114E95"/>
    <w:rsid w:val="001176E8"/>
    <w:rsid w:val="00120D7F"/>
    <w:rsid w:val="001216AA"/>
    <w:rsid w:val="0012754D"/>
    <w:rsid w:val="0013465E"/>
    <w:rsid w:val="001352A1"/>
    <w:rsid w:val="001403C5"/>
    <w:rsid w:val="001408CD"/>
    <w:rsid w:val="00142833"/>
    <w:rsid w:val="001441C9"/>
    <w:rsid w:val="001451B9"/>
    <w:rsid w:val="00151AEA"/>
    <w:rsid w:val="001567D0"/>
    <w:rsid w:val="00157E06"/>
    <w:rsid w:val="00163C64"/>
    <w:rsid w:val="00164D2E"/>
    <w:rsid w:val="001702DE"/>
    <w:rsid w:val="00181B95"/>
    <w:rsid w:val="00192A18"/>
    <w:rsid w:val="0019340B"/>
    <w:rsid w:val="00194F1D"/>
    <w:rsid w:val="001953C6"/>
    <w:rsid w:val="00195B60"/>
    <w:rsid w:val="001A3460"/>
    <w:rsid w:val="001A39D0"/>
    <w:rsid w:val="001A7DBB"/>
    <w:rsid w:val="001C0FCC"/>
    <w:rsid w:val="001D25BA"/>
    <w:rsid w:val="001D5394"/>
    <w:rsid w:val="001D56E3"/>
    <w:rsid w:val="001D717F"/>
    <w:rsid w:val="001D76C5"/>
    <w:rsid w:val="001E0FD9"/>
    <w:rsid w:val="001E186E"/>
    <w:rsid w:val="001E3CB5"/>
    <w:rsid w:val="001E5904"/>
    <w:rsid w:val="001E6612"/>
    <w:rsid w:val="001F279B"/>
    <w:rsid w:val="001F2E53"/>
    <w:rsid w:val="001F34CB"/>
    <w:rsid w:val="001F5D5D"/>
    <w:rsid w:val="001F6411"/>
    <w:rsid w:val="001F6CF6"/>
    <w:rsid w:val="0020225A"/>
    <w:rsid w:val="00204F73"/>
    <w:rsid w:val="00212894"/>
    <w:rsid w:val="002145EE"/>
    <w:rsid w:val="0021493D"/>
    <w:rsid w:val="00217901"/>
    <w:rsid w:val="00223D1B"/>
    <w:rsid w:val="00226C3D"/>
    <w:rsid w:val="00227D40"/>
    <w:rsid w:val="00236BF3"/>
    <w:rsid w:val="0024125D"/>
    <w:rsid w:val="0024439F"/>
    <w:rsid w:val="002451B5"/>
    <w:rsid w:val="00264DBE"/>
    <w:rsid w:val="002676D4"/>
    <w:rsid w:val="00270163"/>
    <w:rsid w:val="0027335A"/>
    <w:rsid w:val="00274804"/>
    <w:rsid w:val="0027540C"/>
    <w:rsid w:val="002808ED"/>
    <w:rsid w:val="00281E6B"/>
    <w:rsid w:val="00285893"/>
    <w:rsid w:val="0028622D"/>
    <w:rsid w:val="00290C4A"/>
    <w:rsid w:val="002A2970"/>
    <w:rsid w:val="002A2D2B"/>
    <w:rsid w:val="002A471E"/>
    <w:rsid w:val="002A4A58"/>
    <w:rsid w:val="002A5092"/>
    <w:rsid w:val="002B57DA"/>
    <w:rsid w:val="002B599F"/>
    <w:rsid w:val="002B6CB3"/>
    <w:rsid w:val="002B6FEE"/>
    <w:rsid w:val="002C05E5"/>
    <w:rsid w:val="002C254C"/>
    <w:rsid w:val="002C28FB"/>
    <w:rsid w:val="002C61E6"/>
    <w:rsid w:val="002C6BB2"/>
    <w:rsid w:val="002D01AF"/>
    <w:rsid w:val="002D30F2"/>
    <w:rsid w:val="002D4558"/>
    <w:rsid w:val="002D5147"/>
    <w:rsid w:val="002D5E93"/>
    <w:rsid w:val="002D5F35"/>
    <w:rsid w:val="002E00C0"/>
    <w:rsid w:val="002E06EC"/>
    <w:rsid w:val="002E0746"/>
    <w:rsid w:val="002E08D2"/>
    <w:rsid w:val="002E223D"/>
    <w:rsid w:val="002E35C2"/>
    <w:rsid w:val="002E78F4"/>
    <w:rsid w:val="002F133A"/>
    <w:rsid w:val="002F789B"/>
    <w:rsid w:val="00300116"/>
    <w:rsid w:val="00304E41"/>
    <w:rsid w:val="003069C1"/>
    <w:rsid w:val="00306C56"/>
    <w:rsid w:val="00307696"/>
    <w:rsid w:val="003128DE"/>
    <w:rsid w:val="003149FE"/>
    <w:rsid w:val="00315ED7"/>
    <w:rsid w:val="0031683E"/>
    <w:rsid w:val="00317C7F"/>
    <w:rsid w:val="003215A4"/>
    <w:rsid w:val="00326EAC"/>
    <w:rsid w:val="003303E5"/>
    <w:rsid w:val="00332D24"/>
    <w:rsid w:val="0033552B"/>
    <w:rsid w:val="00336CD3"/>
    <w:rsid w:val="0034256B"/>
    <w:rsid w:val="00343469"/>
    <w:rsid w:val="00343B25"/>
    <w:rsid w:val="0034585B"/>
    <w:rsid w:val="003502BC"/>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693"/>
    <w:rsid w:val="003A2EB4"/>
    <w:rsid w:val="003A30C5"/>
    <w:rsid w:val="003A6194"/>
    <w:rsid w:val="003A69C8"/>
    <w:rsid w:val="003C0879"/>
    <w:rsid w:val="003D3CBD"/>
    <w:rsid w:val="003D3E71"/>
    <w:rsid w:val="003D5277"/>
    <w:rsid w:val="003D667A"/>
    <w:rsid w:val="003E056E"/>
    <w:rsid w:val="003E0BBB"/>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55D94"/>
    <w:rsid w:val="0046580A"/>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D682E"/>
    <w:rsid w:val="004E0AD6"/>
    <w:rsid w:val="004E429A"/>
    <w:rsid w:val="004E517B"/>
    <w:rsid w:val="004F3012"/>
    <w:rsid w:val="004F3801"/>
    <w:rsid w:val="004F51EA"/>
    <w:rsid w:val="00504046"/>
    <w:rsid w:val="0050411E"/>
    <w:rsid w:val="0050721D"/>
    <w:rsid w:val="00516487"/>
    <w:rsid w:val="00516F12"/>
    <w:rsid w:val="00521808"/>
    <w:rsid w:val="005240D9"/>
    <w:rsid w:val="00525B58"/>
    <w:rsid w:val="0053382D"/>
    <w:rsid w:val="005362E0"/>
    <w:rsid w:val="00537F6A"/>
    <w:rsid w:val="00540775"/>
    <w:rsid w:val="00542E80"/>
    <w:rsid w:val="00554AC8"/>
    <w:rsid w:val="00557D1B"/>
    <w:rsid w:val="005627B9"/>
    <w:rsid w:val="00564B14"/>
    <w:rsid w:val="005700C6"/>
    <w:rsid w:val="00573C05"/>
    <w:rsid w:val="0058749E"/>
    <w:rsid w:val="00590B71"/>
    <w:rsid w:val="00591074"/>
    <w:rsid w:val="005974F2"/>
    <w:rsid w:val="00597AD9"/>
    <w:rsid w:val="005A3395"/>
    <w:rsid w:val="005A501F"/>
    <w:rsid w:val="005A6E68"/>
    <w:rsid w:val="005B2FC1"/>
    <w:rsid w:val="005B4E42"/>
    <w:rsid w:val="005C18A7"/>
    <w:rsid w:val="005C5137"/>
    <w:rsid w:val="005D0214"/>
    <w:rsid w:val="005D023D"/>
    <w:rsid w:val="005D1726"/>
    <w:rsid w:val="005E18DA"/>
    <w:rsid w:val="005E1F65"/>
    <w:rsid w:val="005E22E6"/>
    <w:rsid w:val="005E26A0"/>
    <w:rsid w:val="005E475E"/>
    <w:rsid w:val="005E4B8A"/>
    <w:rsid w:val="005E6287"/>
    <w:rsid w:val="005E6FBE"/>
    <w:rsid w:val="005F038C"/>
    <w:rsid w:val="005F342C"/>
    <w:rsid w:val="00603E51"/>
    <w:rsid w:val="00604DE7"/>
    <w:rsid w:val="006054A2"/>
    <w:rsid w:val="006077A5"/>
    <w:rsid w:val="00620733"/>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3846"/>
    <w:rsid w:val="006667AC"/>
    <w:rsid w:val="00666FEB"/>
    <w:rsid w:val="006722DF"/>
    <w:rsid w:val="006748E6"/>
    <w:rsid w:val="006817C5"/>
    <w:rsid w:val="006835FB"/>
    <w:rsid w:val="00691A72"/>
    <w:rsid w:val="00693261"/>
    <w:rsid w:val="0069421A"/>
    <w:rsid w:val="006A0F1C"/>
    <w:rsid w:val="006C230A"/>
    <w:rsid w:val="006C3080"/>
    <w:rsid w:val="006C633A"/>
    <w:rsid w:val="006C6F42"/>
    <w:rsid w:val="006D045B"/>
    <w:rsid w:val="006D0C8A"/>
    <w:rsid w:val="006D6474"/>
    <w:rsid w:val="006E122E"/>
    <w:rsid w:val="006E1D80"/>
    <w:rsid w:val="006E2558"/>
    <w:rsid w:val="006E2B8F"/>
    <w:rsid w:val="006F0237"/>
    <w:rsid w:val="006F544F"/>
    <w:rsid w:val="007013C9"/>
    <w:rsid w:val="0071572C"/>
    <w:rsid w:val="0071660C"/>
    <w:rsid w:val="00716616"/>
    <w:rsid w:val="007167A4"/>
    <w:rsid w:val="007171E7"/>
    <w:rsid w:val="00717735"/>
    <w:rsid w:val="0072351C"/>
    <w:rsid w:val="00731AAB"/>
    <w:rsid w:val="00733A56"/>
    <w:rsid w:val="007342C4"/>
    <w:rsid w:val="00737E63"/>
    <w:rsid w:val="007410DD"/>
    <w:rsid w:val="00741565"/>
    <w:rsid w:val="00741822"/>
    <w:rsid w:val="00742128"/>
    <w:rsid w:val="00750094"/>
    <w:rsid w:val="0075009C"/>
    <w:rsid w:val="00752C47"/>
    <w:rsid w:val="00765B92"/>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40D"/>
    <w:rsid w:val="007F15E2"/>
    <w:rsid w:val="007F47C4"/>
    <w:rsid w:val="007F493F"/>
    <w:rsid w:val="007F694F"/>
    <w:rsid w:val="007F7A7F"/>
    <w:rsid w:val="00801F1C"/>
    <w:rsid w:val="00803803"/>
    <w:rsid w:val="00806012"/>
    <w:rsid w:val="008079E9"/>
    <w:rsid w:val="00810A0C"/>
    <w:rsid w:val="00810CAB"/>
    <w:rsid w:val="00814C35"/>
    <w:rsid w:val="00825D81"/>
    <w:rsid w:val="0082766F"/>
    <w:rsid w:val="00830063"/>
    <w:rsid w:val="008324A6"/>
    <w:rsid w:val="00840F51"/>
    <w:rsid w:val="00842A1A"/>
    <w:rsid w:val="00842F4B"/>
    <w:rsid w:val="00843D36"/>
    <w:rsid w:val="00846AF5"/>
    <w:rsid w:val="00861855"/>
    <w:rsid w:val="00866046"/>
    <w:rsid w:val="00873C7B"/>
    <w:rsid w:val="008761FA"/>
    <w:rsid w:val="0088053A"/>
    <w:rsid w:val="00882099"/>
    <w:rsid w:val="008822B5"/>
    <w:rsid w:val="008832AF"/>
    <w:rsid w:val="00884DDC"/>
    <w:rsid w:val="0088649B"/>
    <w:rsid w:val="00892DD2"/>
    <w:rsid w:val="00895530"/>
    <w:rsid w:val="008958FE"/>
    <w:rsid w:val="00895FF4"/>
    <w:rsid w:val="008A02F7"/>
    <w:rsid w:val="008A2014"/>
    <w:rsid w:val="008A2BAE"/>
    <w:rsid w:val="008A4D60"/>
    <w:rsid w:val="008A59A8"/>
    <w:rsid w:val="008A6E49"/>
    <w:rsid w:val="008A7111"/>
    <w:rsid w:val="008A7555"/>
    <w:rsid w:val="008C1D6B"/>
    <w:rsid w:val="008C38F7"/>
    <w:rsid w:val="008C61A4"/>
    <w:rsid w:val="008C66A5"/>
    <w:rsid w:val="008D334C"/>
    <w:rsid w:val="008D46F9"/>
    <w:rsid w:val="008D5098"/>
    <w:rsid w:val="008D55A5"/>
    <w:rsid w:val="008E03B1"/>
    <w:rsid w:val="008E144B"/>
    <w:rsid w:val="008E3674"/>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58"/>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5909"/>
    <w:rsid w:val="009763D6"/>
    <w:rsid w:val="00976CB4"/>
    <w:rsid w:val="00977698"/>
    <w:rsid w:val="009803BE"/>
    <w:rsid w:val="00981A93"/>
    <w:rsid w:val="009833D4"/>
    <w:rsid w:val="009900A1"/>
    <w:rsid w:val="00992C25"/>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4E64"/>
    <w:rsid w:val="009F5CD5"/>
    <w:rsid w:val="00A01B33"/>
    <w:rsid w:val="00A02C9C"/>
    <w:rsid w:val="00A0425A"/>
    <w:rsid w:val="00A076CF"/>
    <w:rsid w:val="00A15FE7"/>
    <w:rsid w:val="00A2126F"/>
    <w:rsid w:val="00A218D7"/>
    <w:rsid w:val="00A243E1"/>
    <w:rsid w:val="00A24944"/>
    <w:rsid w:val="00A27208"/>
    <w:rsid w:val="00A3298F"/>
    <w:rsid w:val="00A33ED4"/>
    <w:rsid w:val="00A42E97"/>
    <w:rsid w:val="00A43A54"/>
    <w:rsid w:val="00A548E7"/>
    <w:rsid w:val="00A57BE7"/>
    <w:rsid w:val="00A60587"/>
    <w:rsid w:val="00A620A7"/>
    <w:rsid w:val="00A63099"/>
    <w:rsid w:val="00A645F2"/>
    <w:rsid w:val="00A64B11"/>
    <w:rsid w:val="00A65DDB"/>
    <w:rsid w:val="00A70344"/>
    <w:rsid w:val="00A72264"/>
    <w:rsid w:val="00A7392D"/>
    <w:rsid w:val="00A8257B"/>
    <w:rsid w:val="00A833A1"/>
    <w:rsid w:val="00A85FD4"/>
    <w:rsid w:val="00A87827"/>
    <w:rsid w:val="00A93F91"/>
    <w:rsid w:val="00A9622A"/>
    <w:rsid w:val="00AA2B0D"/>
    <w:rsid w:val="00AA650B"/>
    <w:rsid w:val="00AB00F3"/>
    <w:rsid w:val="00AB158A"/>
    <w:rsid w:val="00AB5CC5"/>
    <w:rsid w:val="00AC1492"/>
    <w:rsid w:val="00AC28E1"/>
    <w:rsid w:val="00AD00B8"/>
    <w:rsid w:val="00AD2EBD"/>
    <w:rsid w:val="00AE0106"/>
    <w:rsid w:val="00AE0CDE"/>
    <w:rsid w:val="00AE57D9"/>
    <w:rsid w:val="00AF067F"/>
    <w:rsid w:val="00AF13AF"/>
    <w:rsid w:val="00AF3D3A"/>
    <w:rsid w:val="00B01420"/>
    <w:rsid w:val="00B04173"/>
    <w:rsid w:val="00B112AF"/>
    <w:rsid w:val="00B11963"/>
    <w:rsid w:val="00B11EDE"/>
    <w:rsid w:val="00B12BF0"/>
    <w:rsid w:val="00B13C8F"/>
    <w:rsid w:val="00B15444"/>
    <w:rsid w:val="00B1607E"/>
    <w:rsid w:val="00B21FD7"/>
    <w:rsid w:val="00B22C3C"/>
    <w:rsid w:val="00B22F69"/>
    <w:rsid w:val="00B248D5"/>
    <w:rsid w:val="00B25036"/>
    <w:rsid w:val="00B26CBB"/>
    <w:rsid w:val="00B33F11"/>
    <w:rsid w:val="00B35123"/>
    <w:rsid w:val="00B36745"/>
    <w:rsid w:val="00B41296"/>
    <w:rsid w:val="00B4193F"/>
    <w:rsid w:val="00B44C60"/>
    <w:rsid w:val="00B45D97"/>
    <w:rsid w:val="00B46973"/>
    <w:rsid w:val="00B5058D"/>
    <w:rsid w:val="00B52F79"/>
    <w:rsid w:val="00B57A56"/>
    <w:rsid w:val="00B6583C"/>
    <w:rsid w:val="00B65976"/>
    <w:rsid w:val="00B65D3D"/>
    <w:rsid w:val="00B71BF3"/>
    <w:rsid w:val="00B71C2D"/>
    <w:rsid w:val="00B8058F"/>
    <w:rsid w:val="00B83D17"/>
    <w:rsid w:val="00B86B49"/>
    <w:rsid w:val="00B935B0"/>
    <w:rsid w:val="00B937EB"/>
    <w:rsid w:val="00B949B9"/>
    <w:rsid w:val="00B97F16"/>
    <w:rsid w:val="00BB0A97"/>
    <w:rsid w:val="00BB0E87"/>
    <w:rsid w:val="00BB4454"/>
    <w:rsid w:val="00BB77D6"/>
    <w:rsid w:val="00BC1F96"/>
    <w:rsid w:val="00BC6F34"/>
    <w:rsid w:val="00BD0125"/>
    <w:rsid w:val="00BD037E"/>
    <w:rsid w:val="00BE277F"/>
    <w:rsid w:val="00BF0672"/>
    <w:rsid w:val="00BF456C"/>
    <w:rsid w:val="00BF52DB"/>
    <w:rsid w:val="00BF7D5E"/>
    <w:rsid w:val="00C001A9"/>
    <w:rsid w:val="00C02D53"/>
    <w:rsid w:val="00C04DF1"/>
    <w:rsid w:val="00C1017E"/>
    <w:rsid w:val="00C108BA"/>
    <w:rsid w:val="00C14767"/>
    <w:rsid w:val="00C1764E"/>
    <w:rsid w:val="00C20EE6"/>
    <w:rsid w:val="00C2292B"/>
    <w:rsid w:val="00C22F6F"/>
    <w:rsid w:val="00C23C88"/>
    <w:rsid w:val="00C23E91"/>
    <w:rsid w:val="00C24F89"/>
    <w:rsid w:val="00C258D2"/>
    <w:rsid w:val="00C25C97"/>
    <w:rsid w:val="00C26945"/>
    <w:rsid w:val="00C340C9"/>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5218"/>
    <w:rsid w:val="00C70E45"/>
    <w:rsid w:val="00C739CE"/>
    <w:rsid w:val="00C766F3"/>
    <w:rsid w:val="00C80FFC"/>
    <w:rsid w:val="00C85B9D"/>
    <w:rsid w:val="00C8739A"/>
    <w:rsid w:val="00C87643"/>
    <w:rsid w:val="00C92D26"/>
    <w:rsid w:val="00C94345"/>
    <w:rsid w:val="00C947BA"/>
    <w:rsid w:val="00CA2F27"/>
    <w:rsid w:val="00CA51CE"/>
    <w:rsid w:val="00CB0B33"/>
    <w:rsid w:val="00CB168A"/>
    <w:rsid w:val="00CB6690"/>
    <w:rsid w:val="00CC063C"/>
    <w:rsid w:val="00CC3F47"/>
    <w:rsid w:val="00CD1829"/>
    <w:rsid w:val="00CD36FD"/>
    <w:rsid w:val="00CD489B"/>
    <w:rsid w:val="00CD4CA0"/>
    <w:rsid w:val="00CD6092"/>
    <w:rsid w:val="00CD67E1"/>
    <w:rsid w:val="00CD73C8"/>
    <w:rsid w:val="00CE02B1"/>
    <w:rsid w:val="00CE0E01"/>
    <w:rsid w:val="00CE5424"/>
    <w:rsid w:val="00CE6E0E"/>
    <w:rsid w:val="00CF1A70"/>
    <w:rsid w:val="00CF2A51"/>
    <w:rsid w:val="00CF2AA3"/>
    <w:rsid w:val="00CF39A2"/>
    <w:rsid w:val="00CF3F4D"/>
    <w:rsid w:val="00CF6AB8"/>
    <w:rsid w:val="00D0034F"/>
    <w:rsid w:val="00D03FE5"/>
    <w:rsid w:val="00D0711B"/>
    <w:rsid w:val="00D101E0"/>
    <w:rsid w:val="00D10B77"/>
    <w:rsid w:val="00D1105D"/>
    <w:rsid w:val="00D12A2F"/>
    <w:rsid w:val="00D17A5D"/>
    <w:rsid w:val="00D22D8F"/>
    <w:rsid w:val="00D2505E"/>
    <w:rsid w:val="00D26F00"/>
    <w:rsid w:val="00D276E9"/>
    <w:rsid w:val="00D3015F"/>
    <w:rsid w:val="00D3186C"/>
    <w:rsid w:val="00D472E1"/>
    <w:rsid w:val="00D479BD"/>
    <w:rsid w:val="00D5217D"/>
    <w:rsid w:val="00D62E94"/>
    <w:rsid w:val="00D63229"/>
    <w:rsid w:val="00D63B27"/>
    <w:rsid w:val="00D6577C"/>
    <w:rsid w:val="00D65C5C"/>
    <w:rsid w:val="00D66A4A"/>
    <w:rsid w:val="00D73F3E"/>
    <w:rsid w:val="00D76BFA"/>
    <w:rsid w:val="00D83942"/>
    <w:rsid w:val="00D90DBA"/>
    <w:rsid w:val="00D92D10"/>
    <w:rsid w:val="00D96C8B"/>
    <w:rsid w:val="00DA0E77"/>
    <w:rsid w:val="00DA34F0"/>
    <w:rsid w:val="00DB41B4"/>
    <w:rsid w:val="00DB4B3C"/>
    <w:rsid w:val="00DB547F"/>
    <w:rsid w:val="00DB6D74"/>
    <w:rsid w:val="00DC2E31"/>
    <w:rsid w:val="00DC3A58"/>
    <w:rsid w:val="00DD0EDA"/>
    <w:rsid w:val="00DD1D21"/>
    <w:rsid w:val="00DD2C49"/>
    <w:rsid w:val="00DD51A8"/>
    <w:rsid w:val="00DD584B"/>
    <w:rsid w:val="00DE1ABE"/>
    <w:rsid w:val="00DF1A03"/>
    <w:rsid w:val="00E00C60"/>
    <w:rsid w:val="00E01DE7"/>
    <w:rsid w:val="00E02E4A"/>
    <w:rsid w:val="00E0593E"/>
    <w:rsid w:val="00E1108A"/>
    <w:rsid w:val="00E13B15"/>
    <w:rsid w:val="00E23B7B"/>
    <w:rsid w:val="00E244CE"/>
    <w:rsid w:val="00E3199E"/>
    <w:rsid w:val="00E31C3D"/>
    <w:rsid w:val="00E327A3"/>
    <w:rsid w:val="00E33CC5"/>
    <w:rsid w:val="00E33DBC"/>
    <w:rsid w:val="00E35DB7"/>
    <w:rsid w:val="00E409C6"/>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36D7"/>
    <w:rsid w:val="00EB3C04"/>
    <w:rsid w:val="00EB4E3E"/>
    <w:rsid w:val="00EC637E"/>
    <w:rsid w:val="00EC65E0"/>
    <w:rsid w:val="00ED3A00"/>
    <w:rsid w:val="00ED5E76"/>
    <w:rsid w:val="00EE2E1D"/>
    <w:rsid w:val="00EE42A5"/>
    <w:rsid w:val="00EE45F2"/>
    <w:rsid w:val="00EF0533"/>
    <w:rsid w:val="00EF1805"/>
    <w:rsid w:val="00EF6131"/>
    <w:rsid w:val="00F02AED"/>
    <w:rsid w:val="00F07F61"/>
    <w:rsid w:val="00F13BBE"/>
    <w:rsid w:val="00F16805"/>
    <w:rsid w:val="00F17E64"/>
    <w:rsid w:val="00F232C6"/>
    <w:rsid w:val="00F265D6"/>
    <w:rsid w:val="00F306D5"/>
    <w:rsid w:val="00F326E7"/>
    <w:rsid w:val="00F35D7C"/>
    <w:rsid w:val="00F46135"/>
    <w:rsid w:val="00F52ED1"/>
    <w:rsid w:val="00F62879"/>
    <w:rsid w:val="00F63D11"/>
    <w:rsid w:val="00F81088"/>
    <w:rsid w:val="00F8129B"/>
    <w:rsid w:val="00F81569"/>
    <w:rsid w:val="00F83152"/>
    <w:rsid w:val="00F836EF"/>
    <w:rsid w:val="00F8436C"/>
    <w:rsid w:val="00F86F26"/>
    <w:rsid w:val="00F95038"/>
    <w:rsid w:val="00F95D8B"/>
    <w:rsid w:val="00FA0805"/>
    <w:rsid w:val="00FA1694"/>
    <w:rsid w:val="00FA17D9"/>
    <w:rsid w:val="00FA5498"/>
    <w:rsid w:val="00FC09E7"/>
    <w:rsid w:val="00FC2705"/>
    <w:rsid w:val="00FC5DA1"/>
    <w:rsid w:val="00FC77F4"/>
    <w:rsid w:val="00FD167A"/>
    <w:rsid w:val="00FD1803"/>
    <w:rsid w:val="00FD692D"/>
    <w:rsid w:val="00FD73A8"/>
    <w:rsid w:val="00FE054A"/>
    <w:rsid w:val="00FE2FC5"/>
    <w:rsid w:val="00FE6119"/>
    <w:rsid w:val="00FF13F3"/>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739329746">
      <w:bodyDiv w:val="1"/>
      <w:marLeft w:val="0"/>
      <w:marRight w:val="0"/>
      <w:marTop w:val="0"/>
      <w:marBottom w:val="0"/>
      <w:divBdr>
        <w:top w:val="none" w:sz="0" w:space="0" w:color="auto"/>
        <w:left w:val="none" w:sz="0" w:space="0" w:color="auto"/>
        <w:bottom w:val="none" w:sz="0" w:space="0" w:color="auto"/>
        <w:right w:val="none" w:sz="0" w:space="0" w:color="auto"/>
      </w:divBdr>
    </w:div>
    <w:div w:id="754715400">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1994260636">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 w:id="2129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729</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31</cp:revision>
  <cp:lastPrinted>2025-09-25T03:38:00Z</cp:lastPrinted>
  <dcterms:created xsi:type="dcterms:W3CDTF">2025-07-10T00:04:00Z</dcterms:created>
  <dcterms:modified xsi:type="dcterms:W3CDTF">2025-09-25T03:38:00Z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85f6215b-09a8-4162-ae31-8e8aad60abaa</vt:lpwstr>
  </property>
</Properties>
</file>