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56" w:rsidRDefault="001E0056" w:rsidP="001E0056">
      <w:bookmarkStart w:id="0" w:name="_Toc383079042"/>
      <w:bookmarkStart w:id="1" w:name="_Toc359503799"/>
      <w:bookmarkStart w:id="2" w:name="_Toc358372280"/>
    </w:p>
    <w:p w:rsidR="001E0056" w:rsidRPr="006652C4" w:rsidRDefault="001E0056" w:rsidP="001E0056">
      <w:pPr>
        <w:jc w:val="center"/>
        <w:rPr>
          <w:b/>
          <w:bCs/>
          <w:sz w:val="44"/>
          <w:szCs w:val="44"/>
        </w:rPr>
      </w:pPr>
    </w:p>
    <w:p w:rsidR="001E0056" w:rsidRDefault="001E0056" w:rsidP="001E0056">
      <w:pPr>
        <w:tabs>
          <w:tab w:val="left" w:pos="3552"/>
        </w:tabs>
        <w:jc w:val="center"/>
        <w:rPr>
          <w:b/>
          <w:bCs/>
          <w:sz w:val="44"/>
          <w:szCs w:val="44"/>
        </w:rPr>
      </w:pPr>
    </w:p>
    <w:p w:rsidR="001E0056" w:rsidRPr="006652C4" w:rsidRDefault="001E0056" w:rsidP="001E0056">
      <w:pPr>
        <w:jc w:val="center"/>
        <w:rPr>
          <w:b/>
          <w:bCs/>
          <w:sz w:val="44"/>
          <w:szCs w:val="44"/>
        </w:rPr>
      </w:pPr>
    </w:p>
    <w:p w:rsidR="001E0056" w:rsidRDefault="001E0056" w:rsidP="001E0056">
      <w:pPr>
        <w:jc w:val="center"/>
        <w:rPr>
          <w:b/>
          <w:bCs/>
          <w:sz w:val="40"/>
          <w:szCs w:val="40"/>
        </w:rPr>
      </w:pPr>
    </w:p>
    <w:p w:rsidR="001E0056" w:rsidRPr="007701F7" w:rsidRDefault="001E0056" w:rsidP="001E0056">
      <w:pPr>
        <w:jc w:val="center"/>
        <w:rPr>
          <w:b/>
          <w:bCs/>
          <w:szCs w:val="40"/>
        </w:rPr>
      </w:pPr>
    </w:p>
    <w:p w:rsidR="001E0056" w:rsidRPr="0074708C" w:rsidRDefault="001E0056" w:rsidP="001E0056">
      <w:pPr>
        <w:jc w:val="center"/>
        <w:rPr>
          <w:b/>
          <w:bCs/>
          <w:sz w:val="40"/>
          <w:szCs w:val="40"/>
        </w:rPr>
      </w:pPr>
      <w:r>
        <w:rPr>
          <w:b/>
          <w:bCs/>
          <w:sz w:val="40"/>
          <w:szCs w:val="40"/>
        </w:rPr>
        <w:t xml:space="preserve">Indonesian: Second Language </w:t>
      </w:r>
      <w:r w:rsidRPr="0074708C">
        <w:rPr>
          <w:b/>
          <w:bCs/>
          <w:sz w:val="40"/>
          <w:szCs w:val="40"/>
        </w:rPr>
        <w:t xml:space="preserve">General </w:t>
      </w:r>
      <w:r>
        <w:rPr>
          <w:b/>
          <w:bCs/>
          <w:sz w:val="40"/>
          <w:szCs w:val="40"/>
        </w:rPr>
        <w:t xml:space="preserve">Course </w:t>
      </w:r>
      <w:r w:rsidRPr="0074708C">
        <w:rPr>
          <w:b/>
          <w:bCs/>
          <w:sz w:val="40"/>
          <w:szCs w:val="40"/>
        </w:rPr>
        <w:t>Year 12</w:t>
      </w:r>
    </w:p>
    <w:p w:rsidR="001E0056" w:rsidRPr="0065454B" w:rsidRDefault="001E0056" w:rsidP="001E0056">
      <w:pPr>
        <w:jc w:val="center"/>
        <w:rPr>
          <w:rStyle w:val="Strong"/>
        </w:rPr>
      </w:pPr>
    </w:p>
    <w:p w:rsidR="001E0056" w:rsidRPr="0074708C" w:rsidRDefault="001E0056" w:rsidP="001E0056">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1E0056" w:rsidRPr="00E0618D" w:rsidRDefault="001E0056" w:rsidP="001E0056">
      <w:pPr>
        <w:jc w:val="center"/>
        <w:rPr>
          <w:rStyle w:val="Strong"/>
        </w:rPr>
      </w:pPr>
    </w:p>
    <w:p w:rsidR="001E0056" w:rsidRPr="0074708C" w:rsidRDefault="001E0056" w:rsidP="001E0056">
      <w:pPr>
        <w:jc w:val="center"/>
        <w:rPr>
          <w:b/>
          <w:bCs/>
          <w:sz w:val="40"/>
          <w:szCs w:val="40"/>
        </w:rPr>
      </w:pPr>
      <w:r w:rsidRPr="0074708C">
        <w:rPr>
          <w:b/>
          <w:bCs/>
          <w:sz w:val="40"/>
          <w:szCs w:val="40"/>
        </w:rPr>
        <w:t>Externally set task 2017</w:t>
      </w:r>
    </w:p>
    <w:p w:rsidR="001E0056" w:rsidRDefault="001E0056" w:rsidP="001E0056">
      <w:pPr>
        <w:rPr>
          <w:b/>
          <w:bCs/>
          <w:sz w:val="44"/>
          <w:szCs w:val="44"/>
        </w:rPr>
      </w:pPr>
    </w:p>
    <w:p w:rsidR="001E0056" w:rsidRDefault="001E0056" w:rsidP="001E0056">
      <w:pPr>
        <w:rPr>
          <w:b/>
          <w:bCs/>
          <w:sz w:val="44"/>
          <w:szCs w:val="44"/>
        </w:rPr>
      </w:pPr>
    </w:p>
    <w:p w:rsidR="001E0056" w:rsidRDefault="001E0056" w:rsidP="001E0056">
      <w:pPr>
        <w:rPr>
          <w:b/>
          <w:bCs/>
          <w:sz w:val="44"/>
          <w:szCs w:val="44"/>
        </w:rPr>
      </w:pPr>
    </w:p>
    <w:p w:rsidR="001E0056" w:rsidRDefault="001E0056" w:rsidP="001E0056">
      <w:pPr>
        <w:rPr>
          <w:b/>
          <w:bCs/>
          <w:sz w:val="44"/>
          <w:szCs w:val="44"/>
        </w:rPr>
      </w:pPr>
    </w:p>
    <w:p w:rsidR="001E0056" w:rsidRPr="0074708C" w:rsidRDefault="001E0056" w:rsidP="001E0056">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2708BAF1" wp14:editId="14F882CD">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E0056" w:rsidRPr="002A6754" w:rsidRDefault="001E0056" w:rsidP="001E0056">
                            <w:pPr>
                              <w:spacing w:after="0"/>
                            </w:pPr>
                            <w:r w:rsidRPr="002A6754">
                              <w:t xml:space="preserve">This document is an extract from the </w:t>
                            </w:r>
                            <w:r>
                              <w:rPr>
                                <w:i/>
                              </w:rPr>
                              <w:t>Indonesian: Second Language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1E0056" w:rsidRPr="002A6754" w:rsidRDefault="001E0056" w:rsidP="001E0056">
                            <w:pPr>
                              <w:spacing w:after="0"/>
                            </w:pPr>
                          </w:p>
                          <w:p w:rsidR="001E0056" w:rsidRPr="002A6754" w:rsidRDefault="001E0056" w:rsidP="001E005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E0056" w:rsidRPr="002A6754" w:rsidRDefault="001E0056" w:rsidP="001E0056">
                            <w:pPr>
                              <w:spacing w:after="0"/>
                            </w:pPr>
                          </w:p>
                          <w:p w:rsidR="001E0056" w:rsidRPr="002A6754" w:rsidRDefault="001E0056" w:rsidP="001E005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8BAF1"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1E0056" w:rsidRPr="002A6754" w:rsidRDefault="001E0056" w:rsidP="001E0056">
                      <w:pPr>
                        <w:spacing w:after="0"/>
                      </w:pPr>
                      <w:r w:rsidRPr="002A6754">
                        <w:t xml:space="preserve">This document is an extract from the </w:t>
                      </w:r>
                      <w:r>
                        <w:rPr>
                          <w:i/>
                        </w:rPr>
                        <w:t>Indonesian: Second Language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1E0056" w:rsidRPr="002A6754" w:rsidRDefault="001E0056" w:rsidP="001E0056">
                      <w:pPr>
                        <w:spacing w:after="0"/>
                      </w:pPr>
                    </w:p>
                    <w:p w:rsidR="001E0056" w:rsidRPr="002A6754" w:rsidRDefault="001E0056" w:rsidP="001E005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E0056" w:rsidRPr="002A6754" w:rsidRDefault="001E0056" w:rsidP="001E0056">
                      <w:pPr>
                        <w:spacing w:after="0"/>
                      </w:pPr>
                    </w:p>
                    <w:p w:rsidR="001E0056" w:rsidRPr="002A6754" w:rsidRDefault="001E0056" w:rsidP="001E005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E0056" w:rsidRDefault="001E0056" w:rsidP="001E0056">
      <w:pPr>
        <w:pStyle w:val="Heading1"/>
        <w:spacing w:before="120"/>
        <w:rPr>
          <w:color w:val="auto"/>
        </w:rPr>
        <w:sectPr w:rsidR="001E0056" w:rsidSect="001E0056">
          <w:headerReference w:type="even" r:id="rId8"/>
          <w:footerReference w:type="default" r:id="rId9"/>
          <w:headerReference w:type="first" r:id="rId10"/>
          <w:footerReference w:type="first" r:id="rId11"/>
          <w:pgSz w:w="11906" w:h="16838"/>
          <w:pgMar w:top="1440" w:right="1080" w:bottom="1440" w:left="1080" w:header="708" w:footer="708" w:gutter="0"/>
          <w:cols w:space="709"/>
          <w:titlePg/>
          <w:docGrid w:linePitch="360"/>
        </w:sectPr>
      </w:pPr>
    </w:p>
    <w:p w:rsidR="008743F4" w:rsidRPr="001E0056" w:rsidRDefault="008743F4" w:rsidP="001E0056">
      <w:pPr>
        <w:pStyle w:val="Heading1"/>
        <w:spacing w:before="120"/>
        <w:rPr>
          <w:color w:val="auto"/>
        </w:rPr>
      </w:pPr>
      <w:r w:rsidRPr="001E0056">
        <w:rPr>
          <w:color w:val="auto"/>
        </w:rPr>
        <w:lastRenderedPageBreak/>
        <w:t>Unit 3</w:t>
      </w:r>
      <w:bookmarkEnd w:id="0"/>
      <w:r w:rsidRPr="001E0056">
        <w:rPr>
          <w:color w:val="auto"/>
        </w:rPr>
        <w:t xml:space="preserve"> </w:t>
      </w:r>
    </w:p>
    <w:p w:rsidR="00E44502" w:rsidRPr="003566C9" w:rsidRDefault="00E44502" w:rsidP="006854CE">
      <w:pPr>
        <w:pStyle w:val="Heading2"/>
      </w:pPr>
      <w:bookmarkStart w:id="3" w:name="_Toc383079043"/>
      <w:r w:rsidRPr="003566C9">
        <w:t>Unit description</w:t>
      </w:r>
      <w:bookmarkEnd w:id="1"/>
      <w:bookmarkEnd w:id="3"/>
    </w:p>
    <w:p w:rsidR="00D02025" w:rsidRPr="00D02025" w:rsidRDefault="00D02025" w:rsidP="00D02025">
      <w:pPr>
        <w:pStyle w:val="Paragraph"/>
      </w:pPr>
      <w:bookmarkStart w:id="4" w:name="_Toc360700414"/>
      <w:r w:rsidRPr="00D93F82">
        <w:rPr>
          <w:shd w:val="clear" w:color="auto" w:fill="D9D9D9" w:themeFill="background1" w:themeFillShade="D9"/>
        </w:rPr>
        <w:t xml:space="preserve">The focus for this unit is </w:t>
      </w:r>
      <w:r w:rsidRPr="00D93F82">
        <w:rPr>
          <w:b/>
          <w:i/>
          <w:shd w:val="clear" w:color="auto" w:fill="D9D9D9" w:themeFill="background1" w:themeFillShade="D9"/>
        </w:rPr>
        <w:t>Saat ini aku di sini</w:t>
      </w:r>
      <w:r w:rsidRPr="00D93F82">
        <w:rPr>
          <w:b/>
          <w:shd w:val="clear" w:color="auto" w:fill="D9D9D9" w:themeFill="background1" w:themeFillShade="D9"/>
        </w:rPr>
        <w:t xml:space="preserve"> (Here and now)</w:t>
      </w:r>
      <w:r w:rsidRPr="00D02025">
        <w:t>. Students continue to develop skills, knowledge and understandings through the study of the unit content. They extend their communication skills in the Indonesian language and gain further insight into the culture.</w:t>
      </w:r>
    </w:p>
    <w:p w:rsidR="008E32B1" w:rsidRPr="003566C9" w:rsidRDefault="008E32B1" w:rsidP="006854CE">
      <w:pPr>
        <w:pStyle w:val="Heading2"/>
      </w:pPr>
      <w:bookmarkStart w:id="5" w:name="_Toc383079044"/>
      <w:bookmarkEnd w:id="4"/>
      <w:r w:rsidRPr="003566C9">
        <w:t>Unit content</w:t>
      </w:r>
      <w:bookmarkEnd w:id="2"/>
      <w:bookmarkEnd w:id="5"/>
    </w:p>
    <w:p w:rsidR="00521672" w:rsidRDefault="00A97B98" w:rsidP="00B66969">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Default="008E32B1" w:rsidP="00B66969">
      <w:pPr>
        <w:spacing w:before="120" w:line="276" w:lineRule="auto"/>
      </w:pPr>
      <w:r w:rsidRPr="003566C9">
        <w:t>This unit includes the knowledge, understandings and skills described below.</w:t>
      </w:r>
    </w:p>
    <w:p w:rsidR="00A97B98" w:rsidRPr="003566C9" w:rsidRDefault="00521672" w:rsidP="00CC2910">
      <w:pPr>
        <w:pStyle w:val="Heading3"/>
      </w:pPr>
      <w:r w:rsidRPr="00521672">
        <w:t>Learning contexts and topics</w:t>
      </w:r>
    </w:p>
    <w:p w:rsidR="00521672" w:rsidRDefault="00521672" w:rsidP="00521672">
      <w:pPr>
        <w:pStyle w:val="Paragraph"/>
      </w:pPr>
      <w:r w:rsidRPr="00521672">
        <w:t xml:space="preserve">Unit 3 is organised around three learning contexts and </w:t>
      </w:r>
      <w:r w:rsidR="00B44E85">
        <w:t>a set</w:t>
      </w:r>
      <w:r w:rsidRPr="00521672">
        <w:t xml:space="preserve"> of </w:t>
      </w:r>
      <w:r w:rsidR="00B44E85">
        <w:t xml:space="preserve">three </w:t>
      </w:r>
      <w:r w:rsidRPr="00521672">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521672" w:rsidRPr="00E806D2" w:rsidTr="008B1361">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521672" w:rsidRPr="00E806D2" w:rsidRDefault="00521672" w:rsidP="008B1361">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521672" w:rsidRPr="00E806D2" w:rsidRDefault="00521672" w:rsidP="008B1361">
            <w:pPr>
              <w:spacing w:before="120" w:after="120"/>
              <w:jc w:val="center"/>
              <w:rPr>
                <w:b/>
                <w:color w:val="FFFFFF" w:themeColor="background1"/>
                <w:sz w:val="20"/>
                <w:szCs w:val="20"/>
              </w:rPr>
            </w:pPr>
            <w:r w:rsidRPr="00E806D2">
              <w:rPr>
                <w:b/>
                <w:color w:val="FFFFFF" w:themeColor="background1"/>
                <w:sz w:val="20"/>
                <w:szCs w:val="20"/>
              </w:rPr>
              <w:t>Topics</w:t>
            </w:r>
          </w:p>
        </w:tc>
      </w:tr>
      <w:tr w:rsidR="00521672" w:rsidRPr="00E806D2" w:rsidTr="00D93F82">
        <w:tc>
          <w:tcPr>
            <w:tcW w:w="4890" w:type="dxa"/>
            <w:tcBorders>
              <w:top w:val="single" w:sz="12" w:space="0" w:color="FFFFFF" w:themeColor="background1"/>
              <w:bottom w:val="single" w:sz="4" w:space="0" w:color="9688BE" w:themeColor="accent4"/>
            </w:tcBorders>
            <w:shd w:val="clear" w:color="auto" w:fill="D9D9D9" w:themeFill="background1" w:themeFillShade="D9"/>
          </w:tcPr>
          <w:p w:rsidR="00521672" w:rsidRPr="00521672" w:rsidRDefault="00521672" w:rsidP="00521672">
            <w:pPr>
              <w:spacing w:before="40" w:after="40"/>
              <w:rPr>
                <w:b/>
                <w:sz w:val="20"/>
                <w:szCs w:val="20"/>
              </w:rPr>
            </w:pPr>
            <w:r w:rsidRPr="00521672">
              <w:rPr>
                <w:b/>
                <w:sz w:val="20"/>
                <w:szCs w:val="20"/>
              </w:rPr>
              <w:t>The individual</w:t>
            </w:r>
          </w:p>
          <w:p w:rsidR="00521672" w:rsidRPr="00E806D2" w:rsidRDefault="00521672" w:rsidP="008B1361">
            <w:pPr>
              <w:spacing w:before="40" w:after="40"/>
              <w:rPr>
                <w:sz w:val="20"/>
                <w:szCs w:val="20"/>
              </w:rPr>
            </w:pPr>
            <w:r w:rsidRPr="00521672">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shd w:val="clear" w:color="auto" w:fill="D9D9D9" w:themeFill="background1" w:themeFillShade="D9"/>
          </w:tcPr>
          <w:p w:rsidR="00521672" w:rsidRPr="00521672" w:rsidRDefault="00521672" w:rsidP="00521672">
            <w:pPr>
              <w:spacing w:before="40" w:after="40"/>
              <w:rPr>
                <w:b/>
                <w:sz w:val="20"/>
                <w:szCs w:val="20"/>
              </w:rPr>
            </w:pPr>
            <w:r w:rsidRPr="00521672">
              <w:rPr>
                <w:b/>
                <w:sz w:val="20"/>
                <w:szCs w:val="20"/>
              </w:rPr>
              <w:t>Being teen, what does it mean?</w:t>
            </w:r>
          </w:p>
          <w:p w:rsidR="00521672" w:rsidRPr="00E806D2" w:rsidRDefault="00521672" w:rsidP="00521672">
            <w:pPr>
              <w:spacing w:before="40" w:after="40"/>
              <w:rPr>
                <w:sz w:val="20"/>
                <w:szCs w:val="20"/>
              </w:rPr>
            </w:pPr>
            <w:r w:rsidRPr="00521672">
              <w:rPr>
                <w:sz w:val="20"/>
                <w:szCs w:val="20"/>
              </w:rPr>
              <w:t>Students reflect on what they do in their daily life and express their identity and what it means to be a teenager. They discuss moving into adulthood, coping with pressures, socialising and developing relationships</w:t>
            </w:r>
            <w:r>
              <w:rPr>
                <w:rFonts w:eastAsia="Times New Roman" w:cs="Calibri"/>
                <w:sz w:val="20"/>
                <w:szCs w:val="24"/>
              </w:rPr>
              <w:t>.</w:t>
            </w:r>
          </w:p>
        </w:tc>
      </w:tr>
      <w:tr w:rsidR="00521672" w:rsidRPr="00E806D2" w:rsidTr="00D93F82">
        <w:tc>
          <w:tcPr>
            <w:tcW w:w="4890" w:type="dxa"/>
            <w:tcBorders>
              <w:top w:val="single" w:sz="4" w:space="0" w:color="9688BE" w:themeColor="accent4"/>
              <w:bottom w:val="single" w:sz="4" w:space="0" w:color="9688BE" w:themeColor="accent4"/>
            </w:tcBorders>
            <w:shd w:val="clear" w:color="auto" w:fill="D9D9D9" w:themeFill="background1" w:themeFillShade="D9"/>
          </w:tcPr>
          <w:p w:rsidR="00521672" w:rsidRPr="00521672" w:rsidRDefault="00521672" w:rsidP="00521672">
            <w:pPr>
              <w:spacing w:before="40" w:after="40"/>
              <w:rPr>
                <w:b/>
                <w:sz w:val="20"/>
                <w:szCs w:val="20"/>
              </w:rPr>
            </w:pPr>
            <w:r w:rsidRPr="00521672">
              <w:rPr>
                <w:b/>
                <w:sz w:val="20"/>
                <w:szCs w:val="20"/>
              </w:rPr>
              <w:t>The Indonesian-speaking communities</w:t>
            </w:r>
          </w:p>
          <w:p w:rsidR="00521672" w:rsidRPr="00E806D2" w:rsidRDefault="00521672" w:rsidP="00521672">
            <w:pPr>
              <w:spacing w:before="40" w:after="40"/>
              <w:rPr>
                <w:sz w:val="20"/>
                <w:szCs w:val="20"/>
              </w:rPr>
            </w:pPr>
            <w:r w:rsidRPr="00521672">
              <w:rPr>
                <w:sz w:val="20"/>
                <w:szCs w:val="20"/>
              </w:rPr>
              <w:t>Students explore topics from the perspectives of individuals and groups within those communities</w:t>
            </w:r>
            <w:r w:rsidR="00717753">
              <w:rPr>
                <w:sz w:val="20"/>
                <w:szCs w:val="20"/>
              </w:rPr>
              <w:t>,</w:t>
            </w:r>
            <w:r w:rsidRPr="0052167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shd w:val="clear" w:color="auto" w:fill="D9D9D9" w:themeFill="background1" w:themeFillShade="D9"/>
          </w:tcPr>
          <w:p w:rsidR="00521672" w:rsidRPr="00521672" w:rsidRDefault="00521672" w:rsidP="00521672">
            <w:pPr>
              <w:spacing w:before="40" w:after="40"/>
              <w:rPr>
                <w:b/>
                <w:sz w:val="20"/>
                <w:szCs w:val="20"/>
              </w:rPr>
            </w:pPr>
            <w:r w:rsidRPr="00521672">
              <w:rPr>
                <w:b/>
                <w:sz w:val="20"/>
                <w:szCs w:val="20"/>
              </w:rPr>
              <w:t>Indonesian communities</w:t>
            </w:r>
          </w:p>
          <w:p w:rsidR="00521672" w:rsidRPr="00E806D2" w:rsidRDefault="00521672" w:rsidP="00521672">
            <w:pPr>
              <w:spacing w:before="40" w:after="40"/>
              <w:rPr>
                <w:sz w:val="20"/>
                <w:szCs w:val="20"/>
              </w:rPr>
            </w:pPr>
            <w:r w:rsidRPr="00521672">
              <w:rPr>
                <w:sz w:val="20"/>
                <w:szCs w:val="20"/>
              </w:rPr>
              <w:t>Students explore the influence of culture on lifestyle in Indonesia through a study of music, film</w:t>
            </w:r>
            <w:r w:rsidR="00C13743">
              <w:rPr>
                <w:sz w:val="20"/>
                <w:szCs w:val="20"/>
              </w:rPr>
              <w:t>,</w:t>
            </w:r>
            <w:r w:rsidRPr="00521672">
              <w:rPr>
                <w:sz w:val="20"/>
                <w:szCs w:val="20"/>
              </w:rPr>
              <w:t xml:space="preserve"> and national and religious celebrations.</w:t>
            </w:r>
          </w:p>
        </w:tc>
      </w:tr>
      <w:tr w:rsidR="00521672" w:rsidRPr="00E806D2" w:rsidTr="008B1361">
        <w:tc>
          <w:tcPr>
            <w:tcW w:w="4890" w:type="dxa"/>
            <w:tcBorders>
              <w:top w:val="single" w:sz="4" w:space="0" w:color="9688BE" w:themeColor="accent4"/>
            </w:tcBorders>
          </w:tcPr>
          <w:p w:rsidR="00521672" w:rsidRPr="00521672" w:rsidRDefault="00521672" w:rsidP="00521672">
            <w:pPr>
              <w:spacing w:before="40" w:after="40"/>
              <w:rPr>
                <w:b/>
                <w:sz w:val="20"/>
                <w:szCs w:val="20"/>
              </w:rPr>
            </w:pPr>
            <w:r w:rsidRPr="00521672">
              <w:rPr>
                <w:b/>
                <w:sz w:val="20"/>
                <w:szCs w:val="20"/>
              </w:rPr>
              <w:t>The changing world</w:t>
            </w:r>
          </w:p>
          <w:p w:rsidR="00521672" w:rsidRPr="00E806D2" w:rsidRDefault="00521672" w:rsidP="00521672">
            <w:pPr>
              <w:spacing w:before="40" w:after="40"/>
              <w:rPr>
                <w:sz w:val="20"/>
                <w:szCs w:val="20"/>
              </w:rPr>
            </w:pPr>
            <w:r w:rsidRPr="005216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521672" w:rsidRPr="00521672" w:rsidRDefault="00521672" w:rsidP="00521672">
            <w:pPr>
              <w:spacing w:before="40" w:after="40"/>
              <w:rPr>
                <w:b/>
                <w:sz w:val="20"/>
                <w:szCs w:val="20"/>
              </w:rPr>
            </w:pPr>
            <w:r w:rsidRPr="00521672">
              <w:rPr>
                <w:b/>
                <w:sz w:val="20"/>
                <w:szCs w:val="20"/>
              </w:rPr>
              <w:t>Staying connected</w:t>
            </w:r>
          </w:p>
          <w:p w:rsidR="00521672" w:rsidRPr="00E806D2" w:rsidRDefault="00521672" w:rsidP="00521672">
            <w:pPr>
              <w:spacing w:before="40" w:after="40"/>
              <w:rPr>
                <w:sz w:val="20"/>
                <w:szCs w:val="20"/>
              </w:rPr>
            </w:pPr>
            <w:r w:rsidRPr="00521672">
              <w:rPr>
                <w:sz w:val="20"/>
                <w:szCs w:val="20"/>
              </w:rPr>
              <w:t>Students consider communication in a changing world and its influence on culture and language.</w:t>
            </w:r>
          </w:p>
        </w:tc>
      </w:tr>
    </w:tbl>
    <w:p w:rsidR="00521672" w:rsidRDefault="00521672">
      <w:pPr>
        <w:spacing w:line="276" w:lineRule="auto"/>
        <w:rPr>
          <w:b/>
          <w:bCs/>
          <w:color w:val="595959" w:themeColor="text1" w:themeTint="A6"/>
          <w:sz w:val="26"/>
          <w:szCs w:val="26"/>
        </w:rPr>
      </w:pPr>
      <w:r>
        <w:br w:type="page"/>
      </w:r>
      <w:bookmarkStart w:id="6" w:name="_GoBack"/>
      <w:bookmarkEnd w:id="6"/>
    </w:p>
    <w:p w:rsidR="00A97B98" w:rsidRPr="003566C9" w:rsidRDefault="00521672" w:rsidP="00377001">
      <w:pPr>
        <w:pStyle w:val="Heading3"/>
        <w:spacing w:before="120"/>
      </w:pPr>
      <w:r w:rsidRPr="00521672">
        <w:lastRenderedPageBreak/>
        <w:t>Text types and textual conventions</w:t>
      </w:r>
    </w:p>
    <w:p w:rsidR="00521672" w:rsidRDefault="00521672" w:rsidP="00377001">
      <w:pPr>
        <w:pStyle w:val="Paragraph"/>
        <w:spacing w:after="60"/>
      </w:pPr>
      <w:r w:rsidRPr="00521672">
        <w:t>It is necessary for student</w:t>
      </w:r>
      <w:r w:rsidR="00F51D24">
        <w:t>s</w:t>
      </w:r>
      <w:r w:rsidRPr="00521672">
        <w:t xml:space="preserve"> to engage with a range of </w:t>
      </w:r>
      <w:r w:rsidR="00F87A91">
        <w:t>text type</w:t>
      </w:r>
      <w:r w:rsidRPr="00521672">
        <w:t>s. In school-based assessments, students are expected to respond to, and to produce,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4780D" w:rsidRPr="00035926" w:rsidTr="00565BDF">
        <w:tc>
          <w:tcPr>
            <w:tcW w:w="3118" w:type="dxa"/>
          </w:tcPr>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account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advertisement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announcement</w:t>
            </w:r>
          </w:p>
          <w:p w:rsidR="0024780D" w:rsidRPr="00035926" w:rsidRDefault="0024780D" w:rsidP="00D93F82">
            <w:pPr>
              <w:numPr>
                <w:ilvl w:val="0"/>
                <w:numId w:val="20"/>
              </w:numPr>
              <w:shd w:val="clear" w:color="auto" w:fill="D9D9D9" w:themeFill="background1" w:themeFillShade="D9"/>
              <w:spacing w:before="40" w:after="50" w:line="276" w:lineRule="auto"/>
              <w:rPr>
                <w:rFonts w:eastAsiaTheme="minorHAnsi" w:cs="Calibri"/>
                <w:iCs/>
                <w:lang w:eastAsia="en-AU"/>
              </w:rPr>
            </w:pPr>
            <w:r w:rsidRPr="00035926">
              <w:rPr>
                <w:rFonts w:eastAsiaTheme="minorHAnsi" w:cs="Calibri"/>
                <w:iCs/>
                <w:lang w:eastAsia="en-AU"/>
              </w:rPr>
              <w:t>article</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blog posting </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cartoon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chart</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conversation</w:t>
            </w:r>
          </w:p>
          <w:p w:rsidR="0024780D" w:rsidRPr="00035926" w:rsidRDefault="0024780D" w:rsidP="00D93F82">
            <w:pPr>
              <w:numPr>
                <w:ilvl w:val="0"/>
                <w:numId w:val="20"/>
              </w:numPr>
              <w:shd w:val="clear" w:color="auto" w:fill="D9D9D9" w:themeFill="background1" w:themeFillShade="D9"/>
              <w:spacing w:before="40" w:after="50" w:line="276" w:lineRule="auto"/>
              <w:rPr>
                <w:rFonts w:eastAsiaTheme="minorHAnsi" w:cs="Calibri"/>
                <w:iCs/>
                <w:lang w:eastAsia="en-AU"/>
              </w:rPr>
            </w:pPr>
            <w:r w:rsidRPr="00035926">
              <w:rPr>
                <w:rFonts w:eastAsiaTheme="minorHAnsi" w:cs="Calibri"/>
                <w:iCs/>
                <w:lang w:eastAsia="en-AU"/>
              </w:rPr>
              <w:t>description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diary entry</w:t>
            </w:r>
          </w:p>
        </w:tc>
        <w:tc>
          <w:tcPr>
            <w:tcW w:w="3119" w:type="dxa"/>
          </w:tcPr>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email </w:t>
            </w:r>
          </w:p>
          <w:p w:rsidR="0024780D" w:rsidRPr="00035926" w:rsidRDefault="0024780D" w:rsidP="00377001">
            <w:pPr>
              <w:numPr>
                <w:ilvl w:val="0"/>
                <w:numId w:val="20"/>
              </w:numPr>
              <w:spacing w:before="40" w:after="50" w:line="276" w:lineRule="auto"/>
              <w:ind w:left="357" w:hanging="357"/>
              <w:rPr>
                <w:rFonts w:eastAsiaTheme="minorHAnsi" w:cs="Calibri"/>
                <w:iCs/>
                <w:lang w:eastAsia="en-AU"/>
              </w:rPr>
            </w:pPr>
            <w:r w:rsidRPr="00035926">
              <w:rPr>
                <w:rFonts w:eastAsiaTheme="minorHAnsi" w:cs="Calibri"/>
                <w:iCs/>
                <w:lang w:eastAsia="en-AU"/>
              </w:rPr>
              <w:t>film or TV program (excerpts)</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form</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image</w:t>
            </w:r>
          </w:p>
          <w:p w:rsidR="0024780D"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interview</w:t>
            </w:r>
          </w:p>
          <w:p w:rsidR="0024780D" w:rsidRPr="00035926" w:rsidRDefault="0024780D"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itinerary</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journal entry</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letter </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map </w:t>
            </w:r>
          </w:p>
        </w:tc>
        <w:tc>
          <w:tcPr>
            <w:tcW w:w="3119" w:type="dxa"/>
          </w:tcPr>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message</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note </w:t>
            </w:r>
          </w:p>
          <w:p w:rsidR="0024780D" w:rsidRDefault="0024780D" w:rsidP="00D93F82">
            <w:pPr>
              <w:numPr>
                <w:ilvl w:val="0"/>
                <w:numId w:val="20"/>
              </w:numPr>
              <w:shd w:val="clear" w:color="auto" w:fill="D9D9D9" w:themeFill="background1" w:themeFillShade="D9"/>
              <w:spacing w:before="40" w:after="50" w:line="276" w:lineRule="auto"/>
              <w:rPr>
                <w:rFonts w:eastAsiaTheme="minorHAnsi" w:cs="Calibri"/>
                <w:iCs/>
                <w:lang w:eastAsia="en-AU"/>
              </w:rPr>
            </w:pPr>
            <w:r w:rsidRPr="00035926">
              <w:rPr>
                <w:rFonts w:eastAsiaTheme="minorHAnsi" w:cs="Calibri"/>
                <w:iCs/>
                <w:lang w:eastAsia="en-AU"/>
              </w:rPr>
              <w:t>review</w:t>
            </w:r>
          </w:p>
          <w:p w:rsidR="0024780D" w:rsidRPr="00035926" w:rsidRDefault="0024780D" w:rsidP="00377001">
            <w:pPr>
              <w:numPr>
                <w:ilvl w:val="0"/>
                <w:numId w:val="20"/>
              </w:numPr>
              <w:spacing w:before="40" w:after="50" w:line="276" w:lineRule="auto"/>
              <w:rPr>
                <w:rFonts w:eastAsiaTheme="minorHAnsi" w:cs="Calibri"/>
                <w:iCs/>
                <w:lang w:eastAsia="en-AU"/>
              </w:rPr>
            </w:pPr>
            <w:r>
              <w:rPr>
                <w:rFonts w:eastAsiaTheme="minorHAnsi" w:cs="Calibri"/>
                <w:iCs/>
                <w:lang w:eastAsia="en-AU"/>
              </w:rPr>
              <w:t>role play</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 xml:space="preserve">script – speech, interview, dialogue </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sign</w:t>
            </w:r>
          </w:p>
          <w:p w:rsidR="0024780D" w:rsidRPr="00035926" w:rsidRDefault="0024780D" w:rsidP="00377001">
            <w:pPr>
              <w:numPr>
                <w:ilvl w:val="0"/>
                <w:numId w:val="20"/>
              </w:numPr>
              <w:spacing w:before="40" w:after="50" w:line="276" w:lineRule="auto"/>
              <w:rPr>
                <w:rFonts w:eastAsiaTheme="minorHAnsi" w:cs="Calibri"/>
                <w:iCs/>
                <w:lang w:eastAsia="en-AU"/>
              </w:rPr>
            </w:pPr>
            <w:r w:rsidRPr="00035926">
              <w:rPr>
                <w:rFonts w:eastAsiaTheme="minorHAnsi" w:cs="Calibri"/>
                <w:iCs/>
                <w:lang w:eastAsia="en-AU"/>
              </w:rPr>
              <w:t>table</w:t>
            </w:r>
          </w:p>
        </w:tc>
      </w:tr>
    </w:tbl>
    <w:p w:rsidR="00521672" w:rsidRPr="00521672" w:rsidRDefault="00521672" w:rsidP="00377001">
      <w:pPr>
        <w:pStyle w:val="Paragraph"/>
        <w:spacing w:before="60" w:after="60"/>
      </w:pPr>
      <w:r w:rsidRPr="00521672">
        <w:t xml:space="preserve">Refer to Appendix </w:t>
      </w:r>
      <w:r w:rsidR="00A87864">
        <w:t>2</w:t>
      </w:r>
      <w:r w:rsidRPr="00521672">
        <w:t xml:space="preserve"> for details of the features and conventions of the text types.</w:t>
      </w:r>
    </w:p>
    <w:p w:rsidR="00A97B98" w:rsidRPr="003566C9" w:rsidRDefault="00521672" w:rsidP="00B66969">
      <w:pPr>
        <w:pStyle w:val="Heading3"/>
        <w:spacing w:before="200"/>
      </w:pPr>
      <w:r w:rsidRPr="00521672">
        <w:t>Linguistic resources</w:t>
      </w:r>
    </w:p>
    <w:p w:rsidR="00521672" w:rsidRPr="00521672" w:rsidRDefault="00521672" w:rsidP="00D93F82">
      <w:pPr>
        <w:pStyle w:val="Paragraph"/>
        <w:shd w:val="clear" w:color="auto" w:fill="D9D9D9" w:themeFill="background1" w:themeFillShade="D9"/>
        <w:spacing w:before="80" w:after="80"/>
        <w:rPr>
          <w:b/>
        </w:rPr>
      </w:pPr>
      <w:r w:rsidRPr="00521672">
        <w:rPr>
          <w:b/>
        </w:rPr>
        <w:t>Vocabulary</w:t>
      </w:r>
    </w:p>
    <w:p w:rsidR="00521672" w:rsidRPr="00521672" w:rsidRDefault="00521672" w:rsidP="00D93F82">
      <w:pPr>
        <w:pStyle w:val="Paragraph"/>
        <w:shd w:val="clear" w:color="auto" w:fill="D9D9D9" w:themeFill="background1" w:themeFillShade="D9"/>
        <w:spacing w:before="80" w:after="80"/>
      </w:pPr>
      <w:r w:rsidRPr="00521672">
        <w:t xml:space="preserve">Vocabulary, phrases and expressions associated with the unit content. </w:t>
      </w:r>
    </w:p>
    <w:p w:rsidR="00521672" w:rsidRPr="00521672" w:rsidRDefault="00521672" w:rsidP="00D93F82">
      <w:pPr>
        <w:pStyle w:val="Paragraph"/>
        <w:shd w:val="clear" w:color="auto" w:fill="D9D9D9" w:themeFill="background1" w:themeFillShade="D9"/>
        <w:spacing w:before="80" w:after="80"/>
        <w:rPr>
          <w:b/>
        </w:rPr>
      </w:pPr>
      <w:r w:rsidRPr="00521672">
        <w:rPr>
          <w:b/>
        </w:rPr>
        <w:t>Grammar</w:t>
      </w:r>
    </w:p>
    <w:p w:rsidR="00521672" w:rsidRDefault="00521672" w:rsidP="00B66969">
      <w:pPr>
        <w:pStyle w:val="Paragraph"/>
        <w:spacing w:before="80" w:after="80"/>
      </w:pPr>
      <w:r w:rsidRPr="00521672">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D9D9D9" w:themeFill="background1" w:themeFillShade="D9"/>
        <w:tblLayout w:type="fixed"/>
        <w:tblLook w:val="04A0" w:firstRow="1" w:lastRow="0" w:firstColumn="1" w:lastColumn="0" w:noHBand="0" w:noVBand="1"/>
      </w:tblPr>
      <w:tblGrid>
        <w:gridCol w:w="3402"/>
        <w:gridCol w:w="6379"/>
      </w:tblGrid>
      <w:tr w:rsidR="00521672" w:rsidRPr="00521672" w:rsidTr="00D93F82">
        <w:tc>
          <w:tcPr>
            <w:tcW w:w="3402" w:type="dxa"/>
            <w:tcBorders>
              <w:right w:val="single" w:sz="4" w:space="0" w:color="FFFFFF" w:themeColor="background1"/>
            </w:tcBorders>
            <w:shd w:val="clear" w:color="auto" w:fill="D9D9D9" w:themeFill="background1" w:themeFillShade="D9"/>
          </w:tcPr>
          <w:p w:rsidR="00521672" w:rsidRPr="00521672" w:rsidRDefault="00521672" w:rsidP="00521672">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Grammatical item</w:t>
            </w:r>
            <w:r w:rsidR="00A40B11">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D9D9D9" w:themeFill="background1" w:themeFillShade="D9"/>
          </w:tcPr>
          <w:p w:rsidR="00521672" w:rsidRPr="00521672" w:rsidRDefault="00521672" w:rsidP="00521672">
            <w:pPr>
              <w:spacing w:before="120" w:after="120" w:line="240" w:lineRule="auto"/>
              <w:jc w:val="center"/>
              <w:rPr>
                <w:rFonts w:eastAsia="MS Mincho" w:cs="Calibri"/>
                <w:b/>
                <w:color w:val="FFFFFF" w:themeColor="background1"/>
                <w:sz w:val="20"/>
                <w:szCs w:val="20"/>
                <w:lang w:val="en-US" w:eastAsia="ja-JP"/>
              </w:rPr>
            </w:pPr>
            <w:r w:rsidRPr="00521672">
              <w:rPr>
                <w:rFonts w:eastAsia="MS Mincho" w:cs="Calibri"/>
                <w:b/>
                <w:color w:val="FFFFFF" w:themeColor="background1"/>
                <w:sz w:val="20"/>
                <w:szCs w:val="20"/>
                <w:lang w:val="en-US" w:eastAsia="ja-JP"/>
              </w:rPr>
              <w:t>Sub-elements</w:t>
            </w:r>
          </w:p>
        </w:tc>
      </w:tr>
      <w:tr w:rsidR="00D80288" w:rsidRPr="00521672" w:rsidTr="00D93F82">
        <w:tc>
          <w:tcPr>
            <w:tcW w:w="3402" w:type="dxa"/>
            <w:shd w:val="clear" w:color="auto" w:fill="D9D9D9" w:themeFill="background1" w:themeFillShade="D9"/>
          </w:tcPr>
          <w:p w:rsidR="00D80288" w:rsidRPr="00521672" w:rsidRDefault="00D80288" w:rsidP="00521672">
            <w:pPr>
              <w:pStyle w:val="Paragraph"/>
              <w:spacing w:before="30" w:after="30" w:line="240" w:lineRule="auto"/>
              <w:rPr>
                <w:sz w:val="20"/>
                <w:szCs w:val="20"/>
              </w:rPr>
            </w:pPr>
            <w:r>
              <w:rPr>
                <w:sz w:val="20"/>
                <w:szCs w:val="20"/>
              </w:rPr>
              <w:t>Adjectives</w:t>
            </w:r>
          </w:p>
        </w:tc>
        <w:tc>
          <w:tcPr>
            <w:tcW w:w="6379" w:type="dxa"/>
            <w:shd w:val="clear" w:color="auto" w:fill="D9D9D9" w:themeFill="background1" w:themeFillShade="D9"/>
          </w:tcPr>
          <w:p w:rsidR="00D80288" w:rsidRPr="00521672" w:rsidRDefault="00D80288" w:rsidP="00521672">
            <w:pPr>
              <w:pStyle w:val="Paragraph"/>
              <w:spacing w:before="30" w:after="30" w:line="240" w:lineRule="auto"/>
              <w:rPr>
                <w:sz w:val="20"/>
                <w:szCs w:val="20"/>
              </w:rPr>
            </w:pPr>
            <w:r w:rsidRPr="00521672">
              <w:rPr>
                <w:i/>
                <w:sz w:val="20"/>
                <w:szCs w:val="20"/>
              </w:rPr>
              <w:t>ter</w:t>
            </w:r>
            <w:r w:rsidRPr="00521672">
              <w:rPr>
                <w:sz w:val="20"/>
                <w:szCs w:val="20"/>
              </w:rPr>
              <w:t xml:space="preserve">-superlative </w:t>
            </w:r>
          </w:p>
        </w:tc>
      </w:tr>
      <w:tr w:rsidR="00521672" w:rsidRPr="00521672" w:rsidTr="00D93F82">
        <w:tc>
          <w:tcPr>
            <w:tcW w:w="3402" w:type="dxa"/>
            <w:vMerge w:val="restart"/>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 xml:space="preserve">Colloquial language </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common used colloquial words</w:t>
            </w:r>
          </w:p>
        </w:tc>
      </w:tr>
      <w:tr w:rsidR="00521672" w:rsidRPr="00521672" w:rsidTr="00D93F82">
        <w:tc>
          <w:tcPr>
            <w:tcW w:w="3402" w:type="dxa"/>
            <w:vMerge/>
            <w:shd w:val="clear" w:color="auto" w:fill="D9D9D9" w:themeFill="background1" w:themeFillShade="D9"/>
          </w:tcPr>
          <w:p w:rsidR="00521672" w:rsidRPr="00521672" w:rsidRDefault="00521672" w:rsidP="00521672">
            <w:pPr>
              <w:pStyle w:val="Paragraph"/>
              <w:spacing w:before="30" w:after="30" w:line="240" w:lineRule="auto"/>
              <w:rPr>
                <w:sz w:val="20"/>
                <w:szCs w:val="20"/>
              </w:rPr>
            </w:pP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derivations of common words</w:t>
            </w:r>
          </w:p>
        </w:tc>
      </w:tr>
      <w:tr w:rsidR="00521672" w:rsidRPr="00521672" w:rsidTr="00D93F82">
        <w:tc>
          <w:tcPr>
            <w:tcW w:w="3402" w:type="dxa"/>
            <w:vMerge/>
            <w:shd w:val="clear" w:color="auto" w:fill="D9D9D9" w:themeFill="background1" w:themeFillShade="D9"/>
          </w:tcPr>
          <w:p w:rsidR="00521672" w:rsidRPr="00521672" w:rsidRDefault="00521672" w:rsidP="00521672">
            <w:pPr>
              <w:pStyle w:val="Paragraph"/>
              <w:spacing w:before="30" w:after="30" w:line="240" w:lineRule="auto"/>
              <w:rPr>
                <w:sz w:val="20"/>
                <w:szCs w:val="20"/>
              </w:rPr>
            </w:pP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particles of informal speech</w:t>
            </w:r>
          </w:p>
        </w:tc>
      </w:tr>
      <w:tr w:rsidR="00521672" w:rsidRPr="00521672" w:rsidTr="00D93F82">
        <w:trPr>
          <w:trHeight w:val="353"/>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Comparatives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i/>
                <w:sz w:val="20"/>
                <w:szCs w:val="20"/>
              </w:rPr>
            </w:pPr>
          </w:p>
        </w:tc>
      </w:tr>
      <w:tr w:rsidR="00521672" w:rsidRPr="00521672" w:rsidTr="00D93F82">
        <w:trPr>
          <w:trHeight w:val="321"/>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Conjunctions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 xml:space="preserve">correlative </w:t>
            </w:r>
          </w:p>
        </w:tc>
      </w:tr>
      <w:tr w:rsidR="00521672" w:rsidRPr="00521672" w:rsidTr="00D93F82">
        <w:trPr>
          <w:trHeight w:val="375"/>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Imperatives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commands</w:t>
            </w:r>
          </w:p>
        </w:tc>
      </w:tr>
      <w:tr w:rsidR="00521672" w:rsidRPr="00521672" w:rsidTr="00D93F82">
        <w:trPr>
          <w:trHeight w:val="298"/>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Phrases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ways of expressing opinion</w:t>
            </w:r>
          </w:p>
        </w:tc>
      </w:tr>
      <w:tr w:rsidR="00521672" w:rsidRPr="00521672" w:rsidTr="00D93F82">
        <w:trPr>
          <w:trHeight w:val="275"/>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lang w:val="fr-FR"/>
              </w:rPr>
              <w:t>Prepositions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i/>
                <w:sz w:val="20"/>
                <w:szCs w:val="20"/>
              </w:rPr>
            </w:pPr>
          </w:p>
        </w:tc>
      </w:tr>
      <w:tr w:rsidR="00521672" w:rsidRPr="00521672" w:rsidTr="00D93F82">
        <w:trPr>
          <w:trHeight w:val="335"/>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Questions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i/>
                <w:sz w:val="20"/>
                <w:szCs w:val="20"/>
              </w:rPr>
            </w:pPr>
            <w:r w:rsidRPr="00521672">
              <w:rPr>
                <w:i/>
                <w:sz w:val="20"/>
                <w:szCs w:val="20"/>
              </w:rPr>
              <w:t>kah</w:t>
            </w:r>
          </w:p>
        </w:tc>
      </w:tr>
      <w:tr w:rsidR="00521672" w:rsidRPr="00521672" w:rsidTr="00D93F82">
        <w:trPr>
          <w:trHeight w:val="320"/>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Sentence tags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p>
        </w:tc>
      </w:tr>
      <w:tr w:rsidR="00521672" w:rsidRPr="00521672" w:rsidTr="00D93F82">
        <w:trPr>
          <w:trHeight w:val="286"/>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Simple object focus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1</w:t>
            </w:r>
            <w:r w:rsidRPr="00521672">
              <w:rPr>
                <w:sz w:val="20"/>
                <w:szCs w:val="20"/>
                <w:vertAlign w:val="superscript"/>
              </w:rPr>
              <w:t>st</w:t>
            </w:r>
            <w:r w:rsidRPr="00521672">
              <w:rPr>
                <w:sz w:val="20"/>
                <w:szCs w:val="20"/>
              </w:rPr>
              <w:t>, 2</w:t>
            </w:r>
            <w:r w:rsidRPr="00521672">
              <w:rPr>
                <w:sz w:val="20"/>
                <w:szCs w:val="20"/>
                <w:vertAlign w:val="superscript"/>
              </w:rPr>
              <w:t>nd</w:t>
            </w:r>
            <w:r w:rsidRPr="00521672">
              <w:rPr>
                <w:sz w:val="20"/>
                <w:szCs w:val="20"/>
              </w:rPr>
              <w:t xml:space="preserve"> and 3</w:t>
            </w:r>
            <w:r w:rsidRPr="00521672">
              <w:rPr>
                <w:sz w:val="20"/>
                <w:szCs w:val="20"/>
                <w:vertAlign w:val="superscript"/>
              </w:rPr>
              <w:t>rd</w:t>
            </w:r>
            <w:r w:rsidRPr="00521672">
              <w:rPr>
                <w:sz w:val="20"/>
                <w:szCs w:val="20"/>
              </w:rPr>
              <w:t xml:space="preserve"> person, without extra clauses or verb </w:t>
            </w:r>
            <w:r w:rsidR="008713AC" w:rsidRPr="00521672">
              <w:rPr>
                <w:sz w:val="20"/>
                <w:szCs w:val="20"/>
              </w:rPr>
              <w:t>auxiliaries</w:t>
            </w:r>
          </w:p>
        </w:tc>
      </w:tr>
      <w:tr w:rsidR="00521672" w:rsidRPr="00521672" w:rsidTr="00D93F82">
        <w:trPr>
          <w:trHeight w:val="335"/>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Syntax of descriptive phrases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i/>
                <w:sz w:val="20"/>
                <w:szCs w:val="20"/>
              </w:rPr>
              <w:t>yang</w:t>
            </w:r>
            <w:r w:rsidRPr="00521672">
              <w:rPr>
                <w:sz w:val="20"/>
                <w:szCs w:val="20"/>
              </w:rPr>
              <w:t xml:space="preserve"> </w:t>
            </w:r>
            <w:r w:rsidRPr="00521672">
              <w:rPr>
                <w:i/>
                <w:sz w:val="20"/>
                <w:szCs w:val="20"/>
              </w:rPr>
              <w:t xml:space="preserve">-nya </w:t>
            </w:r>
            <w:r w:rsidRPr="00521672">
              <w:rPr>
                <w:sz w:val="20"/>
                <w:szCs w:val="20"/>
              </w:rPr>
              <w:t>adjective</w:t>
            </w:r>
          </w:p>
        </w:tc>
      </w:tr>
      <w:tr w:rsidR="00521672" w:rsidRPr="00521672" w:rsidTr="00D93F82">
        <w:trPr>
          <w:trHeight w:val="335"/>
        </w:trPr>
        <w:tc>
          <w:tcPr>
            <w:tcW w:w="3402" w:type="dxa"/>
            <w:shd w:val="clear" w:color="auto" w:fill="D9D9D9" w:themeFill="background1" w:themeFillShade="D9"/>
          </w:tcPr>
          <w:p w:rsidR="00521672" w:rsidRPr="00521672" w:rsidRDefault="00521672" w:rsidP="00521672">
            <w:pPr>
              <w:pStyle w:val="Paragraph"/>
              <w:spacing w:before="30" w:after="30" w:line="240" w:lineRule="auto"/>
              <w:rPr>
                <w:sz w:val="20"/>
                <w:szCs w:val="20"/>
              </w:rPr>
            </w:pPr>
            <w:r w:rsidRPr="00521672">
              <w:rPr>
                <w:sz w:val="20"/>
                <w:szCs w:val="20"/>
              </w:rPr>
              <w:t>Time indicators</w:t>
            </w:r>
          </w:p>
        </w:tc>
        <w:tc>
          <w:tcPr>
            <w:tcW w:w="6379" w:type="dxa"/>
            <w:shd w:val="clear" w:color="auto" w:fill="D9D9D9" w:themeFill="background1" w:themeFillShade="D9"/>
          </w:tcPr>
          <w:p w:rsidR="00521672" w:rsidRPr="00521672" w:rsidRDefault="00521672" w:rsidP="00521672">
            <w:pPr>
              <w:pStyle w:val="Paragraph"/>
              <w:spacing w:before="30" w:after="30" w:line="240" w:lineRule="auto"/>
              <w:rPr>
                <w:i/>
                <w:sz w:val="20"/>
                <w:szCs w:val="20"/>
              </w:rPr>
            </w:pPr>
          </w:p>
        </w:tc>
      </w:tr>
      <w:tr w:rsidR="00377001" w:rsidRPr="00521672" w:rsidTr="00D93F82">
        <w:trPr>
          <w:trHeight w:val="335"/>
        </w:trPr>
        <w:tc>
          <w:tcPr>
            <w:tcW w:w="3402" w:type="dxa"/>
            <w:vMerge w:val="restart"/>
            <w:shd w:val="clear" w:color="auto" w:fill="D9D9D9" w:themeFill="background1" w:themeFillShade="D9"/>
          </w:tcPr>
          <w:p w:rsidR="00377001" w:rsidRPr="00521672" w:rsidRDefault="00377001" w:rsidP="00521672">
            <w:pPr>
              <w:pStyle w:val="Paragraph"/>
              <w:spacing w:before="30" w:after="30" w:line="240" w:lineRule="auto"/>
              <w:rPr>
                <w:sz w:val="20"/>
                <w:szCs w:val="20"/>
              </w:rPr>
            </w:pPr>
            <w:r w:rsidRPr="00521672">
              <w:rPr>
                <w:sz w:val="20"/>
                <w:szCs w:val="20"/>
              </w:rPr>
              <w:t>Verbs</w:t>
            </w:r>
          </w:p>
        </w:tc>
        <w:tc>
          <w:tcPr>
            <w:tcW w:w="6379" w:type="dxa"/>
            <w:shd w:val="clear" w:color="auto" w:fill="D9D9D9" w:themeFill="background1" w:themeFillShade="D9"/>
          </w:tcPr>
          <w:p w:rsidR="00377001" w:rsidRPr="00377001" w:rsidRDefault="00377001" w:rsidP="00521672">
            <w:pPr>
              <w:pStyle w:val="Paragraph"/>
              <w:spacing w:before="30" w:after="30" w:line="240" w:lineRule="auto"/>
              <w:rPr>
                <w:sz w:val="20"/>
                <w:szCs w:val="20"/>
              </w:rPr>
            </w:pPr>
            <w:r w:rsidRPr="00521672">
              <w:rPr>
                <w:i/>
                <w:sz w:val="20"/>
                <w:szCs w:val="20"/>
              </w:rPr>
              <w:t xml:space="preserve">me-kan </w:t>
            </w:r>
            <w:r w:rsidRPr="00521672">
              <w:rPr>
                <w:sz w:val="20"/>
                <w:szCs w:val="20"/>
              </w:rPr>
              <w:t>causative</w:t>
            </w:r>
          </w:p>
        </w:tc>
      </w:tr>
      <w:tr w:rsidR="00377001" w:rsidRPr="00521672" w:rsidTr="00D93F82">
        <w:trPr>
          <w:trHeight w:val="643"/>
        </w:trPr>
        <w:tc>
          <w:tcPr>
            <w:tcW w:w="3402" w:type="dxa"/>
            <w:vMerge/>
            <w:shd w:val="clear" w:color="auto" w:fill="D9D9D9" w:themeFill="background1" w:themeFillShade="D9"/>
          </w:tcPr>
          <w:p w:rsidR="00377001" w:rsidRPr="00521672" w:rsidRDefault="00377001" w:rsidP="00521672">
            <w:pPr>
              <w:pStyle w:val="Paragraph"/>
              <w:spacing w:before="30" w:after="30" w:line="240" w:lineRule="auto"/>
              <w:rPr>
                <w:sz w:val="20"/>
                <w:szCs w:val="20"/>
              </w:rPr>
            </w:pPr>
          </w:p>
        </w:tc>
        <w:tc>
          <w:tcPr>
            <w:tcW w:w="6379" w:type="dxa"/>
            <w:shd w:val="clear" w:color="auto" w:fill="D9D9D9" w:themeFill="background1" w:themeFillShade="D9"/>
          </w:tcPr>
          <w:p w:rsidR="00377001" w:rsidRDefault="00377001" w:rsidP="00521672">
            <w:pPr>
              <w:pStyle w:val="Paragraph"/>
              <w:spacing w:before="30" w:after="30" w:line="240" w:lineRule="auto"/>
              <w:rPr>
                <w:i/>
                <w:sz w:val="20"/>
                <w:szCs w:val="20"/>
              </w:rPr>
            </w:pPr>
            <w:r>
              <w:rPr>
                <w:i/>
                <w:sz w:val="20"/>
                <w:szCs w:val="20"/>
              </w:rPr>
              <w:t>me-i</w:t>
            </w:r>
          </w:p>
          <w:p w:rsidR="00377001" w:rsidRPr="00521672" w:rsidRDefault="00377001" w:rsidP="00521672">
            <w:pPr>
              <w:pStyle w:val="Paragraph"/>
              <w:spacing w:before="30" w:after="30" w:line="240" w:lineRule="auto"/>
              <w:rPr>
                <w:sz w:val="20"/>
                <w:szCs w:val="20"/>
              </w:rPr>
            </w:pPr>
            <w:r w:rsidRPr="00521672">
              <w:rPr>
                <w:i/>
                <w:sz w:val="20"/>
                <w:szCs w:val="20"/>
              </w:rPr>
              <w:t>memper-</w:t>
            </w:r>
          </w:p>
        </w:tc>
      </w:tr>
    </w:tbl>
    <w:p w:rsidR="00521672" w:rsidRPr="00521672" w:rsidRDefault="00521672" w:rsidP="00377001">
      <w:pPr>
        <w:pStyle w:val="Paragraph"/>
        <w:spacing w:before="60" w:after="60"/>
      </w:pPr>
      <w:r w:rsidRPr="00521672">
        <w:t xml:space="preserve">Refer to Appendix </w:t>
      </w:r>
      <w:r w:rsidR="00A87864">
        <w:t>3</w:t>
      </w:r>
      <w:r w:rsidRPr="00521672">
        <w:t xml:space="preserve"> for elaborations of </w:t>
      </w:r>
      <w:r w:rsidR="004B0592">
        <w:t>g</w:t>
      </w:r>
      <w:r>
        <w:t>rammatical items</w:t>
      </w:r>
      <w:r w:rsidRPr="00521672">
        <w:t>.</w:t>
      </w:r>
    </w:p>
    <w:p w:rsidR="00A97B98" w:rsidRPr="003566C9" w:rsidRDefault="00521672" w:rsidP="00CC2910">
      <w:pPr>
        <w:pStyle w:val="Heading3"/>
      </w:pPr>
      <w:r>
        <w:lastRenderedPageBreak/>
        <w:t>Intercultural understandings</w:t>
      </w:r>
    </w:p>
    <w:p w:rsidR="00521672" w:rsidRPr="00521672" w:rsidRDefault="00521672" w:rsidP="00521672">
      <w:pPr>
        <w:pStyle w:val="Paragraph"/>
      </w:pPr>
      <w:bookmarkStart w:id="7" w:name="_Toc347908227"/>
      <w:r w:rsidRPr="00521672">
        <w:t>The learning contexts and topics, the textual conventions of the text types selected</w:t>
      </w:r>
      <w:r w:rsidR="00717753">
        <w:t>,</w:t>
      </w:r>
      <w:r w:rsidRPr="00521672">
        <w:t xml:space="preserve"> and the linguistic resources for the unit, should provide students with opportunities to enhance understanding of their own language(s) and culture(s) in relation to the Indonesian language and culture, and enable them to reflect on the ways in which culture influences communication.</w:t>
      </w:r>
    </w:p>
    <w:p w:rsidR="00521672" w:rsidRPr="00521672" w:rsidRDefault="00521672" w:rsidP="00521672">
      <w:pPr>
        <w:pStyle w:val="Heading3"/>
      </w:pPr>
      <w:r w:rsidRPr="00521672">
        <w:t>Language learning and communication strategies</w:t>
      </w:r>
    </w:p>
    <w:p w:rsidR="00521672" w:rsidRPr="00521672" w:rsidRDefault="00521672" w:rsidP="00521672">
      <w:pPr>
        <w:pStyle w:val="Paragraph"/>
        <w:rPr>
          <w:bCs/>
        </w:rPr>
      </w:pPr>
      <w:r w:rsidRPr="00521672">
        <w:rPr>
          <w:lang w:val="en-GB"/>
        </w:rPr>
        <w:t xml:space="preserve">Language learning and communication strategies will depend on the needs of the students </w:t>
      </w:r>
      <w:r w:rsidRPr="00521672">
        <w:rPr>
          <w:bCs/>
        </w:rPr>
        <w:t>and the learning experiences and/or communication activities taking place.</w:t>
      </w:r>
    </w:p>
    <w:p w:rsidR="00521672" w:rsidRPr="00521672" w:rsidRDefault="00521672" w:rsidP="00521672">
      <w:pPr>
        <w:pStyle w:val="Paragraph"/>
        <w:rPr>
          <w:b/>
        </w:rPr>
      </w:pPr>
      <w:r w:rsidRPr="00521672">
        <w:rPr>
          <w:b/>
        </w:rPr>
        <w:t>Dictionaries</w:t>
      </w:r>
    </w:p>
    <w:p w:rsidR="00521672" w:rsidRPr="00521672" w:rsidRDefault="00521672" w:rsidP="00521672">
      <w:pPr>
        <w:pStyle w:val="Paragraph"/>
        <w:rPr>
          <w:rFonts w:eastAsia="Calibri"/>
        </w:rPr>
      </w:pPr>
      <w:r w:rsidRPr="00521672">
        <w:t xml:space="preserve">Students should be encouraged to use dictionaries and develop the necessary skills and confidence to do so effectively. </w:t>
      </w:r>
    </w:p>
    <w:bookmarkEnd w:id="7"/>
    <w:p w:rsidR="00521672" w:rsidRPr="00521672" w:rsidRDefault="00521672" w:rsidP="00521672">
      <w:pPr>
        <w:spacing w:after="0" w:line="240" w:lineRule="auto"/>
        <w:jc w:val="both"/>
        <w:rPr>
          <w:rFonts w:ascii="Times New Roman" w:eastAsia="Times New Roman" w:hAnsi="Times New Roman" w:cs="Times New Roman"/>
          <w:b/>
          <w:sz w:val="18"/>
          <w:szCs w:val="20"/>
        </w:rPr>
      </w:pPr>
    </w:p>
    <w:sectPr w:rsidR="00521672" w:rsidRPr="00521672" w:rsidSect="001E0056">
      <w:headerReference w:type="first" r:id="rId12"/>
      <w:footerReference w:type="first" r:id="rId13"/>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CE" w:rsidRDefault="00BE57CE" w:rsidP="00742128">
      <w:pPr>
        <w:spacing w:after="0" w:line="240" w:lineRule="auto"/>
      </w:pPr>
      <w:r>
        <w:separator/>
      </w:r>
    </w:p>
  </w:endnote>
  <w:endnote w:type="continuationSeparator" w:id="0">
    <w:p w:rsidR="00BE57CE" w:rsidRDefault="00BE57C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56" w:rsidRPr="001E0056" w:rsidRDefault="001E0056" w:rsidP="001E0056">
    <w:pPr>
      <w:pStyle w:val="Footer"/>
      <w:tabs>
        <w:tab w:val="clear" w:pos="4513"/>
        <w:tab w:val="clear" w:pos="9026"/>
        <w:tab w:val="center" w:pos="4820"/>
        <w:tab w:val="right" w:pos="9639"/>
      </w:tabs>
      <w:rPr>
        <w:i/>
      </w:rPr>
    </w:pPr>
    <w:r>
      <w:tab/>
    </w:r>
    <w:r>
      <w:rPr>
        <w:i/>
        <w:sz w:val="16"/>
      </w:rPr>
      <w:t>Indonesian: Second Language</w:t>
    </w:r>
    <w:r w:rsidRPr="00C90E53">
      <w:rPr>
        <w:i/>
        <w:sz w:val="16"/>
      </w:rPr>
      <w:t xml:space="preserve"> General Year 12: Externally set task content 2017</w:t>
    </w:r>
    <w:r>
      <w:rPr>
        <w:i/>
        <w:sz w:val="16"/>
      </w:rPr>
      <w:tab/>
    </w:r>
    <w:r w:rsidRPr="001E0056">
      <w:rPr>
        <w:sz w:val="16"/>
      </w:rPr>
      <w:fldChar w:fldCharType="begin"/>
    </w:r>
    <w:r w:rsidRPr="001E0056">
      <w:rPr>
        <w:sz w:val="16"/>
      </w:rPr>
      <w:instrText xml:space="preserve"> PAGE   \* MERGEFORMAT </w:instrText>
    </w:r>
    <w:r w:rsidRPr="001E0056">
      <w:rPr>
        <w:sz w:val="16"/>
      </w:rPr>
      <w:fldChar w:fldCharType="separate"/>
    </w:r>
    <w:r w:rsidR="006377CB">
      <w:rPr>
        <w:noProof/>
        <w:sz w:val="16"/>
      </w:rPr>
      <w:t>2</w:t>
    </w:r>
    <w:r w:rsidRPr="001E0056">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56" w:rsidRPr="006377CB" w:rsidRDefault="00F3650F" w:rsidP="006377CB">
    <w:pPr>
      <w:pStyle w:val="Footer"/>
      <w:rPr>
        <w:sz w:val="18"/>
        <w:szCs w:val="18"/>
      </w:rPr>
    </w:pPr>
    <w:r w:rsidRPr="006377CB">
      <w:rPr>
        <w:sz w:val="16"/>
        <w:szCs w:val="18"/>
      </w:rPr>
      <w:t>2016/42985</w:t>
    </w:r>
    <w:r w:rsidR="006377CB">
      <w:rPr>
        <w:sz w:val="18"/>
        <w:szCs w:val="18"/>
      </w:rPr>
      <w:tab/>
    </w:r>
    <w:r w:rsidR="006377CB">
      <w:rPr>
        <w:i/>
        <w:sz w:val="16"/>
      </w:rPr>
      <w:t>Indonesian: Second Language</w:t>
    </w:r>
    <w:r w:rsidR="006377CB" w:rsidRPr="00C90E53">
      <w:rPr>
        <w:i/>
        <w:sz w:val="16"/>
      </w:rPr>
      <w:t xml:space="preserve"> 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56" w:rsidRPr="001E0056" w:rsidRDefault="001E0056" w:rsidP="001E0056">
    <w:pPr>
      <w:pStyle w:val="Footer"/>
      <w:tabs>
        <w:tab w:val="clear" w:pos="4513"/>
        <w:tab w:val="clear" w:pos="9026"/>
        <w:tab w:val="center" w:pos="4820"/>
        <w:tab w:val="right" w:pos="9639"/>
      </w:tabs>
      <w:rPr>
        <w:i/>
      </w:rPr>
    </w:pPr>
    <w:r>
      <w:tab/>
    </w:r>
    <w:r>
      <w:rPr>
        <w:i/>
        <w:sz w:val="16"/>
      </w:rPr>
      <w:t>Indonesian: Second Language</w:t>
    </w:r>
    <w:r w:rsidRPr="00C90E53">
      <w:rPr>
        <w:i/>
        <w:sz w:val="16"/>
      </w:rPr>
      <w:t xml:space="preserve"> General Year 12: Externally set task content 2017</w:t>
    </w:r>
    <w:r>
      <w:rPr>
        <w:i/>
        <w:sz w:val="16"/>
      </w:rPr>
      <w:tab/>
    </w:r>
    <w:r w:rsidRPr="001E0056">
      <w:rPr>
        <w:sz w:val="16"/>
      </w:rPr>
      <w:fldChar w:fldCharType="begin"/>
    </w:r>
    <w:r w:rsidRPr="001E0056">
      <w:rPr>
        <w:sz w:val="16"/>
      </w:rPr>
      <w:instrText xml:space="preserve"> PAGE   \* MERGEFORMAT </w:instrText>
    </w:r>
    <w:r w:rsidRPr="001E0056">
      <w:rPr>
        <w:sz w:val="16"/>
      </w:rPr>
      <w:fldChar w:fldCharType="separate"/>
    </w:r>
    <w:r w:rsidR="006377CB">
      <w:rPr>
        <w:noProof/>
        <w:sz w:val="16"/>
      </w:rPr>
      <w:t>1</w:t>
    </w:r>
    <w:r w:rsidRPr="001E0056">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CE" w:rsidRDefault="00BE57CE" w:rsidP="00742128">
      <w:pPr>
        <w:spacing w:after="0" w:line="240" w:lineRule="auto"/>
      </w:pPr>
      <w:r>
        <w:separator/>
      </w:r>
    </w:p>
  </w:footnote>
  <w:footnote w:type="continuationSeparator" w:id="0">
    <w:p w:rsidR="00BE57CE" w:rsidRDefault="00BE57C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3428B0" w:rsidRDefault="00B6696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3428B0">
      <w:rPr>
        <w:rFonts w:ascii="Franklin Gothic Book" w:hAnsi="Franklin Gothic Book"/>
        <w:b/>
        <w:color w:val="46328C" w:themeColor="accent1"/>
        <w:sz w:val="32"/>
      </w:rPr>
      <w:fldChar w:fldCharType="begin"/>
    </w:r>
    <w:r w:rsidRPr="003428B0">
      <w:rPr>
        <w:rFonts w:ascii="Franklin Gothic Book" w:hAnsi="Franklin Gothic Book"/>
        <w:b/>
        <w:color w:val="46328C" w:themeColor="accent1"/>
        <w:sz w:val="32"/>
      </w:rPr>
      <w:instrText xml:space="preserve"> PAGE   \* MERGEFORMAT </w:instrText>
    </w:r>
    <w:r w:rsidRPr="003428B0">
      <w:rPr>
        <w:rFonts w:ascii="Franklin Gothic Book" w:hAnsi="Franklin Gothic Book"/>
        <w:b/>
        <w:color w:val="46328C" w:themeColor="accent1"/>
        <w:sz w:val="32"/>
      </w:rPr>
      <w:fldChar w:fldCharType="separate"/>
    </w:r>
    <w:r w:rsidR="001E0056">
      <w:rPr>
        <w:rFonts w:ascii="Franklin Gothic Book" w:hAnsi="Franklin Gothic Book"/>
        <w:b/>
        <w:noProof/>
        <w:color w:val="46328C" w:themeColor="accent1"/>
        <w:sz w:val="32"/>
      </w:rPr>
      <w:t>2</w:t>
    </w:r>
    <w:r w:rsidRPr="003428B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56" w:rsidRDefault="001E0056">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056" w:rsidRDefault="001E0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EA752D"/>
    <w:multiLevelType w:val="hybridMultilevel"/>
    <w:tmpl w:val="6C1E1C60"/>
    <w:lvl w:ilvl="0" w:tplc="29C848C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1"/>
  </w:num>
  <w:num w:numId="23">
    <w:abstractNumId w:val="18"/>
  </w:num>
  <w:num w:numId="24">
    <w:abstractNumId w:val="15"/>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11"/>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5E36"/>
    <w:rsid w:val="000365E9"/>
    <w:rsid w:val="000841F0"/>
    <w:rsid w:val="0009024C"/>
    <w:rsid w:val="00097937"/>
    <w:rsid w:val="000A6ABE"/>
    <w:rsid w:val="000B0A44"/>
    <w:rsid w:val="000C6ACF"/>
    <w:rsid w:val="000C7C70"/>
    <w:rsid w:val="000D3174"/>
    <w:rsid w:val="000E7872"/>
    <w:rsid w:val="000F3AD5"/>
    <w:rsid w:val="000F65F5"/>
    <w:rsid w:val="000F737A"/>
    <w:rsid w:val="00105111"/>
    <w:rsid w:val="001251B1"/>
    <w:rsid w:val="0013465E"/>
    <w:rsid w:val="00142959"/>
    <w:rsid w:val="00144452"/>
    <w:rsid w:val="001451B9"/>
    <w:rsid w:val="001567D0"/>
    <w:rsid w:val="00157E06"/>
    <w:rsid w:val="00160A6B"/>
    <w:rsid w:val="00161D4F"/>
    <w:rsid w:val="00161F6D"/>
    <w:rsid w:val="001779BF"/>
    <w:rsid w:val="00192605"/>
    <w:rsid w:val="00192C94"/>
    <w:rsid w:val="0019340B"/>
    <w:rsid w:val="001A2EEC"/>
    <w:rsid w:val="001B14D4"/>
    <w:rsid w:val="001D76C5"/>
    <w:rsid w:val="001E0056"/>
    <w:rsid w:val="00226D55"/>
    <w:rsid w:val="00241073"/>
    <w:rsid w:val="00244507"/>
    <w:rsid w:val="00246711"/>
    <w:rsid w:val="0024780D"/>
    <w:rsid w:val="00252540"/>
    <w:rsid w:val="00270163"/>
    <w:rsid w:val="00282C7D"/>
    <w:rsid w:val="00285B26"/>
    <w:rsid w:val="00290492"/>
    <w:rsid w:val="002A471E"/>
    <w:rsid w:val="002B007E"/>
    <w:rsid w:val="002B6FEE"/>
    <w:rsid w:val="002C05E5"/>
    <w:rsid w:val="002E78F4"/>
    <w:rsid w:val="00304E41"/>
    <w:rsid w:val="00306C56"/>
    <w:rsid w:val="00315219"/>
    <w:rsid w:val="00333514"/>
    <w:rsid w:val="003372DA"/>
    <w:rsid w:val="003428B0"/>
    <w:rsid w:val="003566C9"/>
    <w:rsid w:val="0036422B"/>
    <w:rsid w:val="0036440F"/>
    <w:rsid w:val="00370969"/>
    <w:rsid w:val="00374139"/>
    <w:rsid w:val="00377001"/>
    <w:rsid w:val="00380E1C"/>
    <w:rsid w:val="00392F69"/>
    <w:rsid w:val="003A73DB"/>
    <w:rsid w:val="003D2A82"/>
    <w:rsid w:val="003D3CBD"/>
    <w:rsid w:val="003D50A2"/>
    <w:rsid w:val="003F5430"/>
    <w:rsid w:val="004122D1"/>
    <w:rsid w:val="00413C8C"/>
    <w:rsid w:val="00416C3D"/>
    <w:rsid w:val="00433F68"/>
    <w:rsid w:val="0043620D"/>
    <w:rsid w:val="0044627A"/>
    <w:rsid w:val="004574B1"/>
    <w:rsid w:val="00466D3C"/>
    <w:rsid w:val="004819A9"/>
    <w:rsid w:val="004925C6"/>
    <w:rsid w:val="00492C50"/>
    <w:rsid w:val="004A0397"/>
    <w:rsid w:val="004A1CF7"/>
    <w:rsid w:val="004B0592"/>
    <w:rsid w:val="004B2C25"/>
    <w:rsid w:val="004B7DB5"/>
    <w:rsid w:val="004C5F15"/>
    <w:rsid w:val="004D0B2D"/>
    <w:rsid w:val="004D1BF9"/>
    <w:rsid w:val="004D563A"/>
    <w:rsid w:val="004D68C7"/>
    <w:rsid w:val="004E221F"/>
    <w:rsid w:val="00504046"/>
    <w:rsid w:val="0050454E"/>
    <w:rsid w:val="005108E0"/>
    <w:rsid w:val="005155A2"/>
    <w:rsid w:val="00521672"/>
    <w:rsid w:val="00540881"/>
    <w:rsid w:val="00554AC8"/>
    <w:rsid w:val="0056049A"/>
    <w:rsid w:val="005629BC"/>
    <w:rsid w:val="00565BDF"/>
    <w:rsid w:val="005739DA"/>
    <w:rsid w:val="00576FE9"/>
    <w:rsid w:val="005833CA"/>
    <w:rsid w:val="0058522A"/>
    <w:rsid w:val="005A0F57"/>
    <w:rsid w:val="005A1C74"/>
    <w:rsid w:val="005A4E0A"/>
    <w:rsid w:val="005D299B"/>
    <w:rsid w:val="005D3589"/>
    <w:rsid w:val="005E0ECB"/>
    <w:rsid w:val="005E18DA"/>
    <w:rsid w:val="005E26A0"/>
    <w:rsid w:val="005E6287"/>
    <w:rsid w:val="005E7CC3"/>
    <w:rsid w:val="00605928"/>
    <w:rsid w:val="006175B0"/>
    <w:rsid w:val="00622483"/>
    <w:rsid w:val="00630C3D"/>
    <w:rsid w:val="006377CB"/>
    <w:rsid w:val="00637F0D"/>
    <w:rsid w:val="00640F84"/>
    <w:rsid w:val="00666385"/>
    <w:rsid w:val="00666FEB"/>
    <w:rsid w:val="006748E6"/>
    <w:rsid w:val="006854CE"/>
    <w:rsid w:val="00691A72"/>
    <w:rsid w:val="00693261"/>
    <w:rsid w:val="006A0DDE"/>
    <w:rsid w:val="006B5F6B"/>
    <w:rsid w:val="006C4E2D"/>
    <w:rsid w:val="006E1D80"/>
    <w:rsid w:val="006F7C1C"/>
    <w:rsid w:val="00711C93"/>
    <w:rsid w:val="00714166"/>
    <w:rsid w:val="00717753"/>
    <w:rsid w:val="00726E5A"/>
    <w:rsid w:val="00737E63"/>
    <w:rsid w:val="00742128"/>
    <w:rsid w:val="00753EA1"/>
    <w:rsid w:val="00775FE4"/>
    <w:rsid w:val="00793207"/>
    <w:rsid w:val="007F014E"/>
    <w:rsid w:val="008079E9"/>
    <w:rsid w:val="00817F7C"/>
    <w:rsid w:val="008324A6"/>
    <w:rsid w:val="00846AF5"/>
    <w:rsid w:val="008713AC"/>
    <w:rsid w:val="008743F4"/>
    <w:rsid w:val="0088053A"/>
    <w:rsid w:val="008A2ECB"/>
    <w:rsid w:val="008B1361"/>
    <w:rsid w:val="008B62B7"/>
    <w:rsid w:val="008D0A7B"/>
    <w:rsid w:val="008E144B"/>
    <w:rsid w:val="008E32B1"/>
    <w:rsid w:val="008F1FBB"/>
    <w:rsid w:val="008F6BB3"/>
    <w:rsid w:val="00904BFC"/>
    <w:rsid w:val="00906005"/>
    <w:rsid w:val="0093403F"/>
    <w:rsid w:val="009351CA"/>
    <w:rsid w:val="0094007F"/>
    <w:rsid w:val="00945408"/>
    <w:rsid w:val="009464D3"/>
    <w:rsid w:val="00952A49"/>
    <w:rsid w:val="009558DE"/>
    <w:rsid w:val="00955E93"/>
    <w:rsid w:val="00964696"/>
    <w:rsid w:val="009732C7"/>
    <w:rsid w:val="0097712D"/>
    <w:rsid w:val="009909CD"/>
    <w:rsid w:val="00996A30"/>
    <w:rsid w:val="009B2394"/>
    <w:rsid w:val="009B71BA"/>
    <w:rsid w:val="009E1E00"/>
    <w:rsid w:val="00A24944"/>
    <w:rsid w:val="00A25B49"/>
    <w:rsid w:val="00A26119"/>
    <w:rsid w:val="00A306EB"/>
    <w:rsid w:val="00A40B11"/>
    <w:rsid w:val="00A826FF"/>
    <w:rsid w:val="00A87864"/>
    <w:rsid w:val="00A92C2E"/>
    <w:rsid w:val="00A952E6"/>
    <w:rsid w:val="00A97B98"/>
    <w:rsid w:val="00AA0085"/>
    <w:rsid w:val="00AC349D"/>
    <w:rsid w:val="00AD1F96"/>
    <w:rsid w:val="00AE0CDE"/>
    <w:rsid w:val="00AE57D9"/>
    <w:rsid w:val="00B04173"/>
    <w:rsid w:val="00B11D1C"/>
    <w:rsid w:val="00B22F69"/>
    <w:rsid w:val="00B32BE7"/>
    <w:rsid w:val="00B44E85"/>
    <w:rsid w:val="00B45B36"/>
    <w:rsid w:val="00B66969"/>
    <w:rsid w:val="00B8038E"/>
    <w:rsid w:val="00B80C4F"/>
    <w:rsid w:val="00B81380"/>
    <w:rsid w:val="00B9029E"/>
    <w:rsid w:val="00BB4454"/>
    <w:rsid w:val="00BC1F96"/>
    <w:rsid w:val="00BD0125"/>
    <w:rsid w:val="00BD5EE7"/>
    <w:rsid w:val="00BE57CE"/>
    <w:rsid w:val="00C00627"/>
    <w:rsid w:val="00C01FE0"/>
    <w:rsid w:val="00C02D56"/>
    <w:rsid w:val="00C118C5"/>
    <w:rsid w:val="00C13743"/>
    <w:rsid w:val="00C1764E"/>
    <w:rsid w:val="00C30D00"/>
    <w:rsid w:val="00C40BB3"/>
    <w:rsid w:val="00C43A9A"/>
    <w:rsid w:val="00C51F9A"/>
    <w:rsid w:val="00C53F50"/>
    <w:rsid w:val="00C57CDD"/>
    <w:rsid w:val="00C6391E"/>
    <w:rsid w:val="00C63B0A"/>
    <w:rsid w:val="00C824C8"/>
    <w:rsid w:val="00C9185E"/>
    <w:rsid w:val="00C93397"/>
    <w:rsid w:val="00CA51CE"/>
    <w:rsid w:val="00CC2910"/>
    <w:rsid w:val="00CD0FAA"/>
    <w:rsid w:val="00CE0E01"/>
    <w:rsid w:val="00D018ED"/>
    <w:rsid w:val="00D02025"/>
    <w:rsid w:val="00D12351"/>
    <w:rsid w:val="00D14210"/>
    <w:rsid w:val="00D17A5D"/>
    <w:rsid w:val="00D2693E"/>
    <w:rsid w:val="00D27E3C"/>
    <w:rsid w:val="00D41433"/>
    <w:rsid w:val="00D476BC"/>
    <w:rsid w:val="00D64648"/>
    <w:rsid w:val="00D7428E"/>
    <w:rsid w:val="00D80288"/>
    <w:rsid w:val="00D93F82"/>
    <w:rsid w:val="00DB1EC4"/>
    <w:rsid w:val="00DB4B3C"/>
    <w:rsid w:val="00DB5778"/>
    <w:rsid w:val="00DC3A58"/>
    <w:rsid w:val="00DD1D21"/>
    <w:rsid w:val="00DD51A8"/>
    <w:rsid w:val="00DE73EB"/>
    <w:rsid w:val="00DF1EA0"/>
    <w:rsid w:val="00E00522"/>
    <w:rsid w:val="00E02173"/>
    <w:rsid w:val="00E25745"/>
    <w:rsid w:val="00E327A3"/>
    <w:rsid w:val="00E41C0A"/>
    <w:rsid w:val="00E4353E"/>
    <w:rsid w:val="00E44502"/>
    <w:rsid w:val="00E449D0"/>
    <w:rsid w:val="00E46722"/>
    <w:rsid w:val="00E5490A"/>
    <w:rsid w:val="00E721B6"/>
    <w:rsid w:val="00E81900"/>
    <w:rsid w:val="00EA0CE1"/>
    <w:rsid w:val="00EA7315"/>
    <w:rsid w:val="00EB3C04"/>
    <w:rsid w:val="00ED3190"/>
    <w:rsid w:val="00ED39BB"/>
    <w:rsid w:val="00ED3A00"/>
    <w:rsid w:val="00EE0075"/>
    <w:rsid w:val="00EE0DE1"/>
    <w:rsid w:val="00EF02F2"/>
    <w:rsid w:val="00EF0533"/>
    <w:rsid w:val="00F215E4"/>
    <w:rsid w:val="00F24EC9"/>
    <w:rsid w:val="00F301D8"/>
    <w:rsid w:val="00F33CCB"/>
    <w:rsid w:val="00F34CB5"/>
    <w:rsid w:val="00F3650F"/>
    <w:rsid w:val="00F40210"/>
    <w:rsid w:val="00F4271F"/>
    <w:rsid w:val="00F45180"/>
    <w:rsid w:val="00F51D24"/>
    <w:rsid w:val="00F744EB"/>
    <w:rsid w:val="00F81088"/>
    <w:rsid w:val="00F83152"/>
    <w:rsid w:val="00F87A91"/>
    <w:rsid w:val="00F96B73"/>
    <w:rsid w:val="00FC167A"/>
    <w:rsid w:val="00FC23D9"/>
    <w:rsid w:val="00FC2705"/>
    <w:rsid w:val="00FC5C76"/>
    <w:rsid w:val="00FE3AAC"/>
    <w:rsid w:val="00FE599D"/>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07DA99-6D60-40A2-BAD4-13E379A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5F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5F6B"/>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4D1BF9"/>
    <w:pPr>
      <w:spacing w:line="480" w:lineRule="auto"/>
    </w:pPr>
  </w:style>
  <w:style w:type="character" w:customStyle="1" w:styleId="BodyText2Char">
    <w:name w:val="Body Text 2 Char"/>
    <w:basedOn w:val="DefaultParagraphFont"/>
    <w:link w:val="BodyText2"/>
    <w:uiPriority w:val="99"/>
    <w:semiHidden/>
    <w:rsid w:val="004D1BF9"/>
  </w:style>
  <w:style w:type="character" w:customStyle="1" w:styleId="csbulletChar">
    <w:name w:val="csbullet Char"/>
    <w:link w:val="csbullet"/>
    <w:locked/>
    <w:rsid w:val="00521672"/>
    <w:rPr>
      <w:rFonts w:ascii="Times New Roman" w:eastAsia="Times New Roman" w:hAnsi="Times New Roman" w:cs="Times New Roman"/>
      <w:szCs w:val="20"/>
    </w:rPr>
  </w:style>
  <w:style w:type="paragraph" w:customStyle="1" w:styleId="Default">
    <w:name w:val="Default"/>
    <w:rsid w:val="001E0056"/>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13E5-0E25-455C-A0ED-F26906F2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88</cp:revision>
  <cp:lastPrinted>2016-08-25T04:21:00Z</cp:lastPrinted>
  <dcterms:created xsi:type="dcterms:W3CDTF">2013-10-31T01:22:00Z</dcterms:created>
  <dcterms:modified xsi:type="dcterms:W3CDTF">2016-08-25T04:21:00Z</dcterms:modified>
</cp:coreProperties>
</file>