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120B54"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Earth and Environmental Science</w:t>
      </w:r>
    </w:p>
    <w:p w:rsidR="0025174E" w:rsidRPr="004E01C6" w:rsidRDefault="00120B54" w:rsidP="004E01C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557120" w:rsidRDefault="00557120">
      <w:pPr>
        <w:spacing w:after="200" w:line="276" w:lineRule="auto"/>
        <w:rPr>
          <w:rFonts w:eastAsiaTheme="minorEastAsia" w:cs="Calibri"/>
          <w:b/>
          <w:lang w:val="en-AU"/>
        </w:rPr>
      </w:pPr>
      <w:r>
        <w:rPr>
          <w:rFonts w:eastAsiaTheme="minorEastAsia" w:cs="Calibri"/>
          <w:b/>
          <w:lang w:val="en-AU"/>
        </w:rPr>
        <w:br w:type="page"/>
      </w:r>
    </w:p>
    <w:p w:rsidR="00557120" w:rsidRPr="00557120" w:rsidRDefault="00557120" w:rsidP="00557120">
      <w:pPr>
        <w:keepNext/>
        <w:spacing w:after="120" w:line="276" w:lineRule="auto"/>
        <w:rPr>
          <w:rFonts w:eastAsiaTheme="minorEastAsia" w:cs="Calibri"/>
          <w:b/>
          <w:lang w:val="en-AU"/>
        </w:rPr>
      </w:pPr>
      <w:r w:rsidRPr="00557120">
        <w:rPr>
          <w:rFonts w:eastAsiaTheme="minorEastAsia" w:cs="Calibri"/>
          <w:b/>
          <w:lang w:val="en-AU"/>
        </w:rPr>
        <w:lastRenderedPageBreak/>
        <w:t>Acknowledgement of Country</w:t>
      </w:r>
    </w:p>
    <w:p w:rsidR="00557120" w:rsidRPr="00557120" w:rsidRDefault="00557120" w:rsidP="00557120">
      <w:pPr>
        <w:spacing w:before="120" w:after="240" w:line="276" w:lineRule="auto"/>
        <w:rPr>
          <w:rFonts w:asciiTheme="minorHAnsi" w:hAnsiTheme="minorHAnsi" w:cstheme="minorBidi"/>
          <w:lang w:val="en-AU"/>
        </w:rPr>
      </w:pPr>
      <w:r w:rsidRPr="00557120">
        <w:rPr>
          <w:rFonts w:asciiTheme="minorHAnsi" w:hAnsiTheme="minorHAnsi" w:cstheme="minorBidi"/>
          <w:lang w:val="en-AU"/>
        </w:rPr>
        <w:t xml:space="preserve">Kaya. The School Curriculum and Standards Authority (the Authority) acknowledges that our offices are on </w:t>
      </w:r>
      <w:proofErr w:type="spellStart"/>
      <w:r w:rsidRPr="00557120">
        <w:rPr>
          <w:rFonts w:asciiTheme="minorHAnsi" w:hAnsiTheme="minorHAnsi" w:cstheme="minorBidi"/>
          <w:lang w:val="en-AU"/>
        </w:rPr>
        <w:t>Whadjuk</w:t>
      </w:r>
      <w:proofErr w:type="spellEnd"/>
      <w:r w:rsidRPr="00557120">
        <w:rPr>
          <w:rFonts w:asciiTheme="minorHAnsi" w:hAnsiTheme="minorHAnsi" w:cstheme="minorBidi"/>
          <w:lang w:val="en-AU"/>
        </w:rPr>
        <w:t xml:space="preserve"> Noongar </w:t>
      </w:r>
      <w:proofErr w:type="spellStart"/>
      <w:r w:rsidRPr="00557120">
        <w:rPr>
          <w:rFonts w:asciiTheme="minorHAnsi" w:hAnsiTheme="minorHAnsi" w:cstheme="minorBidi"/>
          <w:lang w:val="en-AU"/>
        </w:rPr>
        <w:t>boodjar</w:t>
      </w:r>
      <w:proofErr w:type="spellEnd"/>
      <w:r w:rsidRPr="00557120">
        <w:rPr>
          <w:rFonts w:asciiTheme="minorHAnsi" w:hAnsiTheme="minorHAnsi" w:cstheme="minorBidi"/>
          <w:lang w:val="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25174E" w:rsidRPr="0025174E" w:rsidRDefault="0025174E" w:rsidP="00617B43">
      <w:pPr>
        <w:spacing w:before="8400" w:after="80" w:line="264" w:lineRule="auto"/>
        <w:jc w:val="both"/>
        <w:rPr>
          <w:b/>
          <w:sz w:val="16"/>
        </w:rPr>
      </w:pPr>
      <w:r w:rsidRPr="0025174E">
        <w:rPr>
          <w:b/>
          <w:sz w:val="16"/>
        </w:rPr>
        <w:t>Copyright</w:t>
      </w:r>
    </w:p>
    <w:p w:rsidR="0025174E" w:rsidRPr="0025174E" w:rsidRDefault="0025174E" w:rsidP="0025174E">
      <w:pPr>
        <w:spacing w:after="80" w:line="264" w:lineRule="auto"/>
        <w:jc w:val="both"/>
        <w:rPr>
          <w:sz w:val="16"/>
        </w:rPr>
      </w:pPr>
      <w:r w:rsidRPr="0025174E">
        <w:rPr>
          <w:sz w:val="16"/>
        </w:rPr>
        <w:t>© School Curriculum and Standards Authority, 2014</w:t>
      </w:r>
    </w:p>
    <w:p w:rsidR="0025174E" w:rsidRPr="0025174E" w:rsidRDefault="0025174E" w:rsidP="0025174E">
      <w:pPr>
        <w:spacing w:after="80" w:line="264" w:lineRule="auto"/>
        <w:jc w:val="both"/>
        <w:rPr>
          <w:sz w:val="16"/>
        </w:rPr>
      </w:pPr>
      <w:r w:rsidRPr="0025174E">
        <w:rPr>
          <w:sz w:val="16"/>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6E016A">
        <w:rPr>
          <w:sz w:val="16"/>
        </w:rPr>
        <w:t>(</w:t>
      </w:r>
      <w:r w:rsidR="006E016A" w:rsidRPr="00891E0F">
        <w:rPr>
          <w:sz w:val="16"/>
        </w:rPr>
        <w:t>the Authority</w:t>
      </w:r>
      <w:r w:rsidR="006E016A">
        <w:rPr>
          <w:sz w:val="16"/>
        </w:rPr>
        <w:t xml:space="preserve">) </w:t>
      </w:r>
      <w:r w:rsidRPr="0025174E">
        <w:rPr>
          <w:sz w:val="16"/>
        </w:rPr>
        <w:t>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sz w:val="16"/>
        </w:rPr>
        <w:t xml:space="preserve">Copying or communication for any other purpose can be done only within the terms of the </w:t>
      </w:r>
      <w:r w:rsidRPr="0025174E">
        <w:rPr>
          <w:i/>
          <w:iCs/>
          <w:sz w:val="16"/>
        </w:rPr>
        <w:t>Copyright Act 1968</w:t>
      </w:r>
      <w:r w:rsidRPr="0025174E">
        <w:rPr>
          <w:sz w:val="16"/>
        </w:rPr>
        <w:t xml:space="preserve"> or with prior written permission of the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sz w:val="16"/>
        </w:rPr>
      </w:pPr>
      <w:r w:rsidRPr="0025174E">
        <w:rPr>
          <w:rFonts w:asciiTheme="minorHAnsi" w:hAnsiTheme="minorHAnsi"/>
          <w:sz w:val="16"/>
          <w:szCs w:val="16"/>
        </w:rPr>
        <w:t>Any content in this document that has been derived from the Australian Curriculum may be used under the terms of the</w:t>
      </w:r>
      <w:r w:rsidR="004E01C6" w:rsidRPr="0025174E">
        <w:rPr>
          <w:sz w:val="16"/>
        </w:rPr>
        <w:t xml:space="preserve"> </w:t>
      </w:r>
      <w:hyperlink r:id="rId9" w:tgtFrame="_blank" w:history="1">
        <w:r w:rsidR="004E01C6" w:rsidRPr="004E01C6">
          <w:rPr>
            <w:rStyle w:val="Hyperlink"/>
            <w:sz w:val="16"/>
          </w:rPr>
          <w:t xml:space="preserve">Creative Commons Attribution 4.0 International </w:t>
        </w:r>
        <w:proofErr w:type="spellStart"/>
        <w:r w:rsidR="004E01C6" w:rsidRPr="004E01C6">
          <w:rPr>
            <w:rStyle w:val="Hyperlink"/>
            <w:sz w:val="16"/>
          </w:rPr>
          <w:t>licence</w:t>
        </w:r>
        <w:proofErr w:type="spellEnd"/>
      </w:hyperlink>
      <w:r w:rsidR="004E01C6" w:rsidRPr="004E01C6">
        <w:rPr>
          <w:sz w:val="16"/>
        </w:rPr>
        <w:t>.</w:t>
      </w:r>
    </w:p>
    <w:p w:rsidR="0025174E" w:rsidRPr="0025174E" w:rsidRDefault="0025174E" w:rsidP="0025174E">
      <w:pPr>
        <w:spacing w:after="80" w:line="264" w:lineRule="auto"/>
        <w:jc w:val="both"/>
        <w:rPr>
          <w:b/>
          <w:sz w:val="16"/>
        </w:rPr>
      </w:pPr>
      <w:r w:rsidRPr="0025174E">
        <w:rPr>
          <w:b/>
          <w:sz w:val="16"/>
        </w:rPr>
        <w:t>Disclaimer</w:t>
      </w:r>
    </w:p>
    <w:p w:rsidR="0025174E" w:rsidRPr="0025174E" w:rsidRDefault="0025174E" w:rsidP="0025174E">
      <w:pPr>
        <w:spacing w:line="264" w:lineRule="auto"/>
        <w:jc w:val="both"/>
        <w:rPr>
          <w:sz w:val="16"/>
        </w:rPr>
      </w:pPr>
      <w:r w:rsidRPr="0025174E">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sz w:val="16"/>
        </w:rPr>
        <w:sectPr w:rsidR="0025174E"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120B54" w:rsidP="00855E0F">
      <w:pPr>
        <w:pStyle w:val="Heading1"/>
      </w:pPr>
      <w:r>
        <w:t>Earth and Environmental Science – General</w:t>
      </w:r>
      <w:r w:rsidR="00855E0F">
        <w:t xml:space="preserve"> </w:t>
      </w:r>
      <w:r>
        <w:t>Year 11</w:t>
      </w:r>
    </w:p>
    <w:p w:rsidR="0025174E" w:rsidRDefault="0025174E" w:rsidP="00BF1895">
      <w:pPr>
        <w:pStyle w:val="Heading2"/>
      </w:pPr>
      <w:r w:rsidRPr="00855E0F">
        <w:t>Unit 1</w:t>
      </w:r>
      <w:r w:rsidR="00120B54">
        <w:t xml:space="preserve"> and Unit 2</w:t>
      </w:r>
    </w:p>
    <w:p w:rsidR="00BB5545" w:rsidRPr="00213117" w:rsidRDefault="00BB5545" w:rsidP="00BF1895">
      <w:pPr>
        <w:spacing w:line="276" w:lineRule="auto"/>
        <w:rPr>
          <w:rFonts w:asciiTheme="minorHAnsi" w:hAnsiTheme="minorHAnsi" w:cstheme="minorHAnsi"/>
          <w:b/>
          <w:lang w:val="en-AU" w:eastAsia="ja-JP"/>
        </w:rPr>
      </w:pPr>
      <w:r w:rsidRPr="00213117">
        <w:rPr>
          <w:rFonts w:asciiTheme="minorHAnsi" w:hAnsiTheme="minorHAnsi" w:cstheme="minorHAnsi"/>
          <w:b/>
          <w:lang w:val="en-AU" w:eastAsia="ja-JP"/>
        </w:rPr>
        <w:t>Science Inquiry Skills</w:t>
      </w:r>
    </w:p>
    <w:p w:rsidR="00BB5545" w:rsidRPr="00213117" w:rsidRDefault="00010BF9" w:rsidP="00BF1895">
      <w:pPr>
        <w:spacing w:line="276" w:lineRule="auto"/>
        <w:rPr>
          <w:rFonts w:cs="Calibri"/>
          <w:lang w:val="en-GB" w:eastAsia="ja-JP"/>
        </w:rPr>
      </w:pPr>
      <w:r>
        <w:rPr>
          <w:rFonts w:cs="Calibri"/>
          <w:lang w:val="en-GB" w:eastAsia="ja-JP"/>
        </w:rPr>
        <w:t xml:space="preserve">Note: All the </w:t>
      </w:r>
      <w:r w:rsidR="00BB5545" w:rsidRPr="00213117">
        <w:rPr>
          <w:rFonts w:cs="Calibri"/>
          <w:lang w:val="en-GB" w:eastAsia="ja-JP"/>
        </w:rPr>
        <w:t xml:space="preserve">Science Inquiry Skills </w:t>
      </w:r>
      <w:r>
        <w:rPr>
          <w:rFonts w:cs="Calibri"/>
          <w:lang w:val="en-GB" w:eastAsia="ja-JP"/>
        </w:rPr>
        <w:t xml:space="preserve">content </w:t>
      </w:r>
      <w:r w:rsidR="00BB5545" w:rsidRPr="00213117">
        <w:rPr>
          <w:rFonts w:cs="Calibri"/>
          <w:lang w:val="en-GB" w:eastAsia="ja-JP"/>
        </w:rPr>
        <w:t>align</w:t>
      </w:r>
      <w:r>
        <w:rPr>
          <w:rFonts w:cs="Calibri"/>
          <w:lang w:val="en-GB" w:eastAsia="ja-JP"/>
        </w:rPr>
        <w:t>s</w:t>
      </w:r>
      <w:r w:rsidR="00BB5545" w:rsidRPr="00213117">
        <w:rPr>
          <w:rFonts w:cs="Calibri"/>
          <w:lang w:val="en-GB" w:eastAsia="ja-JP"/>
        </w:rPr>
        <w:t xml:space="preserve"> with the Science Understanding and Science as a Human Endeavour content of the unit and are integrated into the learning experiences</w:t>
      </w:r>
      <w:r>
        <w:rPr>
          <w:rFonts w:cs="Calibri"/>
          <w:lang w:val="en-GB" w:eastAsia="ja-JP"/>
        </w:rPr>
        <w:t xml:space="preserve"> throughout the delivery of Unit 1 and Unit 2</w:t>
      </w:r>
      <w:r w:rsidR="00BB5545" w:rsidRPr="00213117">
        <w:rPr>
          <w:rFonts w:cs="Calibri"/>
          <w:lang w:val="en-GB" w:eastAsia="ja-JP"/>
        </w:rPr>
        <w:t>.</w:t>
      </w:r>
    </w:p>
    <w:p w:rsidR="0025174E" w:rsidRPr="00213117" w:rsidRDefault="0025174E" w:rsidP="00BF1895">
      <w:pPr>
        <w:spacing w:before="240" w:after="240" w:line="276" w:lineRule="auto"/>
        <w:outlineLvl w:val="2"/>
        <w:rPr>
          <w:rFonts w:ascii="Franklin Gothic Book" w:eastAsia="MS Mincho" w:hAnsi="Franklin Gothic Book" w:cs="Calibri"/>
          <w:b/>
          <w:color w:val="404040"/>
          <w:lang w:val="en-GB" w:eastAsia="ja-JP"/>
        </w:rPr>
      </w:pPr>
      <w:r w:rsidRPr="00213117">
        <w:rPr>
          <w:rFonts w:ascii="Franklin Gothic Book" w:eastAsia="MS Mincho" w:hAnsi="Franklin Gothic Book" w:cs="Calibri"/>
          <w:b/>
          <w:color w:val="404040"/>
          <w:lang w:val="en-GB" w:eastAsia="ja-JP"/>
        </w:rPr>
        <w:t xml:space="preserve">Semester 1 – </w:t>
      </w:r>
      <w:r w:rsidR="00532DF5" w:rsidRPr="00213117">
        <w:rPr>
          <w:rFonts w:ascii="Franklin Gothic Book" w:eastAsia="MS Mincho" w:hAnsi="Franklin Gothic Book" w:cs="Calibri"/>
          <w:b/>
          <w:color w:val="404040"/>
          <w:lang w:val="en-GB" w:eastAsia="ja-JP"/>
        </w:rPr>
        <w:t>Changing Earth</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66"/>
        <w:gridCol w:w="8074"/>
      </w:tblGrid>
      <w:tr w:rsidR="0025174E" w:rsidRPr="00E45895" w:rsidTr="00213117">
        <w:trPr>
          <w:tblHeader/>
        </w:trPr>
        <w:tc>
          <w:tcPr>
            <w:tcW w:w="993" w:type="dxa"/>
            <w:tcBorders>
              <w:right w:val="single" w:sz="4" w:space="0" w:color="FFFFFF" w:themeColor="background1"/>
            </w:tcBorders>
            <w:shd w:val="clear" w:color="auto" w:fill="BD9FCF" w:themeFill="accent4"/>
            <w:vAlign w:val="center"/>
            <w:hideMark/>
          </w:tcPr>
          <w:p w:rsidR="0025174E" w:rsidRPr="00E45895" w:rsidRDefault="0025174E" w:rsidP="0025174E">
            <w:pPr>
              <w:spacing w:before="120" w:after="120"/>
              <w:jc w:val="center"/>
              <w:rPr>
                <w:rFonts w:asciiTheme="minorHAnsi" w:hAnsiTheme="minorHAnsi"/>
                <w:b/>
                <w:color w:val="FFFFFF" w:themeColor="background1"/>
                <w:szCs w:val="20"/>
              </w:rPr>
            </w:pPr>
            <w:r w:rsidRPr="00E45895">
              <w:rPr>
                <w:rFonts w:asciiTheme="minorHAnsi" w:hAnsiTheme="minorHAnsi"/>
                <w:b/>
                <w:color w:val="FFFFFF" w:themeColor="background1"/>
                <w:szCs w:val="20"/>
              </w:rPr>
              <w:t>Week</w:t>
            </w:r>
          </w:p>
        </w:tc>
        <w:tc>
          <w:tcPr>
            <w:tcW w:w="8363" w:type="dxa"/>
            <w:tcBorders>
              <w:left w:val="single" w:sz="4" w:space="0" w:color="FFFFFF" w:themeColor="background1"/>
            </w:tcBorders>
            <w:shd w:val="clear" w:color="auto" w:fill="BD9FCF" w:themeFill="accent4"/>
            <w:vAlign w:val="center"/>
            <w:hideMark/>
          </w:tcPr>
          <w:p w:rsidR="0025174E" w:rsidRPr="00E45895" w:rsidRDefault="0025174E" w:rsidP="0025174E">
            <w:pPr>
              <w:spacing w:before="120" w:after="120"/>
              <w:jc w:val="center"/>
              <w:rPr>
                <w:rFonts w:asciiTheme="minorHAnsi" w:hAnsiTheme="minorHAnsi"/>
                <w:b/>
                <w:color w:val="FFFFFF" w:themeColor="background1"/>
                <w:szCs w:val="20"/>
              </w:rPr>
            </w:pPr>
            <w:r w:rsidRPr="00E45895">
              <w:rPr>
                <w:rFonts w:asciiTheme="minorHAnsi" w:hAnsiTheme="minorHAnsi"/>
                <w:b/>
                <w:color w:val="FFFFFF" w:themeColor="background1"/>
                <w:szCs w:val="20"/>
              </w:rPr>
              <w:t>Key teaching points</w:t>
            </w:r>
          </w:p>
        </w:tc>
      </w:tr>
      <w:tr w:rsidR="0025174E" w:rsidRPr="00E45895" w:rsidTr="00213117">
        <w:tc>
          <w:tcPr>
            <w:tcW w:w="993" w:type="dxa"/>
            <w:shd w:val="clear" w:color="auto" w:fill="E4D8EB" w:themeFill="accent4" w:themeFillTint="66"/>
            <w:vAlign w:val="center"/>
            <w:hideMark/>
          </w:tcPr>
          <w:p w:rsidR="0025174E" w:rsidRPr="00213117" w:rsidRDefault="0025174E" w:rsidP="0025174E">
            <w:pPr>
              <w:jc w:val="center"/>
              <w:rPr>
                <w:rFonts w:asciiTheme="minorHAnsi" w:hAnsiTheme="minorHAnsi"/>
                <w:szCs w:val="20"/>
              </w:rPr>
            </w:pPr>
            <w:r w:rsidRPr="00213117">
              <w:rPr>
                <w:rFonts w:asciiTheme="minorHAnsi" w:hAnsiTheme="minorHAnsi"/>
                <w:szCs w:val="20"/>
              </w:rPr>
              <w:t>1</w:t>
            </w:r>
            <w:r w:rsidR="00983AF7" w:rsidRPr="00213117">
              <w:rPr>
                <w:rFonts w:asciiTheme="minorHAnsi" w:hAnsiTheme="minorHAnsi"/>
                <w:szCs w:val="20"/>
              </w:rPr>
              <w:t>–2</w:t>
            </w:r>
          </w:p>
        </w:tc>
        <w:tc>
          <w:tcPr>
            <w:tcW w:w="8363" w:type="dxa"/>
          </w:tcPr>
          <w:p w:rsidR="0025174E" w:rsidRPr="00E45895" w:rsidRDefault="00983AF7" w:rsidP="00213117">
            <w:pPr>
              <w:pStyle w:val="ListItem"/>
              <w:numPr>
                <w:ilvl w:val="0"/>
                <w:numId w:val="5"/>
              </w:numPr>
              <w:spacing w:before="0" w:after="0"/>
              <w:ind w:left="357" w:hanging="357"/>
              <w:rPr>
                <w:szCs w:val="20"/>
              </w:rPr>
            </w:pPr>
            <w:r w:rsidRPr="00E45895">
              <w:rPr>
                <w:szCs w:val="20"/>
              </w:rPr>
              <w:t>the structure of the Earth – inner and outer core, mantle, lithosphere – and its position in the solar system</w:t>
            </w:r>
          </w:p>
        </w:tc>
      </w:tr>
      <w:tr w:rsidR="0025174E" w:rsidRPr="00E45895" w:rsidTr="00213117">
        <w:tc>
          <w:tcPr>
            <w:tcW w:w="993" w:type="dxa"/>
            <w:shd w:val="clear" w:color="auto" w:fill="E4D8EB" w:themeFill="accent4" w:themeFillTint="66"/>
            <w:vAlign w:val="center"/>
            <w:hideMark/>
          </w:tcPr>
          <w:p w:rsidR="0025174E" w:rsidRPr="00213117" w:rsidRDefault="00983AF7" w:rsidP="0025174E">
            <w:pPr>
              <w:jc w:val="center"/>
              <w:rPr>
                <w:rFonts w:asciiTheme="minorHAnsi" w:hAnsiTheme="minorHAnsi"/>
                <w:szCs w:val="20"/>
              </w:rPr>
            </w:pPr>
            <w:r w:rsidRPr="00213117">
              <w:rPr>
                <w:rFonts w:asciiTheme="minorHAnsi" w:hAnsiTheme="minorHAnsi"/>
                <w:szCs w:val="20"/>
              </w:rPr>
              <w:t>3–5</w:t>
            </w:r>
          </w:p>
        </w:tc>
        <w:tc>
          <w:tcPr>
            <w:tcW w:w="8363" w:type="dxa"/>
          </w:tcPr>
          <w:p w:rsidR="00983AF7" w:rsidRPr="00E45895" w:rsidRDefault="00983AF7" w:rsidP="00213117">
            <w:pPr>
              <w:pStyle w:val="ListItem"/>
              <w:numPr>
                <w:ilvl w:val="0"/>
                <w:numId w:val="5"/>
              </w:numPr>
              <w:spacing w:before="0" w:after="0"/>
              <w:ind w:left="357" w:hanging="357"/>
              <w:rPr>
                <w:szCs w:val="20"/>
              </w:rPr>
            </w:pPr>
            <w:r w:rsidRPr="00E45895">
              <w:rPr>
                <w:szCs w:val="20"/>
              </w:rPr>
              <w:t>ways in which plate tectonics have changed the distribution of features of the Earth's surface</w:t>
            </w:r>
          </w:p>
          <w:p w:rsidR="00983AF7" w:rsidRPr="00E45895" w:rsidRDefault="00983AF7" w:rsidP="00213117">
            <w:pPr>
              <w:pStyle w:val="ListItem"/>
              <w:numPr>
                <w:ilvl w:val="0"/>
                <w:numId w:val="5"/>
              </w:numPr>
              <w:spacing w:before="0" w:after="0"/>
              <w:ind w:left="357" w:hanging="357"/>
              <w:rPr>
                <w:szCs w:val="20"/>
              </w:rPr>
            </w:pPr>
            <w:r w:rsidRPr="00E45895">
              <w:rPr>
                <w:szCs w:val="20"/>
              </w:rPr>
              <w:t>the occurrence of earthquakes and volcanic activity are related to plate boundaries</w:t>
            </w:r>
          </w:p>
          <w:p w:rsidR="0025174E" w:rsidRPr="00E45895" w:rsidRDefault="00983AF7" w:rsidP="00213117">
            <w:pPr>
              <w:pStyle w:val="ListItem"/>
              <w:numPr>
                <w:ilvl w:val="0"/>
                <w:numId w:val="5"/>
              </w:numPr>
              <w:spacing w:before="0" w:after="0"/>
              <w:ind w:left="357" w:hanging="357"/>
              <w:rPr>
                <w:szCs w:val="20"/>
              </w:rPr>
            </w:pPr>
            <w:r w:rsidRPr="00E45895">
              <w:rPr>
                <w:szCs w:val="20"/>
              </w:rPr>
              <w:t>plant, animal and geological evidence show that super continents were assembled and broke up over geological time</w:t>
            </w:r>
          </w:p>
        </w:tc>
      </w:tr>
      <w:tr w:rsidR="0025174E" w:rsidRPr="00E45895" w:rsidTr="00213117">
        <w:tc>
          <w:tcPr>
            <w:tcW w:w="993" w:type="dxa"/>
            <w:shd w:val="clear" w:color="auto" w:fill="E4D8EB" w:themeFill="accent4" w:themeFillTint="66"/>
            <w:vAlign w:val="center"/>
            <w:hideMark/>
          </w:tcPr>
          <w:p w:rsidR="0025174E" w:rsidRPr="00213117" w:rsidRDefault="00C353FF" w:rsidP="0025174E">
            <w:pPr>
              <w:jc w:val="center"/>
              <w:rPr>
                <w:rFonts w:asciiTheme="minorHAnsi" w:hAnsiTheme="minorHAnsi"/>
                <w:szCs w:val="20"/>
              </w:rPr>
            </w:pPr>
            <w:r w:rsidRPr="00213117">
              <w:rPr>
                <w:rFonts w:asciiTheme="minorHAnsi" w:hAnsiTheme="minorHAnsi"/>
                <w:szCs w:val="20"/>
              </w:rPr>
              <w:t>6–7</w:t>
            </w:r>
            <w:bookmarkStart w:id="0" w:name="_GoBack"/>
            <w:bookmarkEnd w:id="0"/>
          </w:p>
        </w:tc>
        <w:tc>
          <w:tcPr>
            <w:tcW w:w="8363" w:type="dxa"/>
          </w:tcPr>
          <w:p w:rsidR="00983AF7" w:rsidRPr="00E45895" w:rsidRDefault="00983AF7" w:rsidP="00213117">
            <w:pPr>
              <w:pStyle w:val="ListItem"/>
              <w:numPr>
                <w:ilvl w:val="0"/>
                <w:numId w:val="5"/>
              </w:numPr>
              <w:spacing w:before="0" w:after="0"/>
              <w:ind w:left="357" w:hanging="357"/>
              <w:rPr>
                <w:szCs w:val="20"/>
              </w:rPr>
            </w:pPr>
            <w:r w:rsidRPr="00E45895">
              <w:rPr>
                <w:szCs w:val="20"/>
              </w:rPr>
              <w:t>a mineral is a naturally occurring solid with its own chemical composition and crystalline structure</w:t>
            </w:r>
          </w:p>
          <w:p w:rsidR="00983AF7" w:rsidRPr="00E45895" w:rsidRDefault="00983AF7" w:rsidP="00213117">
            <w:pPr>
              <w:pStyle w:val="ListItem"/>
              <w:numPr>
                <w:ilvl w:val="0"/>
                <w:numId w:val="5"/>
              </w:numPr>
              <w:spacing w:before="0" w:after="0"/>
              <w:ind w:left="357" w:hanging="357"/>
              <w:rPr>
                <w:szCs w:val="20"/>
              </w:rPr>
            </w:pPr>
            <w:r w:rsidRPr="00E45895">
              <w:rPr>
                <w:szCs w:val="20"/>
              </w:rPr>
              <w:t xml:space="preserve">mineral properties can be determined by practical investigation, including </w:t>
            </w:r>
            <w:proofErr w:type="spellStart"/>
            <w:r w:rsidRPr="00E45895">
              <w:rPr>
                <w:szCs w:val="20"/>
              </w:rPr>
              <w:t>colour</w:t>
            </w:r>
            <w:proofErr w:type="spellEnd"/>
            <w:r w:rsidRPr="00E45895">
              <w:rPr>
                <w:szCs w:val="20"/>
              </w:rPr>
              <w:t xml:space="preserve">, streak, </w:t>
            </w:r>
            <w:proofErr w:type="spellStart"/>
            <w:r w:rsidRPr="00E45895">
              <w:rPr>
                <w:szCs w:val="20"/>
              </w:rPr>
              <w:t>lustre</w:t>
            </w:r>
            <w:proofErr w:type="spellEnd"/>
            <w:r w:rsidRPr="00E45895">
              <w:rPr>
                <w:szCs w:val="20"/>
              </w:rPr>
              <w:t>, transparency, hardness (Mohs scale)</w:t>
            </w:r>
            <w:r w:rsidR="0099181C" w:rsidRPr="00E45895">
              <w:rPr>
                <w:szCs w:val="20"/>
              </w:rPr>
              <w:t xml:space="preserve"> </w:t>
            </w:r>
            <w:r w:rsidR="00F43793" w:rsidRPr="00C84DE0">
              <w:rPr>
                <w:szCs w:val="20"/>
              </w:rPr>
              <w:t>(</w:t>
            </w:r>
            <w:r w:rsidR="0099181C" w:rsidRPr="00C84DE0">
              <w:rPr>
                <w:szCs w:val="20"/>
              </w:rPr>
              <w:t>see Minerals PowerPoint at ESWA website</w:t>
            </w:r>
            <w:r w:rsidR="00F43793" w:rsidRPr="00C84DE0">
              <w:rPr>
                <w:szCs w:val="20"/>
              </w:rPr>
              <w:t>)</w:t>
            </w:r>
            <w:r w:rsidR="0099181C" w:rsidRPr="00C84DE0">
              <w:rPr>
                <w:szCs w:val="20"/>
              </w:rPr>
              <w:t xml:space="preserve"> </w:t>
            </w:r>
          </w:p>
          <w:p w:rsidR="0025174E" w:rsidRPr="00E45895" w:rsidRDefault="00983AF7" w:rsidP="00213117">
            <w:pPr>
              <w:pStyle w:val="ListItem"/>
              <w:numPr>
                <w:ilvl w:val="0"/>
                <w:numId w:val="5"/>
              </w:numPr>
              <w:spacing w:before="0" w:after="0"/>
              <w:ind w:left="357" w:hanging="357"/>
              <w:rPr>
                <w:szCs w:val="20"/>
              </w:rPr>
            </w:pPr>
            <w:r w:rsidRPr="00E45895">
              <w:rPr>
                <w:szCs w:val="20"/>
              </w:rPr>
              <w:t>rocks may be composed of several different minerals</w:t>
            </w:r>
          </w:p>
        </w:tc>
      </w:tr>
      <w:tr w:rsidR="00C353FF" w:rsidRPr="00E45895" w:rsidTr="00213117">
        <w:tc>
          <w:tcPr>
            <w:tcW w:w="993" w:type="dxa"/>
            <w:shd w:val="clear" w:color="auto" w:fill="E4D8EB" w:themeFill="accent4" w:themeFillTint="66"/>
            <w:vAlign w:val="center"/>
          </w:tcPr>
          <w:p w:rsidR="00C353FF" w:rsidRPr="00213117" w:rsidRDefault="00C353FF" w:rsidP="0025174E">
            <w:pPr>
              <w:jc w:val="center"/>
              <w:rPr>
                <w:rFonts w:asciiTheme="minorHAnsi" w:hAnsiTheme="minorHAnsi"/>
                <w:szCs w:val="20"/>
              </w:rPr>
            </w:pPr>
            <w:r w:rsidRPr="00213117">
              <w:rPr>
                <w:rFonts w:asciiTheme="minorHAnsi" w:hAnsiTheme="minorHAnsi"/>
                <w:szCs w:val="20"/>
              </w:rPr>
              <w:t>8–9</w:t>
            </w:r>
          </w:p>
        </w:tc>
        <w:tc>
          <w:tcPr>
            <w:tcW w:w="8363" w:type="dxa"/>
          </w:tcPr>
          <w:p w:rsidR="008C3529" w:rsidRPr="00213117" w:rsidRDefault="00C353FF" w:rsidP="00213117">
            <w:pPr>
              <w:pStyle w:val="ListItem"/>
              <w:numPr>
                <w:ilvl w:val="0"/>
                <w:numId w:val="5"/>
              </w:numPr>
              <w:spacing w:before="0" w:after="0"/>
              <w:ind w:left="357" w:hanging="357"/>
              <w:rPr>
                <w:szCs w:val="20"/>
              </w:rPr>
            </w:pPr>
            <w:r w:rsidRPr="00213117">
              <w:rPr>
                <w:szCs w:val="20"/>
              </w:rPr>
              <w:t>the rock cycle and its major processes, including plate tectonics and the water cycle, are involved in producing the three major rock types</w:t>
            </w:r>
          </w:p>
          <w:p w:rsidR="00C353FF" w:rsidRPr="00213117" w:rsidRDefault="00C353FF" w:rsidP="00213117">
            <w:pPr>
              <w:pStyle w:val="ListItem"/>
              <w:numPr>
                <w:ilvl w:val="0"/>
                <w:numId w:val="5"/>
              </w:numPr>
              <w:spacing w:before="0" w:after="0"/>
              <w:ind w:left="357" w:hanging="357"/>
              <w:rPr>
                <w:szCs w:val="20"/>
              </w:rPr>
            </w:pPr>
            <w:r w:rsidRPr="00213117">
              <w:rPr>
                <w:szCs w:val="20"/>
              </w:rPr>
              <w:t>rocks can be classified as igneous, sedimentary or metamorphic, based on mineralogical and textural differences in physical samples, diagrams and photographs; common examples of each rock type</w:t>
            </w:r>
          </w:p>
        </w:tc>
      </w:tr>
      <w:tr w:rsidR="0025174E" w:rsidRPr="00E45895" w:rsidTr="00213117">
        <w:tc>
          <w:tcPr>
            <w:tcW w:w="993" w:type="dxa"/>
            <w:shd w:val="clear" w:color="auto" w:fill="E4D8EB" w:themeFill="accent4" w:themeFillTint="66"/>
            <w:vAlign w:val="center"/>
            <w:hideMark/>
          </w:tcPr>
          <w:p w:rsidR="0025174E" w:rsidRPr="00213117" w:rsidRDefault="00C353FF" w:rsidP="0025174E">
            <w:pPr>
              <w:jc w:val="center"/>
              <w:rPr>
                <w:rFonts w:asciiTheme="minorHAnsi" w:hAnsiTheme="minorHAnsi"/>
                <w:szCs w:val="20"/>
              </w:rPr>
            </w:pPr>
            <w:r w:rsidRPr="00213117">
              <w:rPr>
                <w:rFonts w:asciiTheme="minorHAnsi" w:hAnsiTheme="minorHAnsi"/>
                <w:szCs w:val="20"/>
              </w:rPr>
              <w:t>10–11</w:t>
            </w:r>
          </w:p>
        </w:tc>
        <w:tc>
          <w:tcPr>
            <w:tcW w:w="8363" w:type="dxa"/>
          </w:tcPr>
          <w:p w:rsidR="0025174E" w:rsidRPr="00213117" w:rsidRDefault="00983AF7" w:rsidP="00213117">
            <w:pPr>
              <w:pStyle w:val="ListItem"/>
              <w:numPr>
                <w:ilvl w:val="0"/>
                <w:numId w:val="5"/>
              </w:numPr>
              <w:spacing w:before="0" w:after="0"/>
              <w:ind w:left="357" w:hanging="357"/>
              <w:rPr>
                <w:szCs w:val="20"/>
              </w:rPr>
            </w:pPr>
            <w:r w:rsidRPr="00213117">
              <w:rPr>
                <w:szCs w:val="20"/>
              </w:rPr>
              <w:t>Earth’s resources are related to the development of society and technology over time</w:t>
            </w:r>
            <w:r w:rsidR="00A91786" w:rsidRPr="00213117">
              <w:rPr>
                <w:szCs w:val="20"/>
              </w:rPr>
              <w:t xml:space="preserve"> </w:t>
            </w:r>
            <w:r w:rsidR="009553DA" w:rsidRPr="00213117">
              <w:rPr>
                <w:szCs w:val="20"/>
              </w:rPr>
              <w:t>(SHE)</w:t>
            </w:r>
          </w:p>
        </w:tc>
      </w:tr>
      <w:tr w:rsidR="0025174E" w:rsidRPr="00E45895" w:rsidTr="00213117">
        <w:tc>
          <w:tcPr>
            <w:tcW w:w="993" w:type="dxa"/>
            <w:shd w:val="clear" w:color="auto" w:fill="E4D8EB" w:themeFill="accent4" w:themeFillTint="66"/>
            <w:vAlign w:val="center"/>
            <w:hideMark/>
          </w:tcPr>
          <w:p w:rsidR="0025174E" w:rsidRPr="00213117" w:rsidRDefault="00983AF7" w:rsidP="0025174E">
            <w:pPr>
              <w:jc w:val="center"/>
              <w:rPr>
                <w:rFonts w:asciiTheme="minorHAnsi" w:hAnsiTheme="minorHAnsi"/>
                <w:szCs w:val="20"/>
              </w:rPr>
            </w:pPr>
            <w:r w:rsidRPr="00213117">
              <w:rPr>
                <w:rFonts w:asciiTheme="minorHAnsi" w:hAnsiTheme="minorHAnsi"/>
                <w:szCs w:val="20"/>
              </w:rPr>
              <w:t>1</w:t>
            </w:r>
            <w:r w:rsidR="00C353FF" w:rsidRPr="00213117">
              <w:rPr>
                <w:rFonts w:asciiTheme="minorHAnsi" w:hAnsiTheme="minorHAnsi"/>
                <w:szCs w:val="20"/>
              </w:rPr>
              <w:t>2–13</w:t>
            </w:r>
          </w:p>
        </w:tc>
        <w:tc>
          <w:tcPr>
            <w:tcW w:w="8363" w:type="dxa"/>
          </w:tcPr>
          <w:p w:rsidR="0025174E" w:rsidRPr="00E45895" w:rsidRDefault="00983AF7" w:rsidP="00213117">
            <w:pPr>
              <w:pStyle w:val="ListItem"/>
              <w:numPr>
                <w:ilvl w:val="0"/>
                <w:numId w:val="5"/>
              </w:numPr>
              <w:spacing w:before="0" w:after="0"/>
              <w:ind w:left="357" w:hanging="357"/>
              <w:rPr>
                <w:szCs w:val="20"/>
              </w:rPr>
            </w:pPr>
            <w:r w:rsidRPr="00E45895">
              <w:rPr>
                <w:szCs w:val="20"/>
              </w:rPr>
              <w:t>the texture of sedimentary rocks, including grain size, sorting and rounding, is related to their environment of deposition</w:t>
            </w:r>
          </w:p>
        </w:tc>
      </w:tr>
      <w:tr w:rsidR="0025174E" w:rsidRPr="00E45895" w:rsidTr="00213117">
        <w:tc>
          <w:tcPr>
            <w:tcW w:w="993" w:type="dxa"/>
            <w:shd w:val="clear" w:color="auto" w:fill="E4D8EB" w:themeFill="accent4" w:themeFillTint="66"/>
            <w:vAlign w:val="center"/>
            <w:hideMark/>
          </w:tcPr>
          <w:p w:rsidR="0025174E" w:rsidRPr="00213117" w:rsidRDefault="00C353FF" w:rsidP="0025174E">
            <w:pPr>
              <w:jc w:val="center"/>
              <w:rPr>
                <w:rFonts w:asciiTheme="minorHAnsi" w:hAnsiTheme="minorHAnsi"/>
                <w:szCs w:val="20"/>
              </w:rPr>
            </w:pPr>
            <w:r w:rsidRPr="00213117">
              <w:rPr>
                <w:rFonts w:asciiTheme="minorHAnsi" w:hAnsiTheme="minorHAnsi"/>
                <w:szCs w:val="20"/>
              </w:rPr>
              <w:t>14</w:t>
            </w:r>
            <w:r w:rsidR="006E10B9" w:rsidRPr="00213117">
              <w:rPr>
                <w:rFonts w:asciiTheme="minorHAnsi" w:hAnsiTheme="minorHAnsi"/>
                <w:szCs w:val="20"/>
              </w:rPr>
              <w:t>–16</w:t>
            </w:r>
          </w:p>
        </w:tc>
        <w:tc>
          <w:tcPr>
            <w:tcW w:w="8363" w:type="dxa"/>
          </w:tcPr>
          <w:p w:rsidR="00983AF7" w:rsidRPr="00E45895" w:rsidRDefault="00983AF7" w:rsidP="00213117">
            <w:pPr>
              <w:pStyle w:val="ListItem"/>
              <w:numPr>
                <w:ilvl w:val="0"/>
                <w:numId w:val="5"/>
              </w:numPr>
              <w:spacing w:before="0" w:after="0"/>
              <w:ind w:left="357" w:hanging="357"/>
              <w:rPr>
                <w:szCs w:val="20"/>
              </w:rPr>
            </w:pPr>
            <w:r w:rsidRPr="00E45895">
              <w:rPr>
                <w:szCs w:val="20"/>
              </w:rPr>
              <w:t>weathering and deposition of sediments has a role in the formation of soils</w:t>
            </w:r>
          </w:p>
          <w:p w:rsidR="0025174E" w:rsidRPr="00E45895" w:rsidRDefault="00983AF7" w:rsidP="00213117">
            <w:pPr>
              <w:pStyle w:val="ListItem"/>
              <w:numPr>
                <w:ilvl w:val="0"/>
                <w:numId w:val="5"/>
              </w:numPr>
              <w:spacing w:before="0" w:after="0"/>
              <w:ind w:left="357" w:hanging="357"/>
              <w:rPr>
                <w:szCs w:val="20"/>
              </w:rPr>
            </w:pPr>
            <w:r w:rsidRPr="00E45895">
              <w:rPr>
                <w:szCs w:val="20"/>
              </w:rPr>
              <w:t>soils have different properties according to the conditions they are subjected to and their parent rock</w:t>
            </w:r>
            <w:r w:rsidR="00C84DE0">
              <w:rPr>
                <w:szCs w:val="20"/>
              </w:rPr>
              <w:t>, for example</w:t>
            </w:r>
            <w:r w:rsidRPr="00E45895">
              <w:rPr>
                <w:szCs w:val="20"/>
              </w:rPr>
              <w:t>, permeability, nutrients, pH, wettability, electrical conductivity</w:t>
            </w:r>
          </w:p>
        </w:tc>
      </w:tr>
    </w:tbl>
    <w:p w:rsidR="00983AF7" w:rsidRDefault="00983AF7" w:rsidP="00E37A5D">
      <w:pPr>
        <w:rPr>
          <w:lang w:val="en-GB" w:eastAsia="ja-JP"/>
        </w:rPr>
      </w:pPr>
      <w:r>
        <w:br w:type="page"/>
      </w:r>
    </w:p>
    <w:p w:rsidR="0025174E" w:rsidRPr="00213117" w:rsidRDefault="0025174E" w:rsidP="00213117">
      <w:pPr>
        <w:spacing w:before="240" w:after="240" w:line="276" w:lineRule="auto"/>
        <w:outlineLvl w:val="2"/>
        <w:rPr>
          <w:rFonts w:ascii="Franklin Gothic Book" w:eastAsia="MS Mincho" w:hAnsi="Franklin Gothic Book" w:cs="Calibri"/>
          <w:b/>
          <w:color w:val="404040"/>
          <w:lang w:val="en-GB" w:eastAsia="ja-JP"/>
        </w:rPr>
      </w:pPr>
      <w:r w:rsidRPr="00213117">
        <w:rPr>
          <w:rFonts w:ascii="Franklin Gothic Book" w:eastAsia="MS Mincho" w:hAnsi="Franklin Gothic Book" w:cs="Calibri"/>
          <w:b/>
          <w:color w:val="404040"/>
          <w:lang w:val="en-GB" w:eastAsia="ja-JP"/>
        </w:rPr>
        <w:lastRenderedPageBreak/>
        <w:t xml:space="preserve">Semester 2 – </w:t>
      </w:r>
      <w:r w:rsidR="00532DF5" w:rsidRPr="00213117">
        <w:rPr>
          <w:rFonts w:ascii="Franklin Gothic Book" w:eastAsia="MS Mincho" w:hAnsi="Franklin Gothic Book" w:cs="Calibri"/>
          <w:b/>
          <w:color w:val="404040"/>
          <w:lang w:val="en-GB" w:eastAsia="ja-JP"/>
        </w:rPr>
        <w:t>Sustainable Earth</w:t>
      </w:r>
      <w:r w:rsidRPr="00213117">
        <w:rPr>
          <w:rFonts w:ascii="Franklin Gothic Book" w:eastAsia="MS Mincho" w:hAnsi="Franklin Gothic Book" w:cs="Calibri"/>
          <w:b/>
          <w:color w:val="404040"/>
          <w:lang w:val="en-GB" w:eastAsia="ja-JP"/>
        </w:rPr>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E45895" w:rsidTr="00A338EF">
        <w:trPr>
          <w:tblHeader/>
        </w:trPr>
        <w:tc>
          <w:tcPr>
            <w:tcW w:w="993" w:type="dxa"/>
            <w:tcBorders>
              <w:right w:val="single" w:sz="4" w:space="0" w:color="FFFFFF" w:themeColor="background1"/>
            </w:tcBorders>
            <w:shd w:val="clear" w:color="auto" w:fill="BD9FCF" w:themeFill="accent4"/>
            <w:vAlign w:val="center"/>
            <w:hideMark/>
          </w:tcPr>
          <w:p w:rsidR="0025174E" w:rsidRPr="00E45895" w:rsidRDefault="0025174E" w:rsidP="0025174E">
            <w:pPr>
              <w:spacing w:before="120" w:after="120"/>
              <w:jc w:val="center"/>
              <w:rPr>
                <w:rFonts w:asciiTheme="minorHAnsi" w:hAnsiTheme="minorHAnsi"/>
                <w:b/>
                <w:color w:val="FFFFFF" w:themeColor="background1"/>
                <w:szCs w:val="20"/>
              </w:rPr>
            </w:pPr>
            <w:r w:rsidRPr="00E45895">
              <w:rPr>
                <w:rFonts w:asciiTheme="minorHAnsi" w:hAnsiTheme="minorHAnsi"/>
                <w:b/>
                <w:color w:val="FFFFFF" w:themeColor="background1"/>
                <w:szCs w:val="20"/>
              </w:rPr>
              <w:t>Week</w:t>
            </w:r>
          </w:p>
        </w:tc>
        <w:tc>
          <w:tcPr>
            <w:tcW w:w="8363" w:type="dxa"/>
            <w:tcBorders>
              <w:left w:val="single" w:sz="4" w:space="0" w:color="FFFFFF" w:themeColor="background1"/>
            </w:tcBorders>
            <w:shd w:val="clear" w:color="auto" w:fill="BD9FCF" w:themeFill="accent4"/>
            <w:vAlign w:val="center"/>
            <w:hideMark/>
          </w:tcPr>
          <w:p w:rsidR="0025174E" w:rsidRPr="00E45895" w:rsidRDefault="0025174E" w:rsidP="0025174E">
            <w:pPr>
              <w:spacing w:before="120" w:after="120"/>
              <w:jc w:val="center"/>
              <w:rPr>
                <w:rFonts w:asciiTheme="minorHAnsi" w:hAnsiTheme="minorHAnsi"/>
                <w:b/>
                <w:color w:val="FFFFFF" w:themeColor="background1"/>
                <w:szCs w:val="20"/>
              </w:rPr>
            </w:pPr>
            <w:r w:rsidRPr="00E45895">
              <w:rPr>
                <w:rFonts w:asciiTheme="minorHAnsi" w:hAnsiTheme="minorHAnsi"/>
                <w:b/>
                <w:color w:val="FFFFFF" w:themeColor="background1"/>
                <w:szCs w:val="20"/>
              </w:rPr>
              <w:t>Key teaching points</w:t>
            </w:r>
          </w:p>
        </w:tc>
      </w:tr>
      <w:tr w:rsidR="0025174E" w:rsidRPr="00E45895" w:rsidTr="00A338EF">
        <w:tc>
          <w:tcPr>
            <w:tcW w:w="993" w:type="dxa"/>
            <w:shd w:val="clear" w:color="auto" w:fill="E4D8EB" w:themeFill="accent4" w:themeFillTint="66"/>
            <w:vAlign w:val="center"/>
            <w:hideMark/>
          </w:tcPr>
          <w:p w:rsidR="0025174E" w:rsidRPr="00E45895" w:rsidRDefault="0025174E" w:rsidP="0025174E">
            <w:pPr>
              <w:jc w:val="center"/>
              <w:rPr>
                <w:rFonts w:asciiTheme="minorHAnsi" w:hAnsiTheme="minorHAnsi"/>
                <w:szCs w:val="20"/>
              </w:rPr>
            </w:pPr>
            <w:r w:rsidRPr="00E45895">
              <w:rPr>
                <w:rFonts w:asciiTheme="minorHAnsi" w:hAnsiTheme="minorHAnsi"/>
                <w:szCs w:val="20"/>
              </w:rPr>
              <w:t>1</w:t>
            </w:r>
          </w:p>
        </w:tc>
        <w:tc>
          <w:tcPr>
            <w:tcW w:w="8363" w:type="dxa"/>
          </w:tcPr>
          <w:p w:rsidR="0025174E" w:rsidRPr="00E45895" w:rsidRDefault="00AE7AF4" w:rsidP="00213117">
            <w:pPr>
              <w:pStyle w:val="ListItem"/>
              <w:numPr>
                <w:ilvl w:val="0"/>
                <w:numId w:val="5"/>
              </w:numPr>
              <w:spacing w:before="0" w:after="0"/>
              <w:ind w:left="357" w:hanging="357"/>
              <w:rPr>
                <w:szCs w:val="20"/>
              </w:rPr>
            </w:pPr>
            <w:r w:rsidRPr="00E45895">
              <w:rPr>
                <w:szCs w:val="20"/>
              </w:rPr>
              <w:t>composition of the atmosphere on Earth and other celestial bodies; the evolution of the atmosphere is related to changes in biodiversity</w:t>
            </w:r>
          </w:p>
        </w:tc>
      </w:tr>
      <w:tr w:rsidR="0025174E" w:rsidRPr="00E45895" w:rsidTr="00A338EF">
        <w:tc>
          <w:tcPr>
            <w:tcW w:w="993" w:type="dxa"/>
            <w:shd w:val="clear" w:color="auto" w:fill="E4D8EB" w:themeFill="accent4" w:themeFillTint="66"/>
            <w:vAlign w:val="center"/>
            <w:hideMark/>
          </w:tcPr>
          <w:p w:rsidR="0025174E" w:rsidRPr="00E45895" w:rsidRDefault="00FE05A9" w:rsidP="0025174E">
            <w:pPr>
              <w:jc w:val="center"/>
              <w:rPr>
                <w:rFonts w:asciiTheme="minorHAnsi" w:hAnsiTheme="minorHAnsi"/>
                <w:szCs w:val="20"/>
              </w:rPr>
            </w:pPr>
            <w:r w:rsidRPr="00E45895">
              <w:rPr>
                <w:rFonts w:asciiTheme="minorHAnsi" w:hAnsiTheme="minorHAnsi"/>
                <w:szCs w:val="20"/>
              </w:rPr>
              <w:t>2–3</w:t>
            </w:r>
          </w:p>
        </w:tc>
        <w:tc>
          <w:tcPr>
            <w:tcW w:w="8363" w:type="dxa"/>
          </w:tcPr>
          <w:p w:rsidR="0025174E" w:rsidRPr="00E45895" w:rsidRDefault="00FE05A9" w:rsidP="00213117">
            <w:pPr>
              <w:pStyle w:val="ListItem"/>
              <w:numPr>
                <w:ilvl w:val="0"/>
                <w:numId w:val="5"/>
              </w:numPr>
              <w:spacing w:before="0" w:after="0"/>
              <w:ind w:left="357" w:hanging="357"/>
              <w:rPr>
                <w:szCs w:val="20"/>
              </w:rPr>
            </w:pPr>
            <w:r w:rsidRPr="00E45895">
              <w:rPr>
                <w:szCs w:val="20"/>
              </w:rPr>
              <w:t>the requirements of living things and their relationships to the biotic and abiotic aspects of the environment, including habitat, nutrition, water, temperature</w:t>
            </w:r>
          </w:p>
        </w:tc>
      </w:tr>
      <w:tr w:rsidR="0025174E" w:rsidRPr="00E45895" w:rsidTr="00A338EF">
        <w:tc>
          <w:tcPr>
            <w:tcW w:w="993" w:type="dxa"/>
            <w:shd w:val="clear" w:color="auto" w:fill="E4D8EB" w:themeFill="accent4" w:themeFillTint="66"/>
            <w:vAlign w:val="center"/>
            <w:hideMark/>
          </w:tcPr>
          <w:p w:rsidR="0025174E" w:rsidRPr="00E45895" w:rsidRDefault="00AE7AF4" w:rsidP="0025174E">
            <w:pPr>
              <w:jc w:val="center"/>
              <w:rPr>
                <w:rFonts w:asciiTheme="minorHAnsi" w:hAnsiTheme="minorHAnsi"/>
                <w:szCs w:val="20"/>
              </w:rPr>
            </w:pPr>
            <w:r w:rsidRPr="00E45895">
              <w:rPr>
                <w:rFonts w:asciiTheme="minorHAnsi" w:hAnsiTheme="minorHAnsi"/>
                <w:szCs w:val="20"/>
              </w:rPr>
              <w:t>4–6</w:t>
            </w:r>
          </w:p>
        </w:tc>
        <w:tc>
          <w:tcPr>
            <w:tcW w:w="8363" w:type="dxa"/>
          </w:tcPr>
          <w:p w:rsidR="00FE05A9" w:rsidRPr="00E45895" w:rsidRDefault="00FE05A9" w:rsidP="00213117">
            <w:pPr>
              <w:pStyle w:val="ListItem"/>
              <w:numPr>
                <w:ilvl w:val="0"/>
                <w:numId w:val="5"/>
              </w:numPr>
              <w:spacing w:before="0" w:after="0"/>
              <w:ind w:left="357" w:hanging="357"/>
              <w:rPr>
                <w:szCs w:val="20"/>
              </w:rPr>
            </w:pPr>
            <w:r w:rsidRPr="00E45895">
              <w:rPr>
                <w:szCs w:val="20"/>
              </w:rPr>
              <w:t>ecology, ecosystem, biodiversity, sustainable ecosystem</w:t>
            </w:r>
          </w:p>
          <w:p w:rsidR="00FE05A9" w:rsidRPr="00E45895" w:rsidRDefault="00FE05A9" w:rsidP="00213117">
            <w:pPr>
              <w:pStyle w:val="ListItem"/>
              <w:numPr>
                <w:ilvl w:val="0"/>
                <w:numId w:val="5"/>
              </w:numPr>
              <w:spacing w:before="0" w:after="0"/>
              <w:ind w:left="357" w:hanging="357"/>
              <w:rPr>
                <w:szCs w:val="20"/>
              </w:rPr>
            </w:pPr>
            <w:proofErr w:type="gramStart"/>
            <w:r w:rsidRPr="00E45895">
              <w:rPr>
                <w:szCs w:val="20"/>
              </w:rPr>
              <w:t>a</w:t>
            </w:r>
            <w:proofErr w:type="gramEnd"/>
            <w:r w:rsidRPr="00E45895">
              <w:rPr>
                <w:szCs w:val="20"/>
              </w:rPr>
              <w:t xml:space="preserve"> sustainable ecosystem maintains its life support systems. Sustainability of an ecosystem can be affected by natural and human factors</w:t>
            </w:r>
          </w:p>
          <w:p w:rsidR="007A530A" w:rsidRDefault="00FE05A9" w:rsidP="00213117">
            <w:pPr>
              <w:pStyle w:val="ListItem"/>
              <w:numPr>
                <w:ilvl w:val="0"/>
                <w:numId w:val="5"/>
              </w:numPr>
              <w:spacing w:before="0" w:after="0"/>
              <w:ind w:left="357" w:hanging="357"/>
              <w:rPr>
                <w:szCs w:val="20"/>
              </w:rPr>
            </w:pPr>
            <w:r w:rsidRPr="00E45895">
              <w:rPr>
                <w:szCs w:val="20"/>
              </w:rPr>
              <w:t>organisms have developed different adaptations to their environments, resulting in biodiversity</w:t>
            </w:r>
          </w:p>
          <w:p w:rsidR="00FE05A9" w:rsidRPr="007A530A" w:rsidRDefault="00FE05A9" w:rsidP="00213117">
            <w:pPr>
              <w:pStyle w:val="ListItem"/>
              <w:numPr>
                <w:ilvl w:val="0"/>
                <w:numId w:val="5"/>
              </w:numPr>
              <w:spacing w:before="0" w:after="0"/>
              <w:ind w:left="357" w:hanging="357"/>
              <w:rPr>
                <w:szCs w:val="20"/>
              </w:rPr>
            </w:pPr>
            <w:r w:rsidRPr="007A530A">
              <w:rPr>
                <w:szCs w:val="20"/>
              </w:rPr>
              <w:t>areas of local biodiversity can be affected by human impact</w:t>
            </w:r>
            <w:r w:rsidR="009553DA" w:rsidRPr="007A530A">
              <w:rPr>
                <w:szCs w:val="20"/>
              </w:rPr>
              <w:t xml:space="preserve"> </w:t>
            </w:r>
            <w:r w:rsidR="009553DA" w:rsidRPr="00213117">
              <w:rPr>
                <w:szCs w:val="20"/>
              </w:rPr>
              <w:t>(SHE)</w:t>
            </w:r>
          </w:p>
          <w:p w:rsidR="00FE05A9" w:rsidRPr="00E45895" w:rsidRDefault="00FE05A9" w:rsidP="00213117">
            <w:pPr>
              <w:pStyle w:val="ListItem"/>
              <w:numPr>
                <w:ilvl w:val="0"/>
                <w:numId w:val="5"/>
              </w:numPr>
              <w:spacing w:before="0" w:after="0"/>
              <w:ind w:left="357" w:hanging="357"/>
              <w:rPr>
                <w:szCs w:val="20"/>
              </w:rPr>
            </w:pPr>
            <w:r w:rsidRPr="00E45895">
              <w:rPr>
                <w:szCs w:val="20"/>
              </w:rPr>
              <w:t xml:space="preserve">Western Australia contains ecosystems which have World Heritage listing (Shark Bay) or classification as a globally </w:t>
            </w:r>
            <w:proofErr w:type="spellStart"/>
            <w:r w:rsidRPr="00E45895">
              <w:rPr>
                <w:szCs w:val="20"/>
              </w:rPr>
              <w:t>recognised</w:t>
            </w:r>
            <w:proofErr w:type="spellEnd"/>
            <w:r w:rsidRPr="00E45895">
              <w:rPr>
                <w:szCs w:val="20"/>
              </w:rPr>
              <w:t xml:space="preserve"> biodiversity hot spot (the southwest of Western Australia)</w:t>
            </w:r>
            <w:r w:rsidR="009553DA">
              <w:rPr>
                <w:szCs w:val="20"/>
              </w:rPr>
              <w:t xml:space="preserve"> </w:t>
            </w:r>
            <w:r w:rsidR="009553DA" w:rsidRPr="00213117">
              <w:rPr>
                <w:szCs w:val="20"/>
              </w:rPr>
              <w:t>(SHE)</w:t>
            </w:r>
          </w:p>
        </w:tc>
      </w:tr>
      <w:tr w:rsidR="0025174E" w:rsidRPr="00E45895" w:rsidTr="00A338EF">
        <w:tc>
          <w:tcPr>
            <w:tcW w:w="993" w:type="dxa"/>
            <w:shd w:val="clear" w:color="auto" w:fill="E4D8EB" w:themeFill="accent4" w:themeFillTint="66"/>
            <w:vAlign w:val="center"/>
            <w:hideMark/>
          </w:tcPr>
          <w:p w:rsidR="0025174E" w:rsidRPr="00E45895" w:rsidRDefault="00AE7AF4" w:rsidP="0025174E">
            <w:pPr>
              <w:jc w:val="center"/>
              <w:rPr>
                <w:rFonts w:asciiTheme="minorHAnsi" w:hAnsiTheme="minorHAnsi"/>
                <w:szCs w:val="20"/>
              </w:rPr>
            </w:pPr>
            <w:r w:rsidRPr="00E45895">
              <w:rPr>
                <w:rFonts w:asciiTheme="minorHAnsi" w:hAnsiTheme="minorHAnsi"/>
                <w:szCs w:val="20"/>
              </w:rPr>
              <w:t>7–9</w:t>
            </w:r>
          </w:p>
        </w:tc>
        <w:tc>
          <w:tcPr>
            <w:tcW w:w="8363" w:type="dxa"/>
          </w:tcPr>
          <w:p w:rsidR="00FE05A9" w:rsidRPr="00E45895" w:rsidRDefault="00FE05A9" w:rsidP="00213117">
            <w:pPr>
              <w:pStyle w:val="ListItem"/>
              <w:numPr>
                <w:ilvl w:val="0"/>
                <w:numId w:val="5"/>
              </w:numPr>
              <w:spacing w:before="0" w:after="0"/>
              <w:ind w:left="357" w:hanging="357"/>
              <w:rPr>
                <w:szCs w:val="20"/>
              </w:rPr>
            </w:pPr>
            <w:r w:rsidRPr="00E45895">
              <w:rPr>
                <w:szCs w:val="20"/>
              </w:rPr>
              <w:t xml:space="preserve">matter, including carbon, nitrogen and water, moves between reservoirs in the Earth, in oceans and other water reservoirs, in the atmosphere, and within and among organisms as part of biogeochemical cycles; the movement of matter between reservoirs is driven by Earth's internal and external sources of energy </w:t>
            </w:r>
          </w:p>
          <w:p w:rsidR="0025174E" w:rsidRPr="00E45895" w:rsidRDefault="00FE05A9" w:rsidP="00213117">
            <w:pPr>
              <w:pStyle w:val="ListItem"/>
              <w:numPr>
                <w:ilvl w:val="0"/>
                <w:numId w:val="5"/>
              </w:numPr>
              <w:spacing w:before="0" w:after="0"/>
              <w:ind w:left="357" w:hanging="357"/>
              <w:rPr>
                <w:szCs w:val="20"/>
              </w:rPr>
            </w:pPr>
            <w:r w:rsidRPr="00E45895">
              <w:rPr>
                <w:szCs w:val="20"/>
              </w:rPr>
              <w:t>respiration and photosynthesis are important processes in the carbon cycle</w:t>
            </w:r>
          </w:p>
          <w:p w:rsidR="00FE05A9" w:rsidRPr="00E45895" w:rsidRDefault="00FE05A9" w:rsidP="00213117">
            <w:pPr>
              <w:pStyle w:val="ListItem"/>
              <w:numPr>
                <w:ilvl w:val="0"/>
                <w:numId w:val="5"/>
              </w:numPr>
              <w:spacing w:before="0" w:after="0"/>
              <w:ind w:left="357" w:hanging="357"/>
              <w:rPr>
                <w:szCs w:val="20"/>
              </w:rPr>
            </w:pPr>
            <w:r w:rsidRPr="00E45895">
              <w:rPr>
                <w:szCs w:val="20"/>
              </w:rPr>
              <w:t>the Mars mission and the search for life involves investigation of the possibility of water and carbon dioxide on Mars</w:t>
            </w:r>
            <w:r w:rsidR="009553DA">
              <w:rPr>
                <w:szCs w:val="20"/>
              </w:rPr>
              <w:t xml:space="preserve"> </w:t>
            </w:r>
            <w:r w:rsidR="009553DA" w:rsidRPr="00213117">
              <w:rPr>
                <w:szCs w:val="20"/>
              </w:rPr>
              <w:t>(SHE)</w:t>
            </w:r>
          </w:p>
        </w:tc>
      </w:tr>
      <w:tr w:rsidR="0025174E" w:rsidRPr="00E45895" w:rsidTr="00A338EF">
        <w:tc>
          <w:tcPr>
            <w:tcW w:w="993" w:type="dxa"/>
            <w:shd w:val="clear" w:color="auto" w:fill="E4D8EB" w:themeFill="accent4" w:themeFillTint="66"/>
            <w:vAlign w:val="center"/>
            <w:hideMark/>
          </w:tcPr>
          <w:p w:rsidR="0025174E" w:rsidRPr="00E45895" w:rsidRDefault="00AE7AF4" w:rsidP="0025174E">
            <w:pPr>
              <w:jc w:val="center"/>
              <w:rPr>
                <w:rFonts w:asciiTheme="minorHAnsi" w:hAnsiTheme="minorHAnsi"/>
                <w:szCs w:val="20"/>
              </w:rPr>
            </w:pPr>
            <w:r w:rsidRPr="00E45895">
              <w:rPr>
                <w:rFonts w:asciiTheme="minorHAnsi" w:hAnsiTheme="minorHAnsi"/>
                <w:szCs w:val="20"/>
              </w:rPr>
              <w:t>10–</w:t>
            </w:r>
            <w:r w:rsidR="0025174E" w:rsidRPr="00E45895">
              <w:rPr>
                <w:rFonts w:asciiTheme="minorHAnsi" w:hAnsiTheme="minorHAnsi"/>
                <w:szCs w:val="20"/>
              </w:rPr>
              <w:t>13</w:t>
            </w:r>
          </w:p>
        </w:tc>
        <w:tc>
          <w:tcPr>
            <w:tcW w:w="8363" w:type="dxa"/>
          </w:tcPr>
          <w:p w:rsidR="00FE05A9" w:rsidRPr="00E45895" w:rsidRDefault="00FE05A9" w:rsidP="00213117">
            <w:pPr>
              <w:pStyle w:val="ListItem"/>
              <w:numPr>
                <w:ilvl w:val="0"/>
                <w:numId w:val="5"/>
              </w:numPr>
              <w:spacing w:before="0" w:after="0"/>
              <w:ind w:left="357" w:hanging="357"/>
              <w:rPr>
                <w:szCs w:val="20"/>
              </w:rPr>
            </w:pPr>
            <w:r w:rsidRPr="00E45895">
              <w:rPr>
                <w:szCs w:val="20"/>
              </w:rPr>
              <w:t xml:space="preserve">water is an important resource that undergoes constant changes of state and location during the water cycle, and is present in oceans, ice, lakes, rivers, groundwater, and in the atmosphere </w:t>
            </w:r>
          </w:p>
          <w:p w:rsidR="0025174E" w:rsidRPr="00E45895" w:rsidRDefault="00FE05A9" w:rsidP="00213117">
            <w:pPr>
              <w:pStyle w:val="ListItem"/>
              <w:numPr>
                <w:ilvl w:val="0"/>
                <w:numId w:val="5"/>
              </w:numPr>
              <w:spacing w:before="0" w:after="0"/>
              <w:ind w:left="357" w:hanging="357"/>
              <w:rPr>
                <w:szCs w:val="20"/>
              </w:rPr>
            </w:pPr>
            <w:r w:rsidRPr="00E45895">
              <w:rPr>
                <w:szCs w:val="20"/>
              </w:rPr>
              <w:t xml:space="preserve">water quality and availability are dependent upon the Earth materials through which it moves and the impact of human activities, such as extraction of water, land clearing and use of </w:t>
            </w:r>
            <w:proofErr w:type="spellStart"/>
            <w:r w:rsidRPr="00E45895">
              <w:rPr>
                <w:szCs w:val="20"/>
              </w:rPr>
              <w:t>fertilisers</w:t>
            </w:r>
            <w:proofErr w:type="spellEnd"/>
          </w:p>
          <w:p w:rsidR="00FE05A9" w:rsidRPr="00E45895" w:rsidRDefault="00FE05A9" w:rsidP="00213117">
            <w:pPr>
              <w:pStyle w:val="ListItem"/>
              <w:numPr>
                <w:ilvl w:val="0"/>
                <w:numId w:val="5"/>
              </w:numPr>
              <w:spacing w:before="0" w:after="0"/>
              <w:ind w:left="357" w:hanging="357"/>
              <w:rPr>
                <w:szCs w:val="20"/>
              </w:rPr>
            </w:pPr>
            <w:r w:rsidRPr="00E45895">
              <w:rPr>
                <w:szCs w:val="20"/>
              </w:rPr>
              <w:t>Western Australia draws its water from catchments, groundwater and desalination plants</w:t>
            </w:r>
            <w:r w:rsidR="009553DA">
              <w:rPr>
                <w:szCs w:val="20"/>
              </w:rPr>
              <w:t xml:space="preserve"> </w:t>
            </w:r>
            <w:r w:rsidR="009553DA" w:rsidRPr="00213117">
              <w:rPr>
                <w:szCs w:val="20"/>
              </w:rPr>
              <w:t>(SHE)</w:t>
            </w:r>
          </w:p>
        </w:tc>
      </w:tr>
      <w:tr w:rsidR="0025174E" w:rsidRPr="00E45895" w:rsidTr="00A338EF">
        <w:tc>
          <w:tcPr>
            <w:tcW w:w="993" w:type="dxa"/>
            <w:shd w:val="clear" w:color="auto" w:fill="E4D8EB" w:themeFill="accent4" w:themeFillTint="66"/>
            <w:vAlign w:val="center"/>
            <w:hideMark/>
          </w:tcPr>
          <w:p w:rsidR="0025174E" w:rsidRPr="00E45895" w:rsidRDefault="006E10B9" w:rsidP="0025174E">
            <w:pPr>
              <w:jc w:val="center"/>
              <w:rPr>
                <w:rFonts w:asciiTheme="minorHAnsi" w:hAnsiTheme="minorHAnsi"/>
                <w:szCs w:val="20"/>
              </w:rPr>
            </w:pPr>
            <w:r w:rsidRPr="00E45895">
              <w:rPr>
                <w:rFonts w:asciiTheme="minorHAnsi" w:hAnsiTheme="minorHAnsi"/>
                <w:szCs w:val="20"/>
              </w:rPr>
              <w:t>14–16</w:t>
            </w:r>
          </w:p>
        </w:tc>
        <w:tc>
          <w:tcPr>
            <w:tcW w:w="8363" w:type="dxa"/>
          </w:tcPr>
          <w:p w:rsidR="0025174E" w:rsidRPr="00E45895" w:rsidRDefault="00FE05A9" w:rsidP="00213117">
            <w:pPr>
              <w:pStyle w:val="ListItem"/>
              <w:numPr>
                <w:ilvl w:val="0"/>
                <w:numId w:val="5"/>
              </w:numPr>
              <w:spacing w:before="0" w:after="0"/>
              <w:ind w:left="357" w:hanging="357"/>
              <w:rPr>
                <w:szCs w:val="20"/>
              </w:rPr>
            </w:pPr>
            <w:r w:rsidRPr="00E45895">
              <w:rPr>
                <w:szCs w:val="20"/>
              </w:rPr>
              <w:t>changes in land use are linked to environmental changes, such as salinity, eutrophication, soil degradation and nutrient depletion</w:t>
            </w:r>
          </w:p>
        </w:tc>
      </w:tr>
    </w:tbl>
    <w:p w:rsidR="00CF3CB2" w:rsidRPr="00213117" w:rsidRDefault="00CF3CB2" w:rsidP="0025174E">
      <w:pPr>
        <w:rPr>
          <w:rFonts w:asciiTheme="minorHAnsi" w:hAnsiTheme="minorHAnsi" w:cstheme="minorHAnsi"/>
        </w:rPr>
      </w:pPr>
    </w:p>
    <w:sectPr w:rsidR="00CF3CB2" w:rsidRPr="00213117" w:rsidSect="0004659D">
      <w:headerReference w:type="even" r:id="rId13"/>
      <w:footerReference w:type="even" r:id="rId14"/>
      <w:headerReference w:type="first" r:id="rId15"/>
      <w:footerReference w:type="first" r:id="rId16"/>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65" w:rsidRDefault="00846465" w:rsidP="00DB14C9">
      <w:r>
        <w:separator/>
      </w:r>
    </w:p>
  </w:endnote>
  <w:endnote w:type="continuationSeparator" w:id="0">
    <w:p w:rsidR="00846465" w:rsidRDefault="0084646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E45895" w:rsidRDefault="00532DF5" w:rsidP="00A338EF">
    <w:pPr>
      <w:pStyle w:val="Footer"/>
      <w:pBdr>
        <w:top w:val="single" w:sz="4" w:space="4" w:color="5C815C"/>
      </w:pBdr>
      <w:tabs>
        <w:tab w:val="clear" w:pos="4513"/>
        <w:tab w:val="clear" w:pos="9026"/>
      </w:tabs>
      <w:rPr>
        <w:rFonts w:ascii="Franklin Gothic Book" w:hAnsi="Franklin Gothic Book"/>
        <w:color w:val="342568"/>
        <w:sz w:val="16"/>
        <w:szCs w:val="16"/>
      </w:rPr>
    </w:pPr>
    <w:r w:rsidRPr="00E45895">
      <w:rPr>
        <w:rFonts w:ascii="Franklin Gothic Book" w:hAnsi="Franklin Gothic Book"/>
        <w:noProof/>
        <w:color w:val="342568"/>
        <w:sz w:val="16"/>
        <w:szCs w:val="16"/>
      </w:rPr>
      <w:t>2014/20410</w:t>
    </w:r>
    <w:r w:rsidR="00DA070B">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5" w:rsidRPr="00E45895" w:rsidRDefault="00E45895" w:rsidP="00A338E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 </w:t>
    </w:r>
    <w:r w:rsidRPr="00D41604">
      <w:rPr>
        <w:rFonts w:ascii="Franklin Gothic Book" w:hAnsi="Franklin Gothic Book"/>
        <w:b/>
        <w:noProof/>
        <w:color w:val="342568"/>
        <w:sz w:val="18"/>
        <w:szCs w:val="18"/>
      </w:rPr>
      <w:t>|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5143EB" w:rsidRDefault="00855E0F" w:rsidP="00A338E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AF06FF">
      <w:rPr>
        <w:rFonts w:ascii="Franklin Gothic Book" w:hAnsi="Franklin Gothic Book"/>
        <w:b/>
        <w:noProof/>
        <w:color w:val="342568"/>
        <w:sz w:val="18"/>
        <w:szCs w:val="18"/>
      </w:rPr>
      <w:t xml:space="preserve">Earth and Environmental Science </w:t>
    </w:r>
    <w:r w:rsidR="00237908" w:rsidRPr="00D41604">
      <w:rPr>
        <w:rFonts w:ascii="Franklin Gothic Book" w:hAnsi="Franklin Gothic Book"/>
        <w:b/>
        <w:noProof/>
        <w:color w:val="342568"/>
        <w:sz w:val="18"/>
        <w:szCs w:val="18"/>
      </w:rPr>
      <w:t>| General</w:t>
    </w:r>
    <w:r>
      <w:rPr>
        <w:rFonts w:ascii="Franklin Gothic Book" w:hAnsi="Franklin Gothic Book"/>
        <w:b/>
        <w:color w:val="342568"/>
        <w:sz w:val="18"/>
        <w:szCs w:val="18"/>
      </w:rPr>
      <w:t xml:space="preserve"> </w:t>
    </w:r>
    <w:r w:rsidR="00237908">
      <w:rPr>
        <w:rFonts w:ascii="Franklin Gothic Book" w:hAnsi="Franklin Gothic Book"/>
        <w:b/>
        <w:noProof/>
        <w:color w:val="342568"/>
        <w:sz w:val="18"/>
        <w:szCs w:val="18"/>
      </w:rPr>
      <w:t xml:space="preserve">Year </w:t>
    </w:r>
    <w:r w:rsidR="00AF06FF">
      <w:rPr>
        <w:rFonts w:ascii="Franklin Gothic Book" w:hAnsi="Franklin Gothic Book"/>
        <w:b/>
        <w:noProof/>
        <w:color w:val="342568"/>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65" w:rsidRDefault="00846465" w:rsidP="00DB14C9">
      <w:r>
        <w:separator/>
      </w:r>
    </w:p>
  </w:footnote>
  <w:footnote w:type="continuationSeparator" w:id="0">
    <w:p w:rsidR="00846465" w:rsidRDefault="00846465"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B8" w:rsidRDefault="00E654B8" w:rsidP="00E654B8">
    <w:pPr>
      <w:pStyle w:val="Header"/>
      <w:ind w:left="-851"/>
    </w:pPr>
    <w:r>
      <w:rPr>
        <w:noProof/>
        <w:lang w:val="en-AU" w:eastAsia="en-AU"/>
      </w:rPr>
      <w:drawing>
        <wp:inline distT="0" distB="0" distL="0" distR="0" wp14:anchorId="38268B48" wp14:editId="39BA179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37908" w:rsidRDefault="0023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5" w:rsidRPr="001B3981" w:rsidRDefault="00E45895" w:rsidP="00A338EF">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070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45895" w:rsidRDefault="00E45895" w:rsidP="00E45895">
    <w:pPr>
      <w:pStyle w:val="Header"/>
      <w:ind w:left="-1276" w:right="933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1B3981" w:rsidRDefault="00237908" w:rsidP="00A338E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070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7908" w:rsidRPr="00D05780" w:rsidRDefault="00237908"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10DD1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7A81B6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DE07D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254782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A71480A"/>
    <w:multiLevelType w:val="hybridMultilevel"/>
    <w:tmpl w:val="CD44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8872E7"/>
    <w:multiLevelType w:val="hybridMultilevel"/>
    <w:tmpl w:val="A748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6CBF2513"/>
    <w:multiLevelType w:val="hybridMultilevel"/>
    <w:tmpl w:val="CBC832CE"/>
    <w:lvl w:ilvl="0" w:tplc="6B2AB84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5"/>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0BF9"/>
    <w:rsid w:val="0004659D"/>
    <w:rsid w:val="0009174F"/>
    <w:rsid w:val="00120B54"/>
    <w:rsid w:val="001A065F"/>
    <w:rsid w:val="00213117"/>
    <w:rsid w:val="00237908"/>
    <w:rsid w:val="00240545"/>
    <w:rsid w:val="0025174E"/>
    <w:rsid w:val="00262BA1"/>
    <w:rsid w:val="002928CA"/>
    <w:rsid w:val="00324ACE"/>
    <w:rsid w:val="003C5A53"/>
    <w:rsid w:val="003E18D3"/>
    <w:rsid w:val="004245A8"/>
    <w:rsid w:val="00424843"/>
    <w:rsid w:val="004814F0"/>
    <w:rsid w:val="004863E5"/>
    <w:rsid w:val="004C6186"/>
    <w:rsid w:val="004E01C6"/>
    <w:rsid w:val="004E1286"/>
    <w:rsid w:val="00532DF5"/>
    <w:rsid w:val="00557120"/>
    <w:rsid w:val="005E2EE1"/>
    <w:rsid w:val="00617B43"/>
    <w:rsid w:val="006A3205"/>
    <w:rsid w:val="006E016A"/>
    <w:rsid w:val="006E10B9"/>
    <w:rsid w:val="00742B1D"/>
    <w:rsid w:val="0076140C"/>
    <w:rsid w:val="007A530A"/>
    <w:rsid w:val="007C688E"/>
    <w:rsid w:val="007D7C15"/>
    <w:rsid w:val="007E3CE0"/>
    <w:rsid w:val="00840722"/>
    <w:rsid w:val="00846465"/>
    <w:rsid w:val="00855E0F"/>
    <w:rsid w:val="00897398"/>
    <w:rsid w:val="008B157B"/>
    <w:rsid w:val="008C3529"/>
    <w:rsid w:val="00930FD4"/>
    <w:rsid w:val="00952D80"/>
    <w:rsid w:val="009553DA"/>
    <w:rsid w:val="0098337C"/>
    <w:rsid w:val="00983AF7"/>
    <w:rsid w:val="0099181C"/>
    <w:rsid w:val="00A338EF"/>
    <w:rsid w:val="00A57719"/>
    <w:rsid w:val="00A638D8"/>
    <w:rsid w:val="00A91786"/>
    <w:rsid w:val="00AA5FB7"/>
    <w:rsid w:val="00AE5E03"/>
    <w:rsid w:val="00AE7AF4"/>
    <w:rsid w:val="00AF06FF"/>
    <w:rsid w:val="00AF317D"/>
    <w:rsid w:val="00B73C5D"/>
    <w:rsid w:val="00BB5545"/>
    <w:rsid w:val="00BD7C4A"/>
    <w:rsid w:val="00BF1895"/>
    <w:rsid w:val="00C353FF"/>
    <w:rsid w:val="00C84DE0"/>
    <w:rsid w:val="00CA01EC"/>
    <w:rsid w:val="00CC0BAF"/>
    <w:rsid w:val="00CC35AA"/>
    <w:rsid w:val="00CF3CB2"/>
    <w:rsid w:val="00D3715A"/>
    <w:rsid w:val="00D47F40"/>
    <w:rsid w:val="00DA070B"/>
    <w:rsid w:val="00DB14C9"/>
    <w:rsid w:val="00DF4C0D"/>
    <w:rsid w:val="00E37A5D"/>
    <w:rsid w:val="00E45895"/>
    <w:rsid w:val="00E654B8"/>
    <w:rsid w:val="00F167AD"/>
    <w:rsid w:val="00F43793"/>
    <w:rsid w:val="00F53533"/>
    <w:rsid w:val="00F667AA"/>
    <w:rsid w:val="00F7346B"/>
    <w:rsid w:val="00F853E0"/>
    <w:rsid w:val="00FA1552"/>
    <w:rsid w:val="00FC4EFB"/>
    <w:rsid w:val="00FE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C8DA0C"/>
  <w15:docId w15:val="{5BBE42A6-F836-4B93-90DA-488B409D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5D"/>
    <w:pPr>
      <w:spacing w:after="0" w:line="240" w:lineRule="auto"/>
    </w:pPr>
    <w:rPr>
      <w:rFonts w:ascii="Calibri" w:hAnsi="Calibri"/>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ListBullet"/>
    <w:link w:val="ListItemChar"/>
    <w:qFormat/>
    <w:rsid w:val="00983AF7"/>
    <w:pPr>
      <w:spacing w:before="120" w:after="120" w:line="276" w:lineRule="auto"/>
      <w:contextualSpacing w:val="0"/>
    </w:pPr>
    <w:rPr>
      <w:rFonts w:eastAsiaTheme="minorEastAsia" w:cstheme="minorBidi"/>
    </w:rPr>
  </w:style>
  <w:style w:type="character" w:customStyle="1" w:styleId="ListItemChar">
    <w:name w:val="List Item Char"/>
    <w:basedOn w:val="DefaultParagraphFont"/>
    <w:link w:val="ListItem"/>
    <w:rsid w:val="00983AF7"/>
    <w:rPr>
      <w:rFonts w:ascii="Calibri" w:eastAsiaTheme="minorEastAsia" w:hAnsi="Calibri" w:cstheme="minorBidi"/>
      <w:szCs w:val="22"/>
      <w:lang w:val="en-AU"/>
    </w:rPr>
  </w:style>
  <w:style w:type="paragraph" w:styleId="ListBullet">
    <w:name w:val="List Bullet"/>
    <w:basedOn w:val="Normal"/>
    <w:uiPriority w:val="99"/>
    <w:semiHidden/>
    <w:unhideWhenUsed/>
    <w:rsid w:val="00983AF7"/>
    <w:pPr>
      <w:ind w:left="360" w:hanging="360"/>
      <w:contextualSpacing/>
    </w:pPr>
  </w:style>
  <w:style w:type="character" w:styleId="Hyperlink">
    <w:name w:val="Hyperlink"/>
    <w:basedOn w:val="DefaultParagraphFont"/>
    <w:uiPriority w:val="99"/>
    <w:unhideWhenUsed/>
    <w:rsid w:val="004E01C6"/>
    <w:rPr>
      <w:color w:val="410082" w:themeColor="hyperlink"/>
      <w:u w:val="single"/>
    </w:rPr>
  </w:style>
  <w:style w:type="character" w:styleId="FollowedHyperlink">
    <w:name w:val="FollowedHyperlink"/>
    <w:basedOn w:val="DefaultParagraphFont"/>
    <w:uiPriority w:val="99"/>
    <w:semiHidden/>
    <w:unhideWhenUsed/>
    <w:rsid w:val="005E2EE1"/>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3178-3A42-44D6-92DA-87D1CF78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Ian Wilson</cp:lastModifiedBy>
  <cp:revision>21</cp:revision>
  <cp:lastPrinted>2022-01-12T02:56:00Z</cp:lastPrinted>
  <dcterms:created xsi:type="dcterms:W3CDTF">2021-12-13T05:17:00Z</dcterms:created>
  <dcterms:modified xsi:type="dcterms:W3CDTF">2022-02-14T06:31:00Z</dcterms:modified>
</cp:coreProperties>
</file>